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F7756C">
      <w:pPr>
        <w:jc w:val="center"/>
        <w:rPr>
          <w:rFonts w:ascii="仿宋_GB2312" w:eastAsia="仿宋_GB2312"/>
          <w:b/>
          <w:sz w:val="32"/>
          <w:szCs w:val="32"/>
        </w:rPr>
      </w:pPr>
    </w:p>
    <w:p w14:paraId="11A714EF">
      <w:pPr>
        <w:jc w:val="center"/>
        <w:rPr>
          <w:rFonts w:ascii="黑体" w:eastAsia="黑体"/>
          <w:sz w:val="72"/>
          <w:szCs w:val="72"/>
        </w:rPr>
      </w:pPr>
    </w:p>
    <w:p w14:paraId="5A73825D">
      <w:pPr>
        <w:jc w:val="center"/>
        <w:rPr>
          <w:rFonts w:ascii="黑体" w:eastAsia="黑体"/>
          <w:sz w:val="72"/>
          <w:szCs w:val="72"/>
        </w:rPr>
      </w:pPr>
    </w:p>
    <w:p w14:paraId="17E26C25">
      <w:pPr>
        <w:jc w:val="center"/>
        <w:rPr>
          <w:rFonts w:ascii="黑体" w:eastAsia="黑体"/>
          <w:sz w:val="72"/>
          <w:szCs w:val="72"/>
        </w:rPr>
      </w:pPr>
    </w:p>
    <w:p w14:paraId="71E8B40F">
      <w:pPr>
        <w:jc w:val="center"/>
        <w:rPr>
          <w:rFonts w:ascii="黑体" w:eastAsia="黑体"/>
          <w:sz w:val="72"/>
          <w:szCs w:val="72"/>
        </w:rPr>
      </w:pPr>
    </w:p>
    <w:p w14:paraId="19F2D5ED">
      <w:pPr>
        <w:jc w:val="center"/>
        <w:rPr>
          <w:rFonts w:ascii="黑体" w:eastAsia="黑体"/>
          <w:sz w:val="72"/>
          <w:szCs w:val="72"/>
        </w:rPr>
      </w:pPr>
      <w:r>
        <w:rPr>
          <w:rFonts w:hint="eastAsia" w:ascii="黑体" w:eastAsia="黑体"/>
          <w:sz w:val="72"/>
          <w:szCs w:val="72"/>
        </w:rPr>
        <w:t>2024年度部门决算（公开</w:t>
      </w:r>
      <w:r>
        <w:rPr>
          <w:rFonts w:ascii="黑体" w:eastAsia="黑体"/>
          <w:sz w:val="72"/>
          <w:szCs w:val="72"/>
        </w:rPr>
        <w:t>）</w:t>
      </w:r>
    </w:p>
    <w:p w14:paraId="18DA3F3B">
      <w:pPr>
        <w:jc w:val="center"/>
        <w:rPr>
          <w:rFonts w:ascii="黑体" w:eastAsia="黑体"/>
          <w:sz w:val="52"/>
          <w:szCs w:val="52"/>
        </w:rPr>
      </w:pPr>
    </w:p>
    <w:p w14:paraId="40CE8C9F">
      <w:pPr>
        <w:jc w:val="center"/>
        <w:rPr>
          <w:rFonts w:ascii="黑体" w:eastAsia="黑体"/>
          <w:sz w:val="52"/>
          <w:szCs w:val="52"/>
        </w:rPr>
      </w:pPr>
    </w:p>
    <w:p w14:paraId="0EC95EF7">
      <w:pPr>
        <w:jc w:val="center"/>
        <w:rPr>
          <w:rFonts w:ascii="黑体" w:eastAsia="黑体"/>
          <w:sz w:val="52"/>
          <w:szCs w:val="52"/>
        </w:rPr>
      </w:pPr>
    </w:p>
    <w:p w14:paraId="4919E208">
      <w:pPr>
        <w:jc w:val="center"/>
        <w:rPr>
          <w:rFonts w:ascii="黑体" w:eastAsia="黑体"/>
          <w:sz w:val="52"/>
          <w:szCs w:val="52"/>
        </w:rPr>
      </w:pPr>
    </w:p>
    <w:p w14:paraId="33E3E390">
      <w:pPr>
        <w:jc w:val="center"/>
        <w:rPr>
          <w:rFonts w:ascii="黑体" w:eastAsia="黑体"/>
          <w:sz w:val="32"/>
          <w:szCs w:val="32"/>
        </w:rPr>
      </w:pPr>
    </w:p>
    <w:p w14:paraId="2ACA8244">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02A115D0">
      <w:pPr>
        <w:spacing w:line="500" w:lineRule="exact"/>
        <w:ind w:firstLine="645"/>
        <w:jc w:val="center"/>
        <w:rPr>
          <w:rFonts w:ascii="宋体" w:hAnsi="宋体" w:cs="宋体"/>
          <w:b/>
          <w:bCs/>
          <w:kern w:val="0"/>
          <w:sz w:val="36"/>
          <w:szCs w:val="36"/>
        </w:rPr>
      </w:pPr>
    </w:p>
    <w:p w14:paraId="184F7A11">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14:paraId="7021CC99">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726E28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3075C79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2ECE1D1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E25534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EF4413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7C225DE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0E93A86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2567E05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14:paraId="0C7BFE7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6AECB78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2169419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14:paraId="2DBFEE3F">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14:paraId="4099563E">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14:paraId="4BF0ACBD">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14:paraId="7995E19D">
      <w:pPr>
        <w:tabs>
          <w:tab w:val="center" w:pos="6979"/>
        </w:tabs>
        <w:spacing w:before="156" w:beforeLines="50" w:after="156" w:afterLines="50"/>
        <w:jc w:val="center"/>
        <w:rPr>
          <w:rFonts w:ascii="宋体" w:hAnsi="宋体" w:cs="宋体"/>
          <w:b/>
          <w:bCs/>
          <w:spacing w:val="40"/>
          <w:kern w:val="0"/>
          <w:sz w:val="32"/>
          <w:szCs w:val="32"/>
        </w:rPr>
      </w:pPr>
    </w:p>
    <w:p w14:paraId="740C97CB">
      <w:pPr>
        <w:tabs>
          <w:tab w:val="center" w:pos="6979"/>
        </w:tabs>
        <w:spacing w:before="156" w:beforeLines="50" w:after="156" w:afterLines="50"/>
        <w:jc w:val="center"/>
        <w:rPr>
          <w:rFonts w:ascii="宋体" w:hAnsi="宋体" w:cs="宋体"/>
          <w:b/>
          <w:bCs/>
          <w:spacing w:val="40"/>
          <w:kern w:val="0"/>
          <w:sz w:val="32"/>
          <w:szCs w:val="32"/>
        </w:rPr>
      </w:pPr>
    </w:p>
    <w:p w14:paraId="07816250">
      <w:pPr>
        <w:tabs>
          <w:tab w:val="center" w:pos="6979"/>
        </w:tabs>
        <w:spacing w:before="156" w:beforeLines="50" w:after="156" w:afterLines="50"/>
        <w:jc w:val="center"/>
        <w:rPr>
          <w:rFonts w:ascii="宋体" w:hAnsi="宋体" w:cs="宋体"/>
          <w:b/>
          <w:bCs/>
          <w:spacing w:val="40"/>
          <w:kern w:val="0"/>
          <w:sz w:val="32"/>
          <w:szCs w:val="32"/>
        </w:rPr>
      </w:pPr>
    </w:p>
    <w:p w14:paraId="4AF971BF">
      <w:pPr>
        <w:tabs>
          <w:tab w:val="center" w:pos="6979"/>
        </w:tabs>
        <w:spacing w:before="156" w:beforeLines="50" w:after="156" w:afterLines="50"/>
        <w:jc w:val="center"/>
        <w:rPr>
          <w:rFonts w:ascii="宋体" w:hAnsi="宋体" w:cs="宋体"/>
          <w:b/>
          <w:bCs/>
          <w:spacing w:val="40"/>
          <w:kern w:val="0"/>
          <w:sz w:val="32"/>
          <w:szCs w:val="32"/>
        </w:rPr>
      </w:pPr>
    </w:p>
    <w:p w14:paraId="44E9785D">
      <w:pPr>
        <w:tabs>
          <w:tab w:val="center" w:pos="6979"/>
        </w:tabs>
        <w:spacing w:before="156" w:beforeLines="50" w:after="156" w:afterLines="50"/>
        <w:jc w:val="center"/>
        <w:rPr>
          <w:rFonts w:ascii="宋体" w:hAnsi="宋体" w:cs="宋体"/>
          <w:b/>
          <w:bCs/>
          <w:spacing w:val="40"/>
          <w:kern w:val="0"/>
          <w:sz w:val="32"/>
          <w:szCs w:val="32"/>
        </w:rPr>
      </w:pPr>
    </w:p>
    <w:p w14:paraId="6B569475">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14:paraId="05F7BA76">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5E2D9F12">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14:paraId="12F209F5">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14:paraId="03B65CE6">
      <w:pPr>
        <w:spacing w:line="360" w:lineRule="auto"/>
        <w:ind w:left="359" w:leftChars="171" w:firstLine="320" w:firstLineChars="100"/>
        <w:rPr>
          <w:rFonts w:ascii="仿宋_GB2312" w:eastAsia="仿宋_GB2312"/>
          <w:color w:val="000000"/>
          <w:sz w:val="32"/>
          <w:szCs w:val="32"/>
        </w:rPr>
      </w:pPr>
      <w:r>
        <w:rPr>
          <w:rFonts w:hint="eastAsia" w:ascii="仿宋_GB2312" w:eastAsia="仿宋_GB2312"/>
          <w:color w:val="000000"/>
          <w:sz w:val="32"/>
          <w:szCs w:val="32"/>
        </w:rPr>
        <w:t>（一）本单位职责：</w:t>
      </w:r>
    </w:p>
    <w:p w14:paraId="237E2C94">
      <w:pPr>
        <w:spacing w:line="360" w:lineRule="auto"/>
        <w:ind w:left="359" w:leftChars="171" w:firstLine="320" w:firstLineChars="100"/>
        <w:rPr>
          <w:rFonts w:ascii="仿宋_GB2312" w:eastAsia="仿宋_GB2312"/>
          <w:color w:val="000000"/>
          <w:sz w:val="32"/>
          <w:szCs w:val="32"/>
        </w:rPr>
      </w:pPr>
      <w:r>
        <w:rPr>
          <w:rFonts w:hint="eastAsia" w:ascii="仿宋_GB2312" w:eastAsia="仿宋_GB2312"/>
          <w:color w:val="000000"/>
          <w:sz w:val="32"/>
          <w:szCs w:val="32"/>
        </w:rPr>
        <w:t>1.全面贯彻国家职业教育方针，培养学生的创业创新精神与实践操作能力，使之成为社会主义事业建设者和接班人。</w:t>
      </w:r>
    </w:p>
    <w:p w14:paraId="2D97F4A2">
      <w:pPr>
        <w:spacing w:line="360" w:lineRule="auto"/>
        <w:ind w:left="359" w:leftChars="171" w:firstLine="320" w:firstLineChars="100"/>
        <w:rPr>
          <w:rFonts w:ascii="仿宋_GB2312" w:eastAsia="仿宋_GB2312"/>
          <w:color w:val="000000"/>
          <w:sz w:val="32"/>
          <w:szCs w:val="32"/>
        </w:rPr>
      </w:pPr>
      <w:r>
        <w:rPr>
          <w:rFonts w:hint="eastAsia" w:ascii="仿宋_GB2312" w:eastAsia="仿宋_GB2312"/>
          <w:color w:val="000000"/>
          <w:sz w:val="32"/>
          <w:szCs w:val="32"/>
        </w:rPr>
        <w:t xml:space="preserve">2．负责北京市内所属报考入大兴一职的中等职业教育各专业的学生的教学工作。 </w:t>
      </w:r>
    </w:p>
    <w:p w14:paraId="78808DFE">
      <w:pPr>
        <w:spacing w:line="360" w:lineRule="auto"/>
        <w:ind w:left="359" w:leftChars="171" w:firstLine="320" w:firstLineChars="100"/>
        <w:rPr>
          <w:rFonts w:ascii="仿宋_GB2312" w:eastAsia="仿宋_GB2312"/>
          <w:color w:val="000000"/>
          <w:sz w:val="32"/>
          <w:szCs w:val="32"/>
        </w:rPr>
      </w:pPr>
      <w:r>
        <w:rPr>
          <w:rFonts w:hint="eastAsia" w:ascii="仿宋_GB2312" w:eastAsia="仿宋_GB2312"/>
          <w:color w:val="000000"/>
          <w:sz w:val="32"/>
          <w:szCs w:val="32"/>
        </w:rPr>
        <w:t>（二）机构设置情况：</w:t>
      </w:r>
    </w:p>
    <w:p w14:paraId="083E3097">
      <w:pPr>
        <w:spacing w:line="360" w:lineRule="auto"/>
        <w:ind w:left="359" w:leftChars="171" w:firstLine="320" w:firstLineChars="100"/>
        <w:rPr>
          <w:rFonts w:ascii="仿宋_GB2312" w:eastAsia="仿宋_GB2312"/>
          <w:color w:val="000000"/>
          <w:sz w:val="32"/>
          <w:szCs w:val="32"/>
        </w:rPr>
      </w:pPr>
      <w:r>
        <w:rPr>
          <w:rFonts w:hint="eastAsia" w:ascii="仿宋_GB2312" w:eastAsia="仿宋_GB2312"/>
          <w:color w:val="000000"/>
          <w:sz w:val="32"/>
          <w:szCs w:val="32"/>
        </w:rPr>
        <w:t>内设机构：党建办、督察办、财务处、工会办、团委、行政办、教务处、德育处、招生就业办、总务处、安保处、现代商务服务系、航空机械工程系、生物环境工程系、数字信息技术系。</w:t>
      </w:r>
    </w:p>
    <w:p w14:paraId="2693C3B1">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3875061E">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14159.61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减少323.01万元，下降2.23%。</w:t>
      </w:r>
    </w:p>
    <w:p w14:paraId="35F7B0B6">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6E04C58D">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12998.93</w:t>
      </w:r>
      <w:r>
        <w:rPr>
          <w:rFonts w:hint="eastAsia" w:ascii="仿宋_GB2312" w:eastAsia="仿宋_GB2312"/>
          <w:sz w:val="28"/>
          <w:szCs w:val="28"/>
        </w:rPr>
        <w:t>万元，</w:t>
      </w:r>
      <w:r>
        <w:rPr>
          <w:rFonts w:ascii="仿宋_GB2312" w:eastAsia="仿宋_GB2312"/>
          <w:sz w:val="28"/>
          <w:szCs w:val="28"/>
        </w:rPr>
        <w:t>比上</w:t>
      </w:r>
      <w:r>
        <w:rPr>
          <w:rFonts w:hint="eastAsia" w:ascii="仿宋_GB2312" w:eastAsia="仿宋_GB2312"/>
          <w:sz w:val="28"/>
          <w:szCs w:val="28"/>
        </w:rPr>
        <w:t>减少617.32万元，下降4.53%。</w:t>
      </w:r>
    </w:p>
    <w:p w14:paraId="548AD59D">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1.财政拨款收入</w:t>
      </w:r>
      <w:r>
        <w:rPr>
          <w:rFonts w:ascii="仿宋_GB2312" w:eastAsia="仿宋_GB2312"/>
          <w:sz w:val="28"/>
          <w:szCs w:val="28"/>
        </w:rPr>
        <w:t>12451.63</w:t>
      </w:r>
      <w:r>
        <w:rPr>
          <w:rFonts w:hint="eastAsia" w:ascii="仿宋_GB2312" w:eastAsia="仿宋_GB2312"/>
          <w:sz w:val="28"/>
          <w:szCs w:val="28"/>
        </w:rPr>
        <w:t>万元，占收入合计的95.79%。其中：一般公共预算财政拨款收入12451.63万元，占收入合计的95.79%；政府性基金预算财政拨款收入363.00万元，占收入合计的2.79%；国有资本经营预算财政拨款收入0万元，占收入合计的0%；</w:t>
      </w:r>
    </w:p>
    <w:p w14:paraId="41CC92A9">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2.上级补助收入0万元，占收入合计的0%；</w:t>
      </w:r>
    </w:p>
    <w:p w14:paraId="7405BC6E">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3.事业收入184.31万元，占收入合计的1.42%；</w:t>
      </w:r>
    </w:p>
    <w:p w14:paraId="77F643FB">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14:paraId="5D8F8E9A">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5.附属单位上缴收入0万元，占收入合计的0%；</w:t>
      </w:r>
    </w:p>
    <w:p w14:paraId="54267977">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6.其他收入0万元，占收入合计的0%。</w:t>
      </w:r>
    </w:p>
    <w:p w14:paraId="1EA8D4CA">
      <w:pPr>
        <w:spacing w:line="560" w:lineRule="exact"/>
        <w:ind w:firstLine="640"/>
        <w:rPr>
          <w:rFonts w:ascii="仿宋_GB2312" w:eastAsia="仿宋_GB2312" w:cs="Droid Sans"/>
          <w:color w:val="000000"/>
          <w:sz w:val="32"/>
          <w:szCs w:val="32"/>
        </w:rPr>
      </w:pPr>
    </w:p>
    <w:p w14:paraId="78740D3F">
      <w:pPr>
        <w:spacing w:line="560" w:lineRule="exact"/>
        <w:ind w:firstLine="640"/>
        <w:rPr>
          <w:rFonts w:ascii="仿宋_GB2312" w:eastAsia="仿宋_GB2312" w:cs="Droid Sans"/>
          <w:color w:val="000000"/>
          <w:sz w:val="32"/>
          <w:szCs w:val="32"/>
        </w:rPr>
      </w:pPr>
    </w:p>
    <w:p w14:paraId="5698C43D">
      <w:pPr>
        <w:spacing w:line="560" w:lineRule="exact"/>
        <w:rPr>
          <w:rFonts w:ascii="仿宋_GB2312" w:eastAsia="仿宋_GB2312" w:cs="Droid Sans"/>
          <w:color w:val="000000"/>
          <w:sz w:val="32"/>
          <w:szCs w:val="32"/>
        </w:rPr>
      </w:pPr>
    </w:p>
    <w:p w14:paraId="290CB382">
      <w:pPr>
        <w:spacing w:line="560" w:lineRule="exact"/>
        <w:rPr>
          <w:rFonts w:ascii="仿宋_GB2312" w:eastAsia="仿宋_GB2312" w:cs="Droid Sans"/>
          <w:color w:val="000000"/>
          <w:sz w:val="32"/>
          <w:szCs w:val="32"/>
        </w:rPr>
      </w:pPr>
    </w:p>
    <w:p w14:paraId="58A13047">
      <w:pPr>
        <w:pStyle w:val="2"/>
        <w:jc w:val="center"/>
        <w:rPr>
          <w:rFonts w:ascii="仿宋_GB2312" w:eastAsia="仿宋_GB2312"/>
          <w:color w:val="000000"/>
          <w:sz w:val="32"/>
        </w:rPr>
      </w:pPr>
      <w:r>
        <w:rPr>
          <w:rFonts w:hint="eastAsia" w:ascii="仿宋_GB2312" w:eastAsia="仿宋_GB2312"/>
          <w:color w:val="000000"/>
          <w:sz w:val="32"/>
        </w:rPr>
        <w:t>图1：收入决算</w:t>
      </w:r>
    </w:p>
    <w:p w14:paraId="07F0DD47">
      <w:pPr>
        <w:jc w:val="center"/>
      </w:pPr>
      <w:r>
        <w:drawing>
          <wp:inline distT="0" distB="0" distL="0" distR="0">
            <wp:extent cx="4676140" cy="2808605"/>
            <wp:effectExtent l="4445" t="4445" r="13335" b="635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14ECA58E">
      <w:pPr>
        <w:pStyle w:val="3"/>
        <w:ind w:firstLine="420"/>
        <w:jc w:val="center"/>
      </w:pPr>
    </w:p>
    <w:p w14:paraId="4384CA4C">
      <w:pPr>
        <w:pStyle w:val="3"/>
        <w:ind w:firstLine="420"/>
        <w:jc w:val="center"/>
      </w:pPr>
    </w:p>
    <w:p w14:paraId="4CDA28E2">
      <w:pPr>
        <w:pStyle w:val="3"/>
        <w:ind w:firstLine="420"/>
        <w:jc w:val="center"/>
      </w:pPr>
    </w:p>
    <w:p w14:paraId="2726F4FC">
      <w:pPr>
        <w:pStyle w:val="3"/>
        <w:ind w:firstLine="420"/>
        <w:jc w:val="center"/>
      </w:pPr>
    </w:p>
    <w:p w14:paraId="426414D6">
      <w:pPr>
        <w:pStyle w:val="3"/>
        <w:ind w:firstLine="420"/>
        <w:jc w:val="center"/>
      </w:pPr>
    </w:p>
    <w:p w14:paraId="6CD49EBD">
      <w:pPr>
        <w:pStyle w:val="3"/>
        <w:ind w:firstLine="420"/>
        <w:jc w:val="center"/>
      </w:pPr>
    </w:p>
    <w:p w14:paraId="33AA3030">
      <w:pPr>
        <w:pStyle w:val="3"/>
        <w:ind w:firstLine="420"/>
        <w:jc w:val="center"/>
      </w:pPr>
    </w:p>
    <w:p w14:paraId="146C8FAB">
      <w:pPr>
        <w:pStyle w:val="3"/>
        <w:ind w:firstLine="420"/>
        <w:jc w:val="center"/>
      </w:pPr>
    </w:p>
    <w:p w14:paraId="07745D5B">
      <w:pPr>
        <w:pStyle w:val="3"/>
        <w:ind w:firstLine="420"/>
        <w:jc w:val="center"/>
      </w:pPr>
    </w:p>
    <w:p w14:paraId="3B4093EC">
      <w:pPr>
        <w:pStyle w:val="3"/>
        <w:ind w:firstLine="420"/>
        <w:jc w:val="center"/>
      </w:pPr>
    </w:p>
    <w:p w14:paraId="67AA5FD8">
      <w:pPr>
        <w:pStyle w:val="3"/>
        <w:ind w:firstLine="420"/>
        <w:jc w:val="center"/>
      </w:pPr>
    </w:p>
    <w:p w14:paraId="26206754">
      <w:pPr>
        <w:pStyle w:val="3"/>
        <w:ind w:firstLine="420"/>
        <w:jc w:val="center"/>
      </w:pPr>
    </w:p>
    <w:p w14:paraId="3BC0508C">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2529FE37">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14159.61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减少323.00万元，下降2.23%，其中：基本支出</w:t>
      </w:r>
      <w:r>
        <w:rPr>
          <w:rFonts w:ascii="仿宋_GB2312" w:eastAsia="仿宋_GB2312"/>
          <w:sz w:val="28"/>
          <w:szCs w:val="28"/>
        </w:rPr>
        <w:t>12549.87</w:t>
      </w:r>
      <w:r>
        <w:rPr>
          <w:rFonts w:hint="eastAsia" w:ascii="仿宋_GB2312" w:eastAsia="仿宋_GB2312"/>
          <w:sz w:val="28"/>
          <w:szCs w:val="28"/>
        </w:rPr>
        <w:t>万元，占支出合计的88.63%；项目支出</w:t>
      </w:r>
      <w:r>
        <w:rPr>
          <w:rFonts w:ascii="仿宋_GB2312" w:eastAsia="仿宋_GB2312"/>
          <w:sz w:val="28"/>
          <w:szCs w:val="28"/>
        </w:rPr>
        <w:t>1609.74</w:t>
      </w:r>
      <w:r>
        <w:rPr>
          <w:rFonts w:hint="eastAsia" w:ascii="仿宋_GB2312" w:eastAsia="仿宋_GB2312"/>
          <w:sz w:val="28"/>
          <w:szCs w:val="28"/>
        </w:rPr>
        <w:t>万元，占支出合计的11.37%;上缴上级支出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14:paraId="6D66DF5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09D7E72E">
      <w:pPr>
        <w:jc w:val="center"/>
        <w:rPr>
          <w:rFonts w:ascii="黑体" w:eastAsia="黑体"/>
          <w:b/>
          <w:sz w:val="28"/>
          <w:szCs w:val="28"/>
        </w:rPr>
      </w:pPr>
      <w:r>
        <w:drawing>
          <wp:inline distT="0" distB="0" distL="114300" distR="114300">
            <wp:extent cx="6035675" cy="3622040"/>
            <wp:effectExtent l="4445" t="4445" r="10160" b="1587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C7A87A9">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7040A462">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13975.3</w:t>
      </w:r>
      <w:r>
        <w:rPr>
          <w:rFonts w:hint="eastAsia" w:ascii="仿宋_GB2312" w:eastAsia="仿宋_GB2312"/>
          <w:sz w:val="28"/>
          <w:szCs w:val="28"/>
        </w:rPr>
        <w:t>万元，比上年减少412.91万元，下降2.87%。主要原因：</w:t>
      </w:r>
      <w:r>
        <w:rPr>
          <w:rFonts w:hint="eastAsia" w:ascii="仿宋_GB2312" w:hAnsi="仿宋" w:eastAsia="仿宋_GB2312"/>
          <w:sz w:val="32"/>
          <w:szCs w:val="32"/>
        </w:rPr>
        <w:t>学校人员经费本年度无调增人员岗位绩效</w:t>
      </w:r>
      <w:r>
        <w:rPr>
          <w:rFonts w:hint="eastAsia" w:ascii="仿宋_GB2312" w:eastAsia="仿宋_GB2312"/>
          <w:sz w:val="28"/>
          <w:szCs w:val="28"/>
        </w:rPr>
        <w:t>。</w:t>
      </w:r>
    </w:p>
    <w:p w14:paraId="5C719C9B">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14:paraId="46FB837F">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14:paraId="0F63D6F5">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一般公共预算财政拨款支出13612.30万元，主要用于以下方面：教育支出9881.37万元，占本年财政拨款支出72.59%；社会保障和就业支出1691.87万元，占本年财政拨款支出12.43%；卫生健康支出878.39万元，占本年财政拨款支出6.45%；住房保障支出1160.67万元，占本年财政拨款支出8.53%。</w:t>
      </w:r>
    </w:p>
    <w:p w14:paraId="30008205">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14:paraId="7ECFA3EE">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1、“205教育支出”（类）2024年初预算10181.08万元，2024年度决算9881.37万元，完成年初预算的97.06%。</w:t>
      </w:r>
    </w:p>
    <w:p w14:paraId="47144B47">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其中：“20503职业教育支出”（款）2024年初预算10181.08万元，2024年度决算9881.37万元，完成年初预算的97.08%。主要原因：学校人员减少（退休及调出）。</w:t>
      </w:r>
    </w:p>
    <w:p w14:paraId="7EBC0C48">
      <w:pPr>
        <w:spacing w:line="580" w:lineRule="exact"/>
        <w:ind w:firstLine="560" w:firstLineChars="200"/>
        <w:rPr>
          <w:rFonts w:ascii="仿宋_GB2312" w:eastAsia="仿宋_GB2312"/>
          <w:sz w:val="28"/>
          <w:szCs w:val="28"/>
        </w:rPr>
      </w:pPr>
      <w:r>
        <w:rPr>
          <w:rFonts w:hint="eastAsia" w:ascii="仿宋_GB2312" w:eastAsia="仿宋_GB2312"/>
          <w:sz w:val="28"/>
          <w:szCs w:val="28"/>
        </w:rPr>
        <w:t>2、“208社会保障和就业支出”(类) 2024年初预算1560.57万元，2024年度决算1691.87万元，完成年初预算的108.41%。其中:“20805 行政事业单位养老支出”(款)2024 年初预算1560.57万元，2024年度决算1691.87万元,完成年初预算的108.41%。主要原因:调整社保基数后增加了社保的养老保险和职业年金的支出金额。</w:t>
      </w:r>
    </w:p>
    <w:p w14:paraId="1C8ABC1C">
      <w:pPr>
        <w:spacing w:line="580" w:lineRule="exact"/>
        <w:ind w:firstLine="560" w:firstLineChars="200"/>
        <w:rPr>
          <w:rFonts w:ascii="仿宋_GB2312" w:eastAsia="仿宋_GB2312"/>
          <w:sz w:val="28"/>
          <w:szCs w:val="28"/>
        </w:rPr>
      </w:pPr>
      <w:r>
        <w:rPr>
          <w:rFonts w:hint="eastAsia" w:ascii="仿宋_GB2312" w:eastAsia="仿宋_GB2312"/>
          <w:sz w:val="28"/>
          <w:szCs w:val="28"/>
        </w:rPr>
        <w:t>3、“210卫生健康支出”(类) 2024年初预算915.75万元，2024年度决算878.39万元，完成年初预算的95.92%。其中：</w:t>
      </w:r>
    </w:p>
    <w:p w14:paraId="15CFA5A6">
      <w:pPr>
        <w:spacing w:line="580" w:lineRule="exact"/>
        <w:ind w:firstLine="560" w:firstLineChars="200"/>
        <w:rPr>
          <w:rFonts w:ascii="仿宋_GB2312" w:eastAsia="仿宋_GB2312"/>
          <w:sz w:val="28"/>
          <w:szCs w:val="28"/>
        </w:rPr>
      </w:pPr>
      <w:r>
        <w:rPr>
          <w:rFonts w:hint="eastAsia" w:ascii="仿宋_GB2312" w:eastAsia="仿宋_GB2312"/>
          <w:sz w:val="28"/>
          <w:szCs w:val="28"/>
        </w:rPr>
        <w:t>“21011行政事业单位医疗”(款)2024 年初预算915.75万元，2024年度决算878.39万元，完成年初预算的95.92%。主要原因：学校人员减少（退休及调出）。</w:t>
      </w:r>
    </w:p>
    <w:p w14:paraId="0DFFD963">
      <w:pPr>
        <w:spacing w:line="580" w:lineRule="exact"/>
        <w:ind w:firstLine="560" w:firstLineChars="200"/>
        <w:rPr>
          <w:rFonts w:ascii="仿宋_GB2312" w:eastAsia="仿宋_GB2312"/>
          <w:sz w:val="28"/>
          <w:szCs w:val="28"/>
        </w:rPr>
      </w:pPr>
      <w:r>
        <w:rPr>
          <w:rFonts w:hint="eastAsia" w:ascii="仿宋_GB2312" w:eastAsia="仿宋_GB2312"/>
          <w:sz w:val="28"/>
          <w:szCs w:val="28"/>
        </w:rPr>
        <w:t>4、221住房保障支出”(类) 2024年初预算0万元，2024年度决算1160.67万元。主要原因：完成在职及退休人员第三批住房补贴发放。</w:t>
      </w:r>
    </w:p>
    <w:p w14:paraId="20A9971B">
      <w:pPr>
        <w:spacing w:line="580" w:lineRule="exact"/>
        <w:ind w:firstLine="840" w:firstLineChars="300"/>
        <w:rPr>
          <w:rFonts w:ascii="仿宋_GB2312" w:eastAsia="仿宋_GB2312"/>
          <w:sz w:val="28"/>
          <w:szCs w:val="28"/>
        </w:rPr>
      </w:pPr>
      <w:r>
        <w:rPr>
          <w:rFonts w:hint="eastAsia" w:ascii="仿宋_GB2312" w:eastAsia="仿宋_GB2312"/>
          <w:sz w:val="28"/>
          <w:szCs w:val="28"/>
        </w:rPr>
        <w:t>“22102住房改革支出”(款)2024 年初预算0万元，2024年度决算1160.67万元。主要原因：完成在职及退休人员第三批住房补贴发放。</w:t>
      </w:r>
    </w:p>
    <w:p w14:paraId="5136E1DB">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14:paraId="4D051A86">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（一）政府性基金预算财政拨款支出决算总体情况</w:t>
      </w:r>
    </w:p>
    <w:p w14:paraId="1F133826">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2024年度政府性基金预算财政拨款支出363万元，主要用于以下方面（按大类）：城乡社区支出363.00万元，占本年财政拨款支出100%。</w:t>
      </w:r>
    </w:p>
    <w:p w14:paraId="0EBC9D18">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（二）政府性基金预算财政拨款支出决算具体情况</w:t>
      </w:r>
    </w:p>
    <w:p w14:paraId="3894E3B6">
      <w:pPr>
        <w:autoSpaceDE w:val="0"/>
        <w:autoSpaceDN w:val="0"/>
        <w:adjustRightInd w:val="0"/>
        <w:spacing w:line="580" w:lineRule="exact"/>
        <w:ind w:firstLine="700" w:firstLineChars="250"/>
        <w:jc w:val="left"/>
        <w:rPr>
          <w:rFonts w:ascii="仿宋_GB2312" w:eastAsia="仿宋_GB2312"/>
          <w:sz w:val="28"/>
          <w:szCs w:val="28"/>
        </w:rPr>
      </w:pPr>
      <w:r>
        <w:rPr>
          <w:rFonts w:hint="eastAsia" w:ascii="仿宋_GB2312" w:eastAsia="仿宋_GB2312"/>
          <w:sz w:val="28"/>
          <w:szCs w:val="28"/>
        </w:rPr>
        <w:t>1、“城乡社区支出”（类，下同）2024年度年初预算363.00万元，2024年度决算363.00万元，完成年初预算的100%。其中：</w:t>
      </w:r>
    </w:p>
    <w:p w14:paraId="1303A590">
      <w:pPr>
        <w:spacing w:line="580" w:lineRule="exact"/>
        <w:ind w:firstLine="560" w:firstLineChars="200"/>
        <w:rPr>
          <w:rFonts w:ascii="仿宋_GB2312" w:eastAsia="仿宋_GB2312"/>
          <w:sz w:val="28"/>
          <w:szCs w:val="28"/>
        </w:rPr>
      </w:pPr>
      <w:r>
        <w:rPr>
          <w:rFonts w:hint="eastAsia" w:ascii="仿宋_GB2312" w:eastAsia="仿宋_GB2312"/>
          <w:sz w:val="28"/>
          <w:szCs w:val="28"/>
        </w:rPr>
        <w:t>“城市基础设施配套费对应专项债务收入安排的支出”（款，下同）2024年度年初预算363.00万元，2024年度决算363.00万元，完成年初预算的100%。主要原因：完成</w:t>
      </w:r>
      <w:r>
        <w:rPr>
          <w:rFonts w:ascii="仿宋_GB2312" w:eastAsia="仿宋_GB2312"/>
          <w:sz w:val="28"/>
          <w:szCs w:val="28"/>
        </w:rPr>
        <w:t>2024年大兴区第一职业学校消防及供热管线改造（政府投资项目）</w:t>
      </w:r>
      <w:r>
        <w:rPr>
          <w:rFonts w:hint="eastAsia" w:ascii="仿宋_GB2312" w:eastAsia="仿宋_GB2312"/>
          <w:sz w:val="28"/>
          <w:szCs w:val="28"/>
        </w:rPr>
        <w:t>项目。</w:t>
      </w:r>
    </w:p>
    <w:p w14:paraId="68E98899">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73917B13">
      <w:pPr>
        <w:ind w:firstLine="537" w:firstLineChars="192"/>
        <w:rPr>
          <w:rFonts w:ascii="仿宋_GB2312" w:eastAsia="仿宋_GB2312"/>
          <w:sz w:val="28"/>
          <w:szCs w:val="28"/>
        </w:rPr>
      </w:pPr>
      <w:r>
        <w:rPr>
          <w:rFonts w:hint="eastAsia" w:ascii="仿宋_GB2312" w:eastAsia="仿宋_GB2312"/>
          <w:sz w:val="28"/>
          <w:szCs w:val="28"/>
        </w:rPr>
        <w:t>2024年度国有资本经营预算财政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77DA50EE">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14:paraId="4C0F4104">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12451.63</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73D3A59D">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14:paraId="194A7F64">
      <w:pPr>
        <w:tabs>
          <w:tab w:val="center" w:pos="6979"/>
        </w:tabs>
        <w:jc w:val="center"/>
        <w:rPr>
          <w:rFonts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14:paraId="438F2C56">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14:paraId="00B7B178">
      <w:pPr>
        <w:spacing w:line="560" w:lineRule="exact"/>
        <w:ind w:firstLine="600"/>
        <w:rPr>
          <w:rFonts w:ascii="仿宋_GB2312" w:eastAsia="仿宋_GB2312"/>
          <w:sz w:val="28"/>
          <w:szCs w:val="28"/>
        </w:rPr>
      </w:pPr>
      <w:r>
        <w:rPr>
          <w:rFonts w:hint="eastAsia" w:ascii="仿宋_GB2312" w:eastAsia="仿宋_GB2312"/>
          <w:sz w:val="28"/>
          <w:szCs w:val="28"/>
        </w:rPr>
        <w:t>2024年度“三公”经费财政拨款决算数17.94万元，比2024年度“三公”经费财政拨款年初预算54.5万元减少36.56万元。其中：</w:t>
      </w:r>
    </w:p>
    <w:p w14:paraId="4E5393A8">
      <w:pPr>
        <w:spacing w:line="560" w:lineRule="exact"/>
        <w:ind w:firstLine="600"/>
        <w:rPr>
          <w:rFonts w:ascii="仿宋_GB2312" w:eastAsia="仿宋_GB2312"/>
          <w:sz w:val="28"/>
          <w:szCs w:val="28"/>
        </w:rPr>
      </w:pPr>
      <w:r>
        <w:rPr>
          <w:rFonts w:hint="eastAsia" w:ascii="仿宋_GB2312" w:eastAsia="仿宋_GB2312"/>
          <w:sz w:val="28"/>
          <w:szCs w:val="28"/>
        </w:rPr>
        <w:t>1.因公出国（境）费用。2024年度决算数0万元，比2024年度年初预算数0万元增减无变化。主要原因：</w:t>
      </w:r>
      <w:r>
        <w:rPr>
          <w:rFonts w:hint="eastAsia" w:ascii="仿宋_GB2312" w:hAnsi="仿宋" w:eastAsia="仿宋_GB2312" w:cs="仿宋"/>
          <w:color w:val="000000"/>
          <w:sz w:val="32"/>
          <w:szCs w:val="32"/>
        </w:rPr>
        <w:t>2024年度因公出国（境）费用主要用于出国（境）的会议、培训交流等事项等，2024年度组织因公出国（境）团组0人、0次</w:t>
      </w:r>
      <w:r>
        <w:rPr>
          <w:rFonts w:hint="eastAsia" w:ascii="仿宋_GB2312" w:eastAsia="仿宋_GB2312"/>
          <w:sz w:val="28"/>
          <w:szCs w:val="28"/>
        </w:rPr>
        <w:t>。</w:t>
      </w:r>
    </w:p>
    <w:p w14:paraId="522DF37B">
      <w:pPr>
        <w:spacing w:line="560" w:lineRule="exact"/>
        <w:ind w:firstLine="600"/>
        <w:rPr>
          <w:rFonts w:ascii="仿宋_GB2312" w:eastAsia="仿宋_GB2312"/>
          <w:sz w:val="28"/>
          <w:szCs w:val="28"/>
        </w:rPr>
      </w:pPr>
      <w:r>
        <w:rPr>
          <w:rFonts w:hint="eastAsia" w:ascii="仿宋_GB2312" w:eastAsia="仿宋_GB2312"/>
          <w:sz w:val="28"/>
          <w:szCs w:val="28"/>
        </w:rPr>
        <w:t>2.公务接待费。2024年度决算数0万元，比2024年度年初预算数0.5万元减少0.5万元。主要原因：</w:t>
      </w:r>
      <w:r>
        <w:rPr>
          <w:rFonts w:hint="eastAsia" w:ascii="仿宋_GB2312" w:hAnsi="仿宋" w:eastAsia="仿宋_GB2312" w:cs="仿宋"/>
          <w:color w:val="000000"/>
          <w:sz w:val="32"/>
          <w:szCs w:val="32"/>
        </w:rPr>
        <w:t>本年度无公务接待支出。2024年度公务接待费主要用于公务接待事项。公务接待0批次，公务接待0人次</w:t>
      </w:r>
      <w:r>
        <w:rPr>
          <w:rFonts w:hint="eastAsia" w:ascii="仿宋_GB2312" w:eastAsia="仿宋_GB2312"/>
          <w:sz w:val="28"/>
          <w:szCs w:val="28"/>
        </w:rPr>
        <w:t>。</w:t>
      </w:r>
    </w:p>
    <w:p w14:paraId="5B201240">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2024年度决算数17.94万元，比2024年度年初预算数54万元减少36.06万元。其中，公务用车购置费2024年度决算数0.00万元，主要原因：本年度单位没有新购公务用车，2024年度购置（更新）0辆。公务用车运行维护费2024年度决算数17.94万元，主要原因：学校提倡绿色环保，减少公务用车出行次数。2024年度公务用车保有量</w:t>
      </w:r>
      <w:r>
        <w:rPr>
          <w:rFonts w:ascii="仿宋_GB2312" w:eastAsia="仿宋_GB2312"/>
          <w:sz w:val="28"/>
          <w:szCs w:val="28"/>
        </w:rPr>
        <w:t>17</w:t>
      </w:r>
      <w:r>
        <w:rPr>
          <w:rFonts w:hint="eastAsia" w:ascii="仿宋_GB2312" w:eastAsia="仿宋_GB2312"/>
          <w:sz w:val="28"/>
          <w:szCs w:val="28"/>
        </w:rPr>
        <w:t>辆。</w:t>
      </w:r>
    </w:p>
    <w:p w14:paraId="61628EA3">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14:paraId="4100D4C7">
      <w:pPr>
        <w:ind w:firstLine="537" w:firstLineChars="192"/>
        <w:rPr>
          <w:rFonts w:ascii="仿宋_GB2312" w:eastAsia="仿宋_GB2312"/>
          <w:sz w:val="28"/>
          <w:szCs w:val="28"/>
        </w:rPr>
      </w:pPr>
      <w:r>
        <w:rPr>
          <w:rFonts w:hint="eastAsia" w:ascii="仿宋_GB2312" w:eastAsia="仿宋_GB2312"/>
          <w:sz w:val="28"/>
          <w:szCs w:val="28"/>
        </w:rPr>
        <w:t>本部门不在机关运行经费统计范围之内。</w:t>
      </w:r>
    </w:p>
    <w:p w14:paraId="03EDF1DE">
      <w:pPr>
        <w:ind w:left="540"/>
        <w:rPr>
          <w:rFonts w:ascii="黑体" w:eastAsia="黑体"/>
          <w:sz w:val="28"/>
          <w:szCs w:val="28"/>
        </w:rPr>
      </w:pPr>
      <w:r>
        <w:rPr>
          <w:rFonts w:hint="eastAsia" w:ascii="黑体" w:eastAsia="黑体"/>
          <w:sz w:val="28"/>
          <w:szCs w:val="28"/>
        </w:rPr>
        <w:t>三、政府采购支出情况</w:t>
      </w:r>
    </w:p>
    <w:p w14:paraId="16D6BF7F">
      <w:pPr>
        <w:ind w:firstLine="537" w:firstLineChars="192"/>
        <w:rPr>
          <w:rFonts w:ascii="仿宋_GB2312" w:eastAsia="仿宋_GB2312"/>
          <w:sz w:val="28"/>
          <w:szCs w:val="28"/>
        </w:rPr>
      </w:pPr>
      <w:r>
        <w:rPr>
          <w:rFonts w:hint="eastAsia" w:ascii="仿宋_GB2312" w:eastAsia="仿宋_GB2312"/>
          <w:sz w:val="28"/>
          <w:szCs w:val="28"/>
        </w:rPr>
        <w:t>2024年度政府采购支出总额435.13万元，其中：政府采购货物支出14.81万元，政府采购工程支出0.00万元，政府采购服务支出420.32万元。授予中小企业合同金额427.26万元，占政府采购支出总额的98%，其中：授予小微企业合同金额407.26万元，占政府采购支出总额的94%。</w:t>
      </w:r>
    </w:p>
    <w:p w14:paraId="15EDCC42">
      <w:pPr>
        <w:ind w:firstLine="560" w:firstLineChars="200"/>
        <w:rPr>
          <w:rFonts w:ascii="黑体" w:eastAsia="黑体"/>
          <w:sz w:val="28"/>
          <w:szCs w:val="28"/>
          <w:highlight w:val="yellow"/>
        </w:rPr>
      </w:pPr>
      <w:r>
        <w:rPr>
          <w:rFonts w:hint="eastAsia" w:ascii="黑体" w:eastAsia="黑体"/>
          <w:sz w:val="28"/>
          <w:szCs w:val="28"/>
        </w:rPr>
        <w:t>四、国有资产占用情况</w:t>
      </w:r>
    </w:p>
    <w:p w14:paraId="20F79051">
      <w:pPr>
        <w:ind w:firstLine="560" w:firstLineChars="200"/>
        <w:rPr>
          <w:rFonts w:ascii="仿宋_GB2312" w:eastAsia="仿宋_GB2312"/>
          <w:sz w:val="32"/>
          <w:szCs w:val="32"/>
        </w:rPr>
      </w:pPr>
      <w:r>
        <w:rPr>
          <w:rFonts w:hint="eastAsia" w:ascii="仿宋_GB2312" w:eastAsia="仿宋_GB2312"/>
          <w:sz w:val="28"/>
          <w:szCs w:val="28"/>
        </w:rPr>
        <w:t>截至12月31日，北京市大兴区第一职业学校共有车辆17台；单位价值100万元（含）以上的设备0台（套）。</w:t>
      </w:r>
    </w:p>
    <w:p w14:paraId="44557B04">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706574FF">
      <w:pPr>
        <w:ind w:firstLine="537" w:firstLineChars="192"/>
        <w:rPr>
          <w:rFonts w:ascii="仿宋_GB2312" w:eastAsia="仿宋_GB2312"/>
          <w:sz w:val="28"/>
          <w:szCs w:val="28"/>
        </w:rPr>
      </w:pPr>
      <w:r>
        <w:rPr>
          <w:rFonts w:hint="eastAsia" w:ascii="仿宋_GB2312" w:eastAsia="仿宋_GB2312"/>
          <w:sz w:val="28"/>
          <w:szCs w:val="28"/>
        </w:rPr>
        <w:t>2024年度</w:t>
      </w:r>
      <w:r>
        <w:rPr>
          <w:rFonts w:ascii="仿宋_GB2312" w:eastAsia="仿宋_GB2312"/>
          <w:sz w:val="28"/>
          <w:szCs w:val="28"/>
        </w:rPr>
        <w:t>政府购买服务决算0</w:t>
      </w:r>
      <w:r>
        <w:rPr>
          <w:rFonts w:hint="eastAsia" w:ascii="仿宋_GB2312" w:eastAsia="仿宋_GB2312"/>
          <w:sz w:val="28"/>
          <w:szCs w:val="28"/>
        </w:rPr>
        <w:t>万元。</w:t>
      </w:r>
    </w:p>
    <w:p w14:paraId="0E32D5B3">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55DDB65D">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AF422B0">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3186DDD2">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5461586B">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29DBE9DD">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2D060845">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50AB1863">
      <w:pPr>
        <w:ind w:firstLine="420" w:firstLineChars="150"/>
        <w:rPr>
          <w:rFonts w:hint="eastAsia" w:ascii="仿宋_GB2312" w:eastAsia="仿宋_GB2312"/>
          <w:sz w:val="28"/>
          <w:szCs w:val="28"/>
        </w:rPr>
      </w:pPr>
      <w:r>
        <w:rPr>
          <w:rFonts w:hint="eastAsia" w:ascii="仿宋_GB2312" w:eastAsia="仿宋_GB2312"/>
          <w:sz w:val="28"/>
          <w:szCs w:val="28"/>
        </w:rPr>
        <w:t>7.教育支出（类）职业教育（款）中等职业教育（项）：是指各部门（不含人力资源社会保障部门）举办的中等职业教育支出。</w:t>
      </w:r>
    </w:p>
    <w:p w14:paraId="1A01381A">
      <w:pPr>
        <w:ind w:firstLine="420" w:firstLineChars="150"/>
        <w:rPr>
          <w:rFonts w:hint="eastAsia" w:ascii="仿宋_GB2312" w:eastAsia="仿宋_GB2312"/>
          <w:sz w:val="28"/>
          <w:szCs w:val="28"/>
        </w:rPr>
      </w:pPr>
      <w:r>
        <w:rPr>
          <w:rFonts w:hint="eastAsia" w:ascii="仿宋_GB2312" w:eastAsia="仿宋_GB2312"/>
          <w:sz w:val="28"/>
          <w:szCs w:val="28"/>
        </w:rPr>
        <w:t>8.社会保障和就业支出（类）行政事业单位养老支出（款）事业单位离退休（项）：是指事业单位开支的离退休经费；机关事业单位基本养老保险缴费支出（项）：是指机关事业单位实施养老保险制度由单位缴纳的基本养老保险费支出；机关事业单位职业年金缴费支出（项）：是指是指机关事业单位实施养老保险制度由单位缴纳的职业年金支出</w:t>
      </w:r>
    </w:p>
    <w:p w14:paraId="2117008D">
      <w:pPr>
        <w:ind w:firstLine="420" w:firstLineChars="150"/>
        <w:rPr>
          <w:rFonts w:hint="eastAsia" w:ascii="仿宋_GB2312" w:eastAsia="仿宋_GB2312"/>
          <w:sz w:val="28"/>
          <w:szCs w:val="28"/>
        </w:rPr>
      </w:pPr>
      <w:r>
        <w:rPr>
          <w:rFonts w:hint="eastAsia" w:ascii="仿宋_GB2312" w:eastAsia="仿宋_GB2312"/>
          <w:sz w:val="28"/>
          <w:szCs w:val="28"/>
        </w:rPr>
        <w:t>9卫生健康支出（类）行政事业单位医疗（款）事业单位医疗（项）：是指财政部门安排的事业单位基本医疗保险缴费经费，未参加医疗保险的事业单位的公费医疗经费，按国家规定享受离休人员待遇的医疗经费；公务员医疗补助（项）：是指财政部门安排的公务员医疗补助经费。</w:t>
      </w:r>
    </w:p>
    <w:p w14:paraId="78CDBE55">
      <w:pPr>
        <w:ind w:firstLine="420" w:firstLineChars="150"/>
        <w:rPr>
          <w:rFonts w:hint="eastAsia" w:ascii="仿宋_GB2312" w:eastAsia="仿宋_GB2312"/>
          <w:sz w:val="28"/>
          <w:szCs w:val="28"/>
        </w:rPr>
      </w:pPr>
      <w:r>
        <w:rPr>
          <w:rFonts w:hint="eastAsia" w:ascii="仿宋_GB2312" w:eastAsia="仿宋_GB2312"/>
          <w:sz w:val="28"/>
          <w:szCs w:val="28"/>
        </w:rPr>
        <w:t>10.住房保障支出（类）住房改革支出（款）购房补贴（项）：是指按房改政策规定，行政事业单位向符合条件职工（含离退休人员）、军队（含武警）向转役复员离退休人员发放的用于购买住房的补贴。</w:t>
      </w:r>
    </w:p>
    <w:p w14:paraId="6155A05C">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11.城乡社区支出（类）其他城乡社区支出（款）其他城乡社区支出（款）：是指其他用于城乡社区方面的支出。</w:t>
      </w:r>
      <w:bookmarkStart w:id="0" w:name="_GoBack"/>
      <w:bookmarkEnd w:id="0"/>
    </w:p>
    <w:p w14:paraId="0DA4C4E2">
      <w:pPr>
        <w:rPr>
          <w:rFonts w:ascii="黑体" w:eastAsia="黑体"/>
          <w:sz w:val="32"/>
          <w:szCs w:val="32"/>
        </w:rPr>
      </w:pPr>
    </w:p>
    <w:p w14:paraId="66098417">
      <w:pPr>
        <w:tabs>
          <w:tab w:val="center" w:pos="6979"/>
        </w:tabs>
        <w:spacing w:line="380" w:lineRule="exact"/>
        <w:jc w:val="center"/>
        <w:rPr>
          <w:rFonts w:ascii="宋体" w:hAnsi="宋体" w:cs="宋体"/>
          <w:b/>
          <w:bCs/>
          <w:kern w:val="0"/>
          <w:sz w:val="28"/>
          <w:szCs w:val="28"/>
        </w:rPr>
      </w:pPr>
    </w:p>
    <w:p w14:paraId="5932C072">
      <w:pPr>
        <w:tabs>
          <w:tab w:val="center" w:pos="6979"/>
        </w:tabs>
        <w:spacing w:line="380" w:lineRule="exact"/>
        <w:jc w:val="center"/>
        <w:rPr>
          <w:rFonts w:ascii="宋体" w:hAnsi="宋体" w:cs="宋体"/>
          <w:b/>
          <w:bCs/>
          <w:kern w:val="0"/>
          <w:sz w:val="28"/>
          <w:szCs w:val="28"/>
        </w:rPr>
      </w:pPr>
    </w:p>
    <w:p w14:paraId="689C648B">
      <w:pPr>
        <w:rPr>
          <w:rFonts w:ascii="黑体" w:eastAsia="黑体"/>
          <w:sz w:val="32"/>
          <w:szCs w:val="32"/>
        </w:rPr>
      </w:pPr>
    </w:p>
    <w:p w14:paraId="5D478E41">
      <w:pPr>
        <w:ind w:firstLine="640" w:firstLineChars="200"/>
        <w:jc w:val="center"/>
        <w:rPr>
          <w:rFonts w:ascii="黑体" w:eastAsia="黑体"/>
          <w:sz w:val="32"/>
          <w:szCs w:val="32"/>
        </w:rPr>
      </w:pPr>
    </w:p>
    <w:p w14:paraId="2B9DFB77">
      <w:pPr>
        <w:ind w:firstLine="640" w:firstLineChars="200"/>
        <w:jc w:val="center"/>
        <w:rPr>
          <w:rFonts w:ascii="黑体" w:eastAsia="黑体"/>
          <w:sz w:val="32"/>
          <w:szCs w:val="32"/>
        </w:rPr>
      </w:pPr>
      <w:r>
        <w:rPr>
          <w:rFonts w:hint="eastAsia" w:ascii="黑体" w:eastAsia="黑体"/>
          <w:sz w:val="32"/>
          <w:szCs w:val="32"/>
        </w:rPr>
        <w:t>第四部分  2024年度部门绩效评价情况</w:t>
      </w:r>
    </w:p>
    <w:p w14:paraId="44FE0FCF">
      <w:pPr>
        <w:ind w:firstLine="560" w:firstLineChars="200"/>
        <w:rPr>
          <w:rFonts w:ascii="黑体" w:eastAsia="黑体"/>
          <w:sz w:val="28"/>
          <w:szCs w:val="28"/>
          <w:highlight w:val="yellow"/>
        </w:rPr>
      </w:pPr>
    </w:p>
    <w:p w14:paraId="0A0F4C85">
      <w:pPr>
        <w:numPr>
          <w:ilvl w:val="0"/>
          <w:numId w:val="1"/>
        </w:numPr>
        <w:ind w:firstLine="560" w:firstLineChars="200"/>
        <w:rPr>
          <w:rFonts w:ascii="黑体" w:eastAsia="黑体"/>
          <w:sz w:val="28"/>
          <w:szCs w:val="28"/>
        </w:rPr>
      </w:pPr>
      <w:r>
        <w:rPr>
          <w:rFonts w:hint="eastAsia" w:ascii="黑体" w:eastAsia="黑体"/>
          <w:sz w:val="28"/>
          <w:szCs w:val="28"/>
        </w:rPr>
        <w:t xml:space="preserve">                                项目</w:t>
      </w:r>
      <w:r>
        <w:rPr>
          <w:rFonts w:ascii="黑体" w:eastAsia="黑体"/>
          <w:sz w:val="28"/>
          <w:szCs w:val="28"/>
        </w:rPr>
        <w:t>支出绩效自评表</w:t>
      </w:r>
      <w:r>
        <w:rPr>
          <w:rFonts w:hint="eastAsia" w:ascii="黑体" w:eastAsia="黑体"/>
          <w:sz w:val="28"/>
          <w:szCs w:val="28"/>
        </w:rPr>
        <w:t>（详见附件）</w:t>
      </w:r>
    </w:p>
    <w:p w14:paraId="434B7C0F">
      <w:pPr>
        <w:spacing w:line="480" w:lineRule="exact"/>
        <w:ind w:firstLine="420"/>
        <w:rPr>
          <w:rFonts w:ascii="黑体" w:eastAsia="黑体"/>
          <w:sz w:val="28"/>
          <w:szCs w:val="28"/>
        </w:rPr>
      </w:pPr>
    </w:p>
    <w:p w14:paraId="6CA24528">
      <w:pPr>
        <w:spacing w:line="480" w:lineRule="exact"/>
        <w:rPr>
          <w:rFonts w:ascii="仿宋_GB2312" w:hAnsi="仿宋_GB2312" w:eastAsia="仿宋_GB2312" w:cs="仿宋_GB2312"/>
          <w:sz w:val="32"/>
          <w:szCs w:val="32"/>
        </w:rPr>
      </w:pPr>
    </w:p>
    <w:p w14:paraId="0CDF0753">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Droid Sans">
    <w:altName w:val="Adobe 仿宋 Std R"/>
    <w:panose1 w:val="00000000000000000000"/>
    <w:charset w:val="00"/>
    <w:family w:val="auto"/>
    <w:pitch w:val="default"/>
    <w:sig w:usb0="00000000" w:usb1="00000000" w:usb2="00000000" w:usb3="00000000" w:csb0="00040001" w:csb1="00000000"/>
  </w:font>
  <w:font w:name="Adobe 仿宋 Std R">
    <w:panose1 w:val="02020400000000000000"/>
    <w:charset w:val="86"/>
    <w:family w:val="auto"/>
    <w:pitch w:val="default"/>
    <w:sig w:usb0="00000001" w:usb1="0A0F1810" w:usb2="00000016" w:usb3="00000000" w:csb0="000600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1BBB4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214B8BE9">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4CEF23">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10</w:t>
    </w:r>
    <w:r>
      <w:fldChar w:fldCharType="end"/>
    </w:r>
  </w:p>
  <w:p w14:paraId="78A552B3">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77C120">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0EC64C3F">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02D2"/>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139"/>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2DFC"/>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030"/>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5EC6"/>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31668"/>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E74EC"/>
    <w:rsid w:val="00AF1B0B"/>
    <w:rsid w:val="00AF242C"/>
    <w:rsid w:val="00AF2C80"/>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2F9E"/>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3ED5749"/>
    <w:rsid w:val="04C3537C"/>
    <w:rsid w:val="079004AC"/>
    <w:rsid w:val="080052EA"/>
    <w:rsid w:val="0BA148CA"/>
    <w:rsid w:val="0C1165C4"/>
    <w:rsid w:val="0D6D544B"/>
    <w:rsid w:val="0DD136FE"/>
    <w:rsid w:val="0EE15DE6"/>
    <w:rsid w:val="0F542F2C"/>
    <w:rsid w:val="0F8E2C57"/>
    <w:rsid w:val="1059665E"/>
    <w:rsid w:val="10AC13BA"/>
    <w:rsid w:val="145A6C1B"/>
    <w:rsid w:val="14B73493"/>
    <w:rsid w:val="167A2FF9"/>
    <w:rsid w:val="1764587C"/>
    <w:rsid w:val="18581C69"/>
    <w:rsid w:val="1AEC0734"/>
    <w:rsid w:val="1DEF20B0"/>
    <w:rsid w:val="1FF7AB17"/>
    <w:rsid w:val="208319DF"/>
    <w:rsid w:val="214243FA"/>
    <w:rsid w:val="21AD613C"/>
    <w:rsid w:val="22467189"/>
    <w:rsid w:val="225D61BE"/>
    <w:rsid w:val="257A14F5"/>
    <w:rsid w:val="27196C26"/>
    <w:rsid w:val="29EF086F"/>
    <w:rsid w:val="2BC34C59"/>
    <w:rsid w:val="2EFFE297"/>
    <w:rsid w:val="301437CA"/>
    <w:rsid w:val="349D1F0A"/>
    <w:rsid w:val="34DD0473"/>
    <w:rsid w:val="3A8E35DC"/>
    <w:rsid w:val="3C684897"/>
    <w:rsid w:val="3EC36A11"/>
    <w:rsid w:val="405848E9"/>
    <w:rsid w:val="433E495C"/>
    <w:rsid w:val="489F2FD7"/>
    <w:rsid w:val="4AC27CB3"/>
    <w:rsid w:val="4BF72BEF"/>
    <w:rsid w:val="4DD64751"/>
    <w:rsid w:val="4FA90297"/>
    <w:rsid w:val="4FC41A43"/>
    <w:rsid w:val="51DB3C59"/>
    <w:rsid w:val="550C0952"/>
    <w:rsid w:val="55762E42"/>
    <w:rsid w:val="57A7B272"/>
    <w:rsid w:val="58470068"/>
    <w:rsid w:val="58747CAC"/>
    <w:rsid w:val="5A1720F9"/>
    <w:rsid w:val="5B39433C"/>
    <w:rsid w:val="5B9C37C2"/>
    <w:rsid w:val="5BA7C654"/>
    <w:rsid w:val="5DF716AE"/>
    <w:rsid w:val="5F9F507E"/>
    <w:rsid w:val="60A54109"/>
    <w:rsid w:val="61D01CDF"/>
    <w:rsid w:val="64C0607C"/>
    <w:rsid w:val="65756C86"/>
    <w:rsid w:val="674D385B"/>
    <w:rsid w:val="676F09E1"/>
    <w:rsid w:val="6BAC188A"/>
    <w:rsid w:val="71691990"/>
    <w:rsid w:val="71793A80"/>
    <w:rsid w:val="7357290B"/>
    <w:rsid w:val="756E3DEA"/>
    <w:rsid w:val="76FB1693"/>
    <w:rsid w:val="771D1C21"/>
    <w:rsid w:val="798524E4"/>
    <w:rsid w:val="7A7F1C49"/>
    <w:rsid w:val="7B5B7AE6"/>
    <w:rsid w:val="7B7B6628"/>
    <w:rsid w:val="7BA7071E"/>
    <w:rsid w:val="7BDF6DA8"/>
    <w:rsid w:val="7C7EDC1A"/>
    <w:rsid w:val="7CCED98D"/>
    <w:rsid w:val="7D08410F"/>
    <w:rsid w:val="7DB96DED"/>
    <w:rsid w:val="7DD3AD81"/>
    <w:rsid w:val="7DD56578"/>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1"/>
              <c:layout>
                <c:manualLayout>
                  <c:x val="-0.190126410079579"/>
                  <c:y val="0.0488221559613311"/>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2"/>
              <c:layout>
                <c:manualLayout>
                  <c:x val="0.20578575656652"/>
                  <c:y val="0.0423246400046396"/>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3"/>
              <c:delete val="1"/>
            </c:dLbl>
            <c:dLbl>
              <c:idx val="4"/>
              <c:delete val="1"/>
            </c:dLbl>
            <c:dLbl>
              <c:idx val="5"/>
              <c:delete val="1"/>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一般公共预算财政拨款收入</c:v>
                </c:pt>
                <c:pt idx="1">
                  <c:v>政府性基金预算财政拨款收入</c:v>
                </c:pt>
                <c:pt idx="2">
                  <c:v>事业收入</c:v>
                </c:pt>
              </c:strCache>
            </c:strRef>
          </c:cat>
          <c:val>
            <c:numRef>
              <c:f>Sheet1!$B$2:$B$7</c:f>
              <c:numCache>
                <c:formatCode>General</c:formatCode>
                <c:ptCount val="6"/>
                <c:pt idx="0">
                  <c:v>12451.63</c:v>
                </c:pt>
                <c:pt idx="1">
                  <c:v>363</c:v>
                </c:pt>
                <c:pt idx="2">
                  <c:v>184.31</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egendEntry>
        <c:idx val="3"/>
        <c:delete val="1"/>
      </c:legendEntry>
      <c:legendEntry>
        <c:idx val="4"/>
        <c:delete val="1"/>
      </c:legendEntry>
      <c:legendEntry>
        <c:idx val="5"/>
        <c:delete val="1"/>
      </c:legendEntry>
      <c:layout>
        <c:manualLayout>
          <c:xMode val="edge"/>
          <c:yMode val="edge"/>
          <c:x val="0.738870536416549"/>
          <c:y val="0.290973547859286"/>
        </c:manualLayout>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rPr lang="zh-CN" altLang="en-US"/>
              <a:t>支出决算</a:t>
            </a:r>
            <a:endParaRPr lang="zh-CN" altLang="en-US"/>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Sheet0!$A$2:$A$6</c:f>
              <c:strCache>
                <c:ptCount val="5"/>
                <c:pt idx="0">
                  <c:v>基本支出</c:v>
                </c:pt>
                <c:pt idx="1">
                  <c:v>项目支出</c:v>
                </c:pt>
              </c:strCache>
            </c:strRef>
          </c:cat>
          <c:val>
            <c:numRef>
              <c:f>Sheet0!$B$2:$B$6</c:f>
              <c:numCache>
                <c:formatCode>General</c:formatCode>
                <c:ptCount val="5"/>
                <c:pt idx="0">
                  <c:v>12549.87</c:v>
                </c:pt>
                <c:pt idx="1">
                  <c:v>1609.74</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2"/>
        <c:delete val="1"/>
      </c:legendEntry>
      <c:legendEntry>
        <c:idx val="3"/>
        <c:delete val="1"/>
      </c:legendEntry>
      <c:legendEntry>
        <c:idx val="4"/>
        <c:delete val="1"/>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bb105a3c-d236-418c-9227-6b384e4e1d5a}"/>
      </c:ext>
    </c:extLst>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14</Pages>
  <Words>3909</Words>
  <Characters>4531</Characters>
  <Lines>33</Lines>
  <Paragraphs>9</Paragraphs>
  <TotalTime>4</TotalTime>
  <ScaleCrop>false</ScaleCrop>
  <LinksUpToDate>false</LinksUpToDate>
  <CharactersWithSpaces>4590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杨</cp:lastModifiedBy>
  <cp:lastPrinted>2020-08-09T03:39:00Z</cp:lastPrinted>
  <dcterms:modified xsi:type="dcterms:W3CDTF">2025-09-25T03:54:59Z</dcterms:modified>
  <dc:title>北京市财政局关于做好向市人大常委会报送2015年度市级部门决算（草案）</dc:title>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A7F78878FB63AC2F75B4B7682BD79272</vt:lpwstr>
  </property>
  <property fmtid="{D5CDD505-2E9C-101B-9397-08002B2CF9AE}" pid="4" name="KSOTemplateDocerSaveRecord">
    <vt:lpwstr>eyJoZGlkIjoiMDQ5YWMyYTNmYTdhYTNiZTNjZWFmMTIzZDk1MWFmZTQiLCJ1c2VySWQiOiIxMDUzMTIxOTI0In0=</vt:lpwstr>
  </property>
</Properties>
</file>