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left="917" w:leftChars="437" w:firstLine="560" w:firstLineChars="200"/>
        <w:rPr>
          <w:rFonts w:hint="eastAsia" w:ascii="仿宋_GB2312" w:eastAsia="仿宋_GB2312"/>
          <w:color w:val="000000"/>
          <w:kern w:val="0"/>
          <w:sz w:val="28"/>
          <w:szCs w:val="28"/>
        </w:rPr>
      </w:pPr>
      <w:r>
        <w:rPr>
          <w:rFonts w:hint="eastAsia" w:ascii="仿宋_GB2312" w:eastAsia="仿宋_GB2312"/>
          <w:kern w:val="0"/>
          <w:sz w:val="28"/>
          <w:szCs w:val="28"/>
        </w:rPr>
        <w:t>本单位职责：</w:t>
      </w:r>
      <w:r>
        <w:rPr>
          <w:rFonts w:hint="eastAsia" w:ascii="仿宋_GB2312" w:eastAsia="仿宋_GB2312"/>
          <w:color w:val="000000"/>
          <w:kern w:val="0"/>
          <w:sz w:val="28"/>
          <w:szCs w:val="28"/>
        </w:rPr>
        <w:t>实施小学义务教育，培养学生全面发展。</w:t>
      </w:r>
    </w:p>
    <w:p>
      <w:pPr>
        <w:spacing w:line="620" w:lineRule="exact"/>
        <w:ind w:left="917" w:leftChars="437" w:firstLine="560" w:firstLineChars="200"/>
        <w:rPr>
          <w:rFonts w:hint="default" w:ascii="仿宋_GB2312" w:eastAsia="仿宋_GB2312"/>
          <w:sz w:val="28"/>
          <w:szCs w:val="28"/>
          <w:lang w:val="en-US" w:eastAsia="zh-CN"/>
        </w:rPr>
      </w:pPr>
      <w:r>
        <w:rPr>
          <w:rFonts w:hint="eastAsia" w:ascii="仿宋_GB2312" w:eastAsia="仿宋_GB2312"/>
          <w:kern w:val="0"/>
          <w:sz w:val="28"/>
          <w:szCs w:val="28"/>
        </w:rPr>
        <w:t>机构设置情况</w:t>
      </w:r>
      <w:r>
        <w:rPr>
          <w:rFonts w:hint="eastAsia" w:ascii="仿宋_GB2312" w:eastAsia="仿宋_GB2312"/>
          <w:color w:val="000000"/>
          <w:sz w:val="28"/>
          <w:szCs w:val="28"/>
        </w:rPr>
        <w:t>：设有校长室、副校长室、工会、总务处、及各教研组等。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2189.82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187.98</w:t>
      </w:r>
      <w:r>
        <w:rPr>
          <w:rFonts w:hint="eastAsia" w:ascii="仿宋_GB2312" w:eastAsia="仿宋_GB2312"/>
          <w:sz w:val="28"/>
          <w:szCs w:val="28"/>
        </w:rPr>
        <w:t>万元，增长</w:t>
      </w:r>
      <w:r>
        <w:rPr>
          <w:rFonts w:hint="eastAsia" w:ascii="仿宋_GB2312" w:eastAsia="仿宋_GB2312"/>
          <w:sz w:val="28"/>
          <w:szCs w:val="28"/>
          <w:lang w:val="en-US" w:eastAsia="zh-CN"/>
        </w:rPr>
        <w:t>9.39</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2058.15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135.48</w:t>
      </w:r>
      <w:r>
        <w:rPr>
          <w:rFonts w:hint="eastAsia" w:ascii="仿宋_GB2312" w:eastAsia="仿宋_GB2312"/>
          <w:sz w:val="28"/>
          <w:szCs w:val="28"/>
        </w:rPr>
        <w:t>万元，增长</w:t>
      </w:r>
      <w:r>
        <w:rPr>
          <w:rFonts w:hint="eastAsia" w:ascii="仿宋_GB2312" w:eastAsia="仿宋_GB2312"/>
          <w:sz w:val="28"/>
          <w:szCs w:val="28"/>
          <w:lang w:val="en-US" w:eastAsia="zh-CN"/>
        </w:rPr>
        <w:t>7.05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2058.15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4826000" cy="2743200"/>
            <wp:effectExtent l="4445" t="4445" r="8255" b="14605"/>
            <wp:docPr id="2" name="图表 2" descr="7b0a202020202263686172745265734964223a20223230343731333838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2189.82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187.98</w:t>
      </w:r>
      <w:r>
        <w:rPr>
          <w:rFonts w:hint="eastAsia" w:ascii="仿宋_GB2312" w:eastAsia="仿宋_GB2312"/>
          <w:sz w:val="28"/>
          <w:szCs w:val="28"/>
        </w:rPr>
        <w:t>万元，增长</w:t>
      </w:r>
      <w:r>
        <w:rPr>
          <w:rFonts w:hint="eastAsia" w:ascii="仿宋_GB2312" w:eastAsia="仿宋_GB2312"/>
          <w:sz w:val="28"/>
          <w:szCs w:val="28"/>
          <w:lang w:val="en-US" w:eastAsia="zh-CN"/>
        </w:rPr>
        <w:t>9.39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1963.27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89.65</w:t>
      </w:r>
      <w:r>
        <w:rPr>
          <w:rFonts w:hint="eastAsia" w:ascii="仿宋_GB2312" w:eastAsia="仿宋_GB2312"/>
          <w:sz w:val="28"/>
          <w:szCs w:val="28"/>
          <w:highlight w:val="none"/>
        </w:rPr>
        <w:t>%；项目支出</w:t>
      </w:r>
      <w:r>
        <w:rPr>
          <w:rFonts w:ascii="仿宋_GB2312" w:eastAsia="仿宋_GB2312"/>
          <w:sz w:val="28"/>
          <w:szCs w:val="28"/>
          <w:highlight w:val="none"/>
        </w:rPr>
        <w:t>226.54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10.35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826000" cy="2743200"/>
            <wp:effectExtent l="4445" t="4445" r="8255" b="14605"/>
            <wp:docPr id="6" name="图表 2" descr="7b0a202020202263686172745265734964223a20223230343731333838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2189.82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187.98</w:t>
      </w:r>
      <w:r>
        <w:rPr>
          <w:rFonts w:hint="eastAsia" w:ascii="仿宋_GB2312" w:eastAsia="仿宋_GB2312"/>
          <w:sz w:val="28"/>
          <w:szCs w:val="28"/>
        </w:rPr>
        <w:t>万元，增长</w:t>
      </w:r>
      <w:r>
        <w:rPr>
          <w:rFonts w:hint="eastAsia" w:ascii="仿宋_GB2312" w:eastAsia="仿宋_GB2312"/>
          <w:sz w:val="28"/>
          <w:szCs w:val="28"/>
          <w:lang w:val="en-US" w:eastAsia="zh-CN"/>
        </w:rPr>
        <w:t>9.39</w:t>
      </w:r>
      <w:r>
        <w:rPr>
          <w:rFonts w:hint="eastAsia" w:ascii="仿宋_GB2312" w:eastAsia="仿宋_GB2312"/>
          <w:sz w:val="28"/>
          <w:szCs w:val="28"/>
        </w:rPr>
        <w:t>%。主要原因：</w:t>
      </w:r>
      <w:r>
        <w:rPr>
          <w:rFonts w:hint="eastAsia" w:ascii="仿宋_GB2312" w:eastAsia="仿宋_GB2312"/>
          <w:sz w:val="28"/>
          <w:szCs w:val="28"/>
          <w:lang w:val="en-US" w:eastAsia="zh-CN"/>
        </w:rPr>
        <w:t>2024年工资补发2022、2023两年的区统筹结余24.17万元；2024年新增手拉手项目45万元；补发住房补贴及社保基数调整</w:t>
      </w:r>
      <w:bookmarkStart w:id="0" w:name="_GoBack"/>
      <w:bookmarkEnd w:id="0"/>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2189.82</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1686.80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77.03</w:t>
      </w:r>
      <w:r>
        <w:rPr>
          <w:rFonts w:hint="eastAsia" w:ascii="仿宋_GB2312" w:eastAsia="仿宋_GB2312"/>
          <w:sz w:val="28"/>
          <w:szCs w:val="28"/>
        </w:rPr>
        <w:t>%；</w:t>
      </w:r>
      <w:r>
        <w:rPr>
          <w:rFonts w:hint="eastAsia" w:ascii="仿宋_GB2312" w:eastAsia="仿宋_GB2312"/>
          <w:sz w:val="28"/>
          <w:szCs w:val="28"/>
          <w:lang w:val="en-US" w:eastAsia="zh-CN"/>
        </w:rPr>
        <w:t>社会保障和就业支出220.75万元，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10.08</w:t>
      </w:r>
      <w:r>
        <w:rPr>
          <w:rFonts w:hint="eastAsia" w:ascii="仿宋_GB2312" w:eastAsia="仿宋_GB2312"/>
          <w:sz w:val="28"/>
          <w:szCs w:val="28"/>
        </w:rPr>
        <w:t>%；</w:t>
      </w:r>
      <w:r>
        <w:rPr>
          <w:rFonts w:hint="eastAsia" w:ascii="仿宋_GB2312" w:eastAsia="仿宋_GB2312"/>
          <w:sz w:val="28"/>
          <w:szCs w:val="28"/>
          <w:lang w:val="en-US" w:eastAsia="zh-CN"/>
        </w:rPr>
        <w:t>卫生健康支出150.61万元，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6.88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住房保障支出131.66万元，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6.01</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1642.18</w:t>
      </w:r>
      <w:r>
        <w:rPr>
          <w:rFonts w:hint="eastAsia" w:ascii="仿宋_GB2312" w:eastAsia="仿宋_GB2312"/>
          <w:sz w:val="28"/>
          <w:szCs w:val="28"/>
        </w:rPr>
        <w:t>万元，2024年度决算</w:t>
      </w:r>
      <w:r>
        <w:rPr>
          <w:rFonts w:hint="eastAsia" w:ascii="仿宋_GB2312" w:eastAsia="仿宋_GB2312"/>
          <w:sz w:val="28"/>
          <w:szCs w:val="28"/>
          <w:lang w:val="en-US" w:eastAsia="zh-CN"/>
        </w:rPr>
        <w:t>1686.80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102.72</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1642.18</w:t>
      </w:r>
      <w:r>
        <w:rPr>
          <w:rFonts w:hint="eastAsia" w:ascii="仿宋_GB2312" w:eastAsia="仿宋_GB2312"/>
          <w:sz w:val="28"/>
          <w:szCs w:val="28"/>
        </w:rPr>
        <w:t>万元，2024年度决算</w:t>
      </w:r>
      <w:r>
        <w:rPr>
          <w:rFonts w:hint="eastAsia" w:ascii="仿宋_GB2312" w:eastAsia="仿宋_GB2312"/>
          <w:sz w:val="28"/>
          <w:szCs w:val="28"/>
          <w:lang w:val="en-US" w:eastAsia="zh-CN"/>
        </w:rPr>
        <w:t>1686.80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102.72</w:t>
      </w:r>
      <w:r>
        <w:rPr>
          <w:rFonts w:hint="eastAsia" w:ascii="仿宋_GB2312" w:eastAsia="仿宋_GB2312"/>
          <w:sz w:val="28"/>
          <w:szCs w:val="28"/>
        </w:rPr>
        <w:t>%。主要原因：</w:t>
      </w:r>
      <w:r>
        <w:rPr>
          <w:rFonts w:hint="eastAsia" w:ascii="仿宋_GB2312" w:eastAsia="仿宋_GB2312"/>
          <w:sz w:val="28"/>
          <w:szCs w:val="28"/>
          <w:lang w:val="en-US" w:eastAsia="zh-CN"/>
        </w:rPr>
        <w:t>手拉手、中小学实践活动等项目经费追加20.45万元；2024年工资补发2022、2023两年的区统筹结余24.17万元</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221.4万元，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220.75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221.4万元，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220.75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99.71</w:t>
      </w:r>
      <w:r>
        <w:rPr>
          <w:rFonts w:hint="eastAsia" w:ascii="仿宋_GB2312" w:eastAsia="仿宋_GB2312"/>
          <w:sz w:val="28"/>
          <w:szCs w:val="28"/>
        </w:rPr>
        <w:t>%。主要原因：</w:t>
      </w:r>
      <w:r>
        <w:rPr>
          <w:rFonts w:hint="eastAsia" w:ascii="仿宋_GB2312" w:eastAsia="仿宋_GB2312"/>
          <w:sz w:val="28"/>
          <w:szCs w:val="28"/>
          <w:lang w:val="en-US" w:eastAsia="zh-CN"/>
        </w:rPr>
        <w:t>社保基数调整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160.96万元，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150.61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93.57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160.96万元，</w:t>
      </w:r>
      <w:r>
        <w:rPr>
          <w:rFonts w:hint="eastAsia" w:ascii="仿宋_GB2312" w:eastAsia="仿宋_GB2312"/>
          <w:sz w:val="28"/>
          <w:szCs w:val="28"/>
        </w:rPr>
        <w:t>2024年度决算</w:t>
      </w:r>
      <w:r>
        <w:rPr>
          <w:rFonts w:hint="eastAsia" w:ascii="仿宋_GB2312" w:eastAsia="仿宋_GB2312"/>
          <w:sz w:val="28"/>
          <w:szCs w:val="28"/>
          <w:lang w:val="en-US" w:eastAsia="zh-CN"/>
        </w:rPr>
        <w:t>150.61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93.57</w:t>
      </w:r>
      <w:r>
        <w:rPr>
          <w:rFonts w:hint="eastAsia" w:ascii="仿宋_GB2312" w:eastAsia="仿宋_GB2312"/>
          <w:sz w:val="28"/>
          <w:szCs w:val="28"/>
        </w:rPr>
        <w:t>%。主要原因：</w:t>
      </w:r>
      <w:r>
        <w:rPr>
          <w:rFonts w:hint="eastAsia" w:ascii="仿宋_GB2312" w:eastAsia="仿宋_GB2312"/>
          <w:sz w:val="28"/>
          <w:szCs w:val="28"/>
          <w:lang w:val="en-US" w:eastAsia="zh-CN"/>
        </w:rPr>
        <w:t>社保基数调整。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131.66</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131.66</w:t>
      </w:r>
      <w:r>
        <w:rPr>
          <w:rFonts w:hint="eastAsia" w:ascii="仿宋_GB2312" w:eastAsia="仿宋_GB2312"/>
          <w:sz w:val="28"/>
          <w:szCs w:val="28"/>
        </w:rPr>
        <w:t>万元。主要原因：</w:t>
      </w:r>
      <w:r>
        <w:rPr>
          <w:rFonts w:hint="eastAsia" w:ascii="仿宋_GB2312" w:eastAsia="仿宋_GB2312"/>
          <w:sz w:val="28"/>
          <w:szCs w:val="28"/>
          <w:lang w:val="en-US" w:eastAsia="zh-CN"/>
        </w:rPr>
        <w:t>补发在职人员以前年度住房补贴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p>
    <w:p>
      <w:pPr>
        <w:autoSpaceDE w:val="0"/>
        <w:autoSpaceDN w:val="0"/>
        <w:adjustRightInd w:val="0"/>
        <w:spacing w:line="580" w:lineRule="exact"/>
        <w:jc w:val="left"/>
        <w:rPr>
          <w:rFonts w:hint="eastAsia" w:ascii="仿宋_GB2312" w:eastAsia="仿宋_GB2312"/>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6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60" w:lineRule="exact"/>
        <w:ind w:firstLine="420" w:firstLineChars="150"/>
        <w:rPr>
          <w:rFonts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1963.27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办公费、电费、邮电费、取暖费、物业管理费、维修（护）费、培训费、公务接待费、劳务费、委托业务费、福利费、公务用车运行维护费</w:t>
      </w:r>
      <w:r>
        <w:rPr>
          <w:rFonts w:hint="eastAsia" w:ascii="仿宋_GB2312" w:eastAsia="仿宋_GB2312"/>
          <w:sz w:val="28"/>
          <w:szCs w:val="28"/>
        </w:rPr>
        <w:t>；（3）对个人和家庭补助支出包括</w:t>
      </w:r>
      <w:r>
        <w:rPr>
          <w:rFonts w:ascii="仿宋_GB2312" w:eastAsia="仿宋_GB2312"/>
          <w:sz w:val="28"/>
          <w:szCs w:val="28"/>
        </w:rPr>
        <w:t>退休费、抚恤金、生活补助、助学金、奖励金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5.7</w:t>
      </w:r>
      <w:r>
        <w:rPr>
          <w:rFonts w:hint="eastAsia" w:ascii="仿宋_GB2312" w:eastAsia="仿宋_GB2312"/>
          <w:sz w:val="28"/>
          <w:szCs w:val="28"/>
        </w:rPr>
        <w:t>万元减少</w:t>
      </w:r>
      <w:r>
        <w:rPr>
          <w:rFonts w:hint="eastAsia" w:ascii="仿宋_GB2312" w:eastAsia="仿宋_GB2312"/>
          <w:sz w:val="28"/>
          <w:szCs w:val="28"/>
          <w:lang w:val="en-US" w:eastAsia="zh-CN"/>
        </w:rPr>
        <w:t>2.1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ascii="仿宋" w:hAnsi="仿宋" w:eastAsia="仿宋" w:cs="Tahoma"/>
          <w:color w:val="000000"/>
          <w:sz w:val="28"/>
          <w:szCs w:val="28"/>
        </w:rPr>
        <w:t>因公出国（境）费用根据年度出国审批情况作为追加项目管理</w:t>
      </w:r>
      <w:r>
        <w:rPr>
          <w:rFonts w:hint="eastAsia" w:ascii="仿宋" w:hAnsi="仿宋" w:eastAsia="仿宋" w:cs="Tahoma"/>
          <w:color w:val="000000"/>
          <w:sz w:val="28"/>
          <w:szCs w:val="28"/>
          <w:lang w:eastAsia="zh-CN"/>
        </w:rPr>
        <w:t>，</w:t>
      </w:r>
      <w:r>
        <w:rPr>
          <w:rFonts w:hint="eastAsia" w:ascii="仿宋_GB2312" w:hAnsi="Times New Roman" w:eastAsia="仿宋_GB2312" w:cs="Times New Roman"/>
          <w:color w:val="000000"/>
          <w:kern w:val="2"/>
          <w:sz w:val="28"/>
          <w:szCs w:val="28"/>
          <w:lang w:val="en-US" w:eastAsia="zh-CN" w:bidi="ar"/>
        </w:rPr>
        <w:t>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0.3</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万元减少</w:t>
      </w:r>
      <w:r>
        <w:rPr>
          <w:rFonts w:hint="eastAsia" w:ascii="仿宋_GB2312" w:eastAsia="仿宋_GB2312"/>
          <w:sz w:val="28"/>
          <w:szCs w:val="28"/>
          <w:lang w:val="en-US" w:eastAsia="zh-CN"/>
        </w:rPr>
        <w:t>2.1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 w:hAnsi="仿宋" w:eastAsia="仿宋" w:cs="Tahoma"/>
          <w:color w:val="000000"/>
          <w:sz w:val="28"/>
          <w:szCs w:val="28"/>
          <w:lang w:val="en-US" w:eastAsia="zh-CN"/>
        </w:rPr>
        <w:t>本</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numPr>
          <w:ilvl w:val="0"/>
          <w:numId w:val="0"/>
        </w:numPr>
        <w:spacing w:line="560" w:lineRule="exact"/>
        <w:ind w:firstLine="1120" w:firstLineChars="400"/>
        <w:rPr>
          <w:rFonts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rPr>
        <w:t>单位不在机关运行经费统计范围之内</w:t>
      </w:r>
    </w:p>
    <w:p>
      <w:pPr>
        <w:ind w:firstLine="537" w:firstLineChars="192"/>
        <w:rPr>
          <w:rFonts w:hint="eastAsia" w:ascii="仿宋_GB2312" w:eastAsia="仿宋_GB2312"/>
          <w:sz w:val="28"/>
          <w:szCs w:val="28"/>
        </w:rPr>
      </w:pP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8.68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0.65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8.03</w:t>
      </w:r>
      <w:r>
        <w:rPr>
          <w:rFonts w:hint="eastAsia" w:ascii="仿宋_GB2312" w:eastAsia="仿宋_GB2312"/>
          <w:sz w:val="28"/>
          <w:szCs w:val="28"/>
        </w:rPr>
        <w:t>万元。授予中小企业合同金额</w:t>
      </w:r>
      <w:r>
        <w:rPr>
          <w:rFonts w:ascii="仿宋_GB2312" w:eastAsia="仿宋_GB2312"/>
          <w:sz w:val="28"/>
          <w:szCs w:val="28"/>
        </w:rPr>
        <w:t>5.82</w:t>
      </w:r>
      <w:r>
        <w:rPr>
          <w:rFonts w:hint="eastAsia" w:ascii="仿宋_GB2312" w:eastAsia="仿宋_GB2312"/>
          <w:sz w:val="28"/>
          <w:szCs w:val="28"/>
        </w:rPr>
        <w:t>万元，占政府采购支出总额的</w:t>
      </w:r>
      <w:r>
        <w:rPr>
          <w:rFonts w:hint="eastAsia" w:ascii="仿宋_GB2312" w:eastAsia="仿宋_GB2312"/>
          <w:sz w:val="28"/>
          <w:szCs w:val="28"/>
          <w:lang w:eastAsia="zh-CN"/>
        </w:rPr>
        <w:t>67</w:t>
      </w:r>
      <w:r>
        <w:rPr>
          <w:rFonts w:hint="eastAsia" w:ascii="仿宋_GB2312" w:eastAsia="仿宋_GB2312"/>
          <w:sz w:val="28"/>
          <w:szCs w:val="28"/>
        </w:rPr>
        <w:t>%，其中：授予小微企业合同金额</w:t>
      </w:r>
      <w:r>
        <w:rPr>
          <w:rFonts w:ascii="仿宋_GB2312" w:eastAsia="仿宋_GB2312"/>
          <w:sz w:val="28"/>
          <w:szCs w:val="28"/>
        </w:rPr>
        <w:t>5.16</w:t>
      </w:r>
      <w:r>
        <w:rPr>
          <w:rFonts w:hint="eastAsia" w:ascii="仿宋_GB2312" w:eastAsia="仿宋_GB2312"/>
          <w:sz w:val="28"/>
          <w:szCs w:val="28"/>
        </w:rPr>
        <w:t>万元，占政府采购支出总额的</w:t>
      </w:r>
      <w:r>
        <w:rPr>
          <w:rFonts w:ascii="仿宋_GB2312" w:eastAsia="仿宋_GB2312"/>
          <w:sz w:val="28"/>
          <w:szCs w:val="28"/>
        </w:rPr>
        <w:t>59.42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12月31日，北京市大兴区礼贤镇第二中心小学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7.社会保障和就业支出（类）行政事业单位养老支出（款）行政单位离退休（项）：反映用于行政单位（包括实行公务员管理的事业单位）开支的离退休经费。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8、小学教育：反映各部门举办的小学教育支出。政府各部门对社会组织等举办的小学的资助，如捐赠、补贴等，也在本科目中反映。</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9、机关事业单位基本养老保险缴费支出：反映单位为职工缴纳的基本养老保险费。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10、职业年金缴费：反映单位为职工实际缴纳的职业年金（含职业年金补记支出）。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11、职工基本医疗保险缴费：反映单位为职工缴纳的基本医疗保险（含生育保险）费。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12、公务员医疗补助：反映按规定可享受公务员医疗补助单位为职工缴纳的公务员医疗补助费。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13、事业单位医疗：反映单位为职工缴纳的基本医疗保险（含生育保险）等。</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14、购房补贴：反应按房改政策规定，行政事业单位向符合条件职工（含离退休人员）、军队（含武警）向转役复员退休人员发放的用于购买住房的补贴。</w:t>
      </w:r>
    </w:p>
    <w:p>
      <w:pPr>
        <w:numPr>
          <w:ilvl w:val="0"/>
          <w:numId w:val="0"/>
        </w:numPr>
        <w:ind w:firstLine="560" w:firstLineChars="200"/>
        <w:rPr>
          <w:rFonts w:hint="eastAsia" w:ascii="仿宋_GB2312" w:eastAsia="仿宋_GB2312"/>
          <w:sz w:val="28"/>
          <w:szCs w:val="28"/>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pStyle w:val="2"/>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第四部分2024年度项目绩效评价情况</w:t>
      </w: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EDCD1"/>
    <w:multiLevelType w:val="singleLevel"/>
    <w:tmpl w:val="1B8EDC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802AE2"/>
    <w:rsid w:val="039106AD"/>
    <w:rsid w:val="04C3537C"/>
    <w:rsid w:val="06C23411"/>
    <w:rsid w:val="079004AC"/>
    <w:rsid w:val="07B26BB4"/>
    <w:rsid w:val="0BA148CA"/>
    <w:rsid w:val="0C1165C4"/>
    <w:rsid w:val="0D6D544B"/>
    <w:rsid w:val="0D9909E4"/>
    <w:rsid w:val="0DD136FE"/>
    <w:rsid w:val="0EFF17BE"/>
    <w:rsid w:val="0F542F2C"/>
    <w:rsid w:val="0F8E2C57"/>
    <w:rsid w:val="1059665E"/>
    <w:rsid w:val="10AC13BA"/>
    <w:rsid w:val="11E62FBD"/>
    <w:rsid w:val="12A10CC7"/>
    <w:rsid w:val="132854E4"/>
    <w:rsid w:val="145A6C1B"/>
    <w:rsid w:val="14B73493"/>
    <w:rsid w:val="167A2FF9"/>
    <w:rsid w:val="1764587C"/>
    <w:rsid w:val="18581C69"/>
    <w:rsid w:val="1ABD28D8"/>
    <w:rsid w:val="1AEC0734"/>
    <w:rsid w:val="1DD243E0"/>
    <w:rsid w:val="1DEF20B0"/>
    <w:rsid w:val="1E88173F"/>
    <w:rsid w:val="1FF7AB17"/>
    <w:rsid w:val="20BD4F1E"/>
    <w:rsid w:val="214243FA"/>
    <w:rsid w:val="21AD613C"/>
    <w:rsid w:val="22467189"/>
    <w:rsid w:val="22833F45"/>
    <w:rsid w:val="257A14F5"/>
    <w:rsid w:val="27196C26"/>
    <w:rsid w:val="29EF086F"/>
    <w:rsid w:val="2B4C0DD6"/>
    <w:rsid w:val="2BC34C59"/>
    <w:rsid w:val="2CEC4F5B"/>
    <w:rsid w:val="2EB549C5"/>
    <w:rsid w:val="2EFFE297"/>
    <w:rsid w:val="301437CA"/>
    <w:rsid w:val="30D504FA"/>
    <w:rsid w:val="326E3CE6"/>
    <w:rsid w:val="349D1F0A"/>
    <w:rsid w:val="34DD0473"/>
    <w:rsid w:val="3A8E35DC"/>
    <w:rsid w:val="3AC26A51"/>
    <w:rsid w:val="3C684897"/>
    <w:rsid w:val="3D3E280C"/>
    <w:rsid w:val="420605C9"/>
    <w:rsid w:val="433E495C"/>
    <w:rsid w:val="44621C79"/>
    <w:rsid w:val="488E7A05"/>
    <w:rsid w:val="489F2FD7"/>
    <w:rsid w:val="4AC27CB3"/>
    <w:rsid w:val="4BF72BEF"/>
    <w:rsid w:val="4D36558C"/>
    <w:rsid w:val="4D3F79A8"/>
    <w:rsid w:val="4F8C0C67"/>
    <w:rsid w:val="4FA90297"/>
    <w:rsid w:val="4FC41A43"/>
    <w:rsid w:val="51DB3C59"/>
    <w:rsid w:val="550C0952"/>
    <w:rsid w:val="55762E42"/>
    <w:rsid w:val="57A7B272"/>
    <w:rsid w:val="58470068"/>
    <w:rsid w:val="58747CAC"/>
    <w:rsid w:val="5A1720F9"/>
    <w:rsid w:val="5A9B2ED2"/>
    <w:rsid w:val="5B9C37C2"/>
    <w:rsid w:val="5BA7C654"/>
    <w:rsid w:val="5DF716AE"/>
    <w:rsid w:val="5F9F507E"/>
    <w:rsid w:val="60A54109"/>
    <w:rsid w:val="613332AC"/>
    <w:rsid w:val="61D01CDF"/>
    <w:rsid w:val="62835046"/>
    <w:rsid w:val="640E01D7"/>
    <w:rsid w:val="64C0607C"/>
    <w:rsid w:val="65756C86"/>
    <w:rsid w:val="670B5FBB"/>
    <w:rsid w:val="674D385B"/>
    <w:rsid w:val="676F09E1"/>
    <w:rsid w:val="68835179"/>
    <w:rsid w:val="69424C47"/>
    <w:rsid w:val="6CF50029"/>
    <w:rsid w:val="6E8231DF"/>
    <w:rsid w:val="6F1C062E"/>
    <w:rsid w:val="71691990"/>
    <w:rsid w:val="71793A80"/>
    <w:rsid w:val="71A97ADD"/>
    <w:rsid w:val="7357290B"/>
    <w:rsid w:val="756E3DEA"/>
    <w:rsid w:val="76FB1693"/>
    <w:rsid w:val="798524E4"/>
    <w:rsid w:val="7A7F1C49"/>
    <w:rsid w:val="7B404729"/>
    <w:rsid w:val="7B5B7AE6"/>
    <w:rsid w:val="7B7B6628"/>
    <w:rsid w:val="7BA7071E"/>
    <w:rsid w:val="7BDF6DA8"/>
    <w:rsid w:val="7C7EDC1A"/>
    <w:rsid w:val="7CAC5764"/>
    <w:rsid w:val="7CCED98D"/>
    <w:rsid w:val="7D08410F"/>
    <w:rsid w:val="7DB96DED"/>
    <w:rsid w:val="7DC4436B"/>
    <w:rsid w:val="7DD3AD81"/>
    <w:rsid w:val="7DFFF77E"/>
    <w:rsid w:val="7E8220A6"/>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 w:type="character" w:customStyle="1" w:styleId="22">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收入决算</a:t>
            </a:r>
          </a:p>
        </c:rich>
      </c:tx>
      <c:layout/>
      <c:overlay val="0"/>
      <c:spPr>
        <a:noFill/>
        <a:ln>
          <a:noFill/>
        </a:ln>
        <a:effectLst/>
      </c:spPr>
    </c:title>
    <c:autoTitleDeleted val="0"/>
    <c:plotArea>
      <c:layout/>
      <c:pieChart>
        <c:varyColors val="1"/>
        <c:ser>
          <c:idx val="1"/>
          <c:order val="0"/>
          <c:spPr/>
          <c:explosion val="0"/>
          <c:dPt>
            <c:idx val="0"/>
            <c:bubble3D val="0"/>
            <c:spPr>
              <a:gradFill>
                <a:gsLst>
                  <a:gs pos="0">
                    <a:schemeClr val="accent1">
                      <a:lumMod val="40000"/>
                      <a:lumOff val="60000"/>
                    </a:schemeClr>
                  </a:gs>
                  <a:gs pos="90000">
                    <a:schemeClr val="accent1"/>
                  </a:gs>
                </a:gsLst>
                <a:lin ang="5400000" scaled="0"/>
              </a:gradFill>
              <a:ln>
                <a:gradFill>
                  <a:gsLst>
                    <a:gs pos="0">
                      <a:schemeClr val="accent1"/>
                    </a:gs>
                    <a:gs pos="100000">
                      <a:schemeClr val="accent1">
                        <a:lumMod val="75000"/>
                      </a:schemeClr>
                    </a:gs>
                  </a:gsLst>
                  <a:lin ang="5400000" scaled="1"/>
                </a:gradFill>
              </a:ln>
              <a:effectLst>
                <a:outerShdw blurRad="76200" dist="25400" dir="2700000" algn="tl" rotWithShape="0">
                  <a:schemeClr val="accent1">
                    <a:lumMod val="50000"/>
                    <a:alpha val="30000"/>
                  </a:schemeClr>
                </a:outerShdw>
              </a:effectLst>
            </c:spPr>
          </c:dPt>
          <c:dPt>
            <c:idx val="1"/>
            <c:bubble3D val="0"/>
            <c:spPr>
              <a:gradFill>
                <a:gsLst>
                  <a:gs pos="0">
                    <a:schemeClr val="accent2">
                      <a:lumMod val="40000"/>
                      <a:lumOff val="60000"/>
                    </a:schemeClr>
                  </a:gs>
                  <a:gs pos="90000">
                    <a:schemeClr val="accent2"/>
                  </a:gs>
                </a:gsLst>
                <a:lin ang="5400000" scaled="0"/>
              </a:gradFill>
              <a:ln>
                <a:gradFill>
                  <a:gsLst>
                    <a:gs pos="0">
                      <a:schemeClr val="accent2"/>
                    </a:gs>
                    <a:gs pos="100000">
                      <a:schemeClr val="accent2">
                        <a:lumMod val="75000"/>
                      </a:schemeClr>
                    </a:gs>
                  </a:gsLst>
                  <a:lin ang="5400000" scaled="1"/>
                </a:gradFill>
              </a:ln>
              <a:effectLst>
                <a:outerShdw blurRad="76200" dist="25400" dir="2700000" algn="tl" rotWithShape="0">
                  <a:schemeClr val="accent2">
                    <a:lumMod val="50000"/>
                    <a:alpha val="30000"/>
                  </a:schemeClr>
                </a:outerShdw>
              </a:effectLst>
            </c:spPr>
          </c:dPt>
          <c:dPt>
            <c:idx val="2"/>
            <c:bubble3D val="0"/>
            <c:spPr>
              <a:gradFill>
                <a:gsLst>
                  <a:gs pos="0">
                    <a:schemeClr val="accent3">
                      <a:lumMod val="40000"/>
                      <a:lumOff val="60000"/>
                    </a:schemeClr>
                  </a:gs>
                  <a:gs pos="90000">
                    <a:schemeClr val="accent3"/>
                  </a:gs>
                </a:gsLst>
                <a:lin ang="5400000" scaled="0"/>
              </a:gradFill>
              <a:ln>
                <a:gradFill>
                  <a:gsLst>
                    <a:gs pos="0">
                      <a:schemeClr val="accent3"/>
                    </a:gs>
                    <a:gs pos="100000">
                      <a:schemeClr val="accent3">
                        <a:lumMod val="75000"/>
                      </a:schemeClr>
                    </a:gs>
                  </a:gsLst>
                  <a:lin ang="5400000" scaled="1"/>
                </a:gradFill>
              </a:ln>
              <a:effectLst>
                <a:outerShdw blurRad="76200" dist="25400" dir="2700000" algn="tl" rotWithShape="0">
                  <a:schemeClr val="accent3">
                    <a:lumMod val="50000"/>
                    <a:alpha val="30000"/>
                  </a:schemeClr>
                </a:outerShdw>
              </a:effectLst>
            </c:spPr>
          </c:dPt>
          <c:dPt>
            <c:idx val="3"/>
            <c:bubble3D val="0"/>
            <c:spPr>
              <a:gradFill>
                <a:gsLst>
                  <a:gs pos="0">
                    <a:schemeClr val="accent4">
                      <a:lumMod val="40000"/>
                      <a:lumOff val="60000"/>
                    </a:schemeClr>
                  </a:gs>
                  <a:gs pos="90000">
                    <a:schemeClr val="accent4"/>
                  </a:gs>
                </a:gsLst>
                <a:lin ang="5400000" scaled="0"/>
              </a:gradFill>
              <a:ln>
                <a:gradFill>
                  <a:gsLst>
                    <a:gs pos="0">
                      <a:schemeClr val="accent4"/>
                    </a:gs>
                    <a:gs pos="100000">
                      <a:schemeClr val="accent4">
                        <a:lumMod val="75000"/>
                      </a:schemeClr>
                    </a:gs>
                  </a:gsLst>
                  <a:lin ang="5400000" scaled="1"/>
                </a:gradFill>
              </a:ln>
              <a:effectLst>
                <a:outerShdw blurRad="76200" dist="25400" dir="2700000" algn="tl" rotWithShape="0">
                  <a:schemeClr val="accent4">
                    <a:lumMod val="50000"/>
                    <a:alpha val="30000"/>
                  </a:schemeClr>
                </a:outerShdw>
              </a:effectLst>
            </c:spPr>
          </c:dPt>
          <c:dPt>
            <c:idx val="4"/>
            <c:bubble3D val="0"/>
            <c:spPr>
              <a:gradFill>
                <a:gsLst>
                  <a:gs pos="0">
                    <a:schemeClr val="accent5">
                      <a:lumMod val="40000"/>
                      <a:lumOff val="60000"/>
                    </a:schemeClr>
                  </a:gs>
                  <a:gs pos="90000">
                    <a:schemeClr val="accent5"/>
                  </a:gs>
                </a:gsLst>
                <a:lin ang="5400000" scaled="0"/>
              </a:gradFill>
              <a:ln>
                <a:gradFill>
                  <a:gsLst>
                    <a:gs pos="0">
                      <a:schemeClr val="accent5"/>
                    </a:gs>
                    <a:gs pos="100000">
                      <a:schemeClr val="accent5">
                        <a:lumMod val="75000"/>
                      </a:schemeClr>
                    </a:gs>
                  </a:gsLst>
                  <a:lin ang="5400000" scaled="1"/>
                </a:gradFill>
              </a:ln>
              <a:effectLst>
                <a:outerShdw blurRad="76200" dist="25400" dir="2700000" algn="tl" rotWithShape="0">
                  <a:schemeClr val="accent5">
                    <a:lumMod val="50000"/>
                    <a:alpha val="30000"/>
                  </a:schemeClr>
                </a:outerShdw>
              </a:effectLst>
            </c:spPr>
          </c:dPt>
          <c:dPt>
            <c:idx val="5"/>
            <c:bubble3D val="0"/>
            <c:spPr>
              <a:gradFill>
                <a:gsLst>
                  <a:gs pos="0">
                    <a:schemeClr val="accent6">
                      <a:lumMod val="40000"/>
                      <a:lumOff val="60000"/>
                    </a:schemeClr>
                  </a:gs>
                  <a:gs pos="90000">
                    <a:schemeClr val="accent6"/>
                  </a:gs>
                </a:gsLst>
                <a:lin ang="5400000" scaled="0"/>
              </a:gradFill>
              <a:ln>
                <a:gradFill>
                  <a:gsLst>
                    <a:gs pos="0">
                      <a:schemeClr val="accent6"/>
                    </a:gs>
                    <a:gs pos="100000">
                      <a:schemeClr val="accent6">
                        <a:lumMod val="75000"/>
                      </a:schemeClr>
                    </a:gs>
                  </a:gsLst>
                  <a:lin ang="5400000" scaled="1"/>
                </a:gradFill>
              </a:ln>
              <a:effectLst>
                <a:outerShdw blurRad="76200" dist="25400" dir="2700000" algn="tl" rotWithShape="0">
                  <a:schemeClr val="accent6">
                    <a:lumMod val="50000"/>
                    <a:alpha val="30000"/>
                  </a:schemeClr>
                </a:outerShdw>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[工作簿1]Sheet1!$A$2:$A$7</c:f>
              <c:strCache>
                <c:ptCount val="6"/>
                <c:pt idx="0">
                  <c:v>财政拨款收入</c:v>
                </c:pt>
                <c:pt idx="1">
                  <c:v>上级补助收入</c:v>
                </c:pt>
                <c:pt idx="2">
                  <c:v>事业收入</c:v>
                </c:pt>
                <c:pt idx="3">
                  <c:v>经营收入</c:v>
                </c:pt>
                <c:pt idx="4">
                  <c:v>附属单位上缴收入</c:v>
                </c:pt>
                <c:pt idx="5">
                  <c:v>其他收入</c:v>
                </c:pt>
              </c:strCache>
            </c:strRef>
          </c:cat>
          <c:val>
            <c:numRef>
              <c:f>[工作簿1]Sheet1!$B$2:$B$7</c:f>
              <c:numCache>
                <c:formatCode>0%</c:formatCode>
                <c:ptCount val="6"/>
                <c:pt idx="0">
                  <c:v>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185"/>
          <c:y val="0.158564814814815"/>
          <c:w val="0.673026315789474"/>
          <c:h val="0.188657407407407"/>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chart>
  <c:spPr>
    <a:solidFill>
      <a:schemeClr val="bg1"/>
    </a:solidFill>
    <a:ln w="6350" cap="flat" cmpd="sng" algn="ctr">
      <a:solidFill>
        <a:schemeClr val="tx1">
          <a:lumMod val="50000"/>
          <a:lumOff val="50000"/>
          <a:alpha val="2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支出决算</a:t>
            </a:r>
          </a:p>
        </c:rich>
      </c:tx>
      <c:layout/>
      <c:overlay val="0"/>
      <c:spPr>
        <a:noFill/>
        <a:ln>
          <a:noFill/>
        </a:ln>
        <a:effectLst/>
      </c:spPr>
    </c:title>
    <c:autoTitleDeleted val="0"/>
    <c:plotArea>
      <c:layout/>
      <c:pieChart>
        <c:varyColors val="1"/>
        <c:ser>
          <c:idx val="1"/>
          <c:order val="0"/>
          <c:spPr/>
          <c:explosion val="0"/>
          <c:dPt>
            <c:idx val="0"/>
            <c:bubble3D val="0"/>
            <c:spPr>
              <a:gradFill>
                <a:gsLst>
                  <a:gs pos="0">
                    <a:schemeClr val="accent1">
                      <a:lumMod val="40000"/>
                      <a:lumOff val="60000"/>
                    </a:schemeClr>
                  </a:gs>
                  <a:gs pos="90000">
                    <a:schemeClr val="accent1"/>
                  </a:gs>
                </a:gsLst>
                <a:lin ang="5400000" scaled="0"/>
              </a:gradFill>
              <a:ln>
                <a:gradFill>
                  <a:gsLst>
                    <a:gs pos="0">
                      <a:schemeClr val="accent1"/>
                    </a:gs>
                    <a:gs pos="100000">
                      <a:schemeClr val="accent1">
                        <a:lumMod val="75000"/>
                      </a:schemeClr>
                    </a:gs>
                  </a:gsLst>
                  <a:lin ang="5400000" scaled="1"/>
                </a:gradFill>
              </a:ln>
              <a:effectLst>
                <a:outerShdw blurRad="76200" dist="25400" dir="2700000" algn="tl" rotWithShape="0">
                  <a:schemeClr val="accent1">
                    <a:lumMod val="50000"/>
                    <a:alpha val="30000"/>
                  </a:schemeClr>
                </a:outerShdw>
              </a:effectLst>
            </c:spPr>
          </c:dPt>
          <c:dPt>
            <c:idx val="1"/>
            <c:bubble3D val="0"/>
            <c:spPr>
              <a:gradFill>
                <a:gsLst>
                  <a:gs pos="0">
                    <a:schemeClr val="accent2">
                      <a:lumMod val="40000"/>
                      <a:lumOff val="60000"/>
                    </a:schemeClr>
                  </a:gs>
                  <a:gs pos="90000">
                    <a:schemeClr val="accent2"/>
                  </a:gs>
                </a:gsLst>
                <a:lin ang="5400000" scaled="0"/>
              </a:gradFill>
              <a:ln>
                <a:gradFill>
                  <a:gsLst>
                    <a:gs pos="0">
                      <a:schemeClr val="accent2"/>
                    </a:gs>
                    <a:gs pos="100000">
                      <a:schemeClr val="accent2">
                        <a:lumMod val="75000"/>
                      </a:schemeClr>
                    </a:gs>
                  </a:gsLst>
                  <a:lin ang="5400000" scaled="1"/>
                </a:gradFill>
              </a:ln>
              <a:effectLst>
                <a:outerShdw blurRad="76200" dist="25400" dir="2700000" algn="tl" rotWithShape="0">
                  <a:schemeClr val="accent2">
                    <a:lumMod val="50000"/>
                    <a:alpha val="30000"/>
                  </a:schemeClr>
                </a:outerShdw>
              </a:effectLst>
            </c:spPr>
          </c:dPt>
          <c:dPt>
            <c:idx val="2"/>
            <c:bubble3D val="0"/>
            <c:spPr>
              <a:gradFill>
                <a:gsLst>
                  <a:gs pos="0">
                    <a:schemeClr val="accent3">
                      <a:lumMod val="40000"/>
                      <a:lumOff val="60000"/>
                    </a:schemeClr>
                  </a:gs>
                  <a:gs pos="90000">
                    <a:schemeClr val="accent3"/>
                  </a:gs>
                </a:gsLst>
                <a:lin ang="5400000" scaled="0"/>
              </a:gradFill>
              <a:ln>
                <a:gradFill>
                  <a:gsLst>
                    <a:gs pos="0">
                      <a:schemeClr val="accent3"/>
                    </a:gs>
                    <a:gs pos="100000">
                      <a:schemeClr val="accent3">
                        <a:lumMod val="75000"/>
                      </a:schemeClr>
                    </a:gs>
                  </a:gsLst>
                  <a:lin ang="5400000" scaled="1"/>
                </a:gradFill>
              </a:ln>
              <a:effectLst>
                <a:outerShdw blurRad="76200" dist="25400" dir="2700000" algn="tl" rotWithShape="0">
                  <a:schemeClr val="accent3">
                    <a:lumMod val="50000"/>
                    <a:alpha val="30000"/>
                  </a:schemeClr>
                </a:outerShdw>
              </a:effectLst>
            </c:spPr>
          </c:dPt>
          <c:dPt>
            <c:idx val="3"/>
            <c:bubble3D val="0"/>
            <c:spPr>
              <a:gradFill>
                <a:gsLst>
                  <a:gs pos="0">
                    <a:schemeClr val="accent4">
                      <a:lumMod val="40000"/>
                      <a:lumOff val="60000"/>
                    </a:schemeClr>
                  </a:gs>
                  <a:gs pos="90000">
                    <a:schemeClr val="accent4"/>
                  </a:gs>
                </a:gsLst>
                <a:lin ang="5400000" scaled="0"/>
              </a:gradFill>
              <a:ln>
                <a:gradFill>
                  <a:gsLst>
                    <a:gs pos="0">
                      <a:schemeClr val="accent4"/>
                    </a:gs>
                    <a:gs pos="100000">
                      <a:schemeClr val="accent4">
                        <a:lumMod val="75000"/>
                      </a:schemeClr>
                    </a:gs>
                  </a:gsLst>
                  <a:lin ang="5400000" scaled="1"/>
                </a:gradFill>
              </a:ln>
              <a:effectLst>
                <a:outerShdw blurRad="76200" dist="25400" dir="2700000" algn="tl" rotWithShape="0">
                  <a:schemeClr val="accent4">
                    <a:lumMod val="50000"/>
                    <a:alpha val="30000"/>
                  </a:schemeClr>
                </a:outerShdw>
              </a:effectLst>
            </c:spPr>
          </c:dPt>
          <c:dPt>
            <c:idx val="4"/>
            <c:bubble3D val="0"/>
            <c:spPr>
              <a:gradFill>
                <a:gsLst>
                  <a:gs pos="0">
                    <a:schemeClr val="accent5">
                      <a:lumMod val="40000"/>
                      <a:lumOff val="60000"/>
                    </a:schemeClr>
                  </a:gs>
                  <a:gs pos="90000">
                    <a:schemeClr val="accent5"/>
                  </a:gs>
                </a:gsLst>
                <a:lin ang="5400000" scaled="0"/>
              </a:gradFill>
              <a:ln>
                <a:gradFill>
                  <a:gsLst>
                    <a:gs pos="0">
                      <a:schemeClr val="accent5"/>
                    </a:gs>
                    <a:gs pos="100000">
                      <a:schemeClr val="accent5">
                        <a:lumMod val="75000"/>
                      </a:schemeClr>
                    </a:gs>
                  </a:gsLst>
                  <a:lin ang="5400000" scaled="1"/>
                </a:gradFill>
              </a:ln>
              <a:effectLst>
                <a:outerShdw blurRad="76200" dist="25400" dir="2700000" algn="tl" rotWithShape="0">
                  <a:schemeClr val="accent5">
                    <a:lumMod val="50000"/>
                    <a:alpha val="30000"/>
                  </a:schemeClr>
                </a:outerShdw>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[工作簿1]Sheet1!$A$2:$A$6</c:f>
              <c:strCache>
                <c:ptCount val="5"/>
                <c:pt idx="0">
                  <c:v>基本支出</c:v>
                </c:pt>
                <c:pt idx="1">
                  <c:v>项目支出</c:v>
                </c:pt>
                <c:pt idx="2">
                  <c:v>上缴上级支出</c:v>
                </c:pt>
                <c:pt idx="3">
                  <c:v>经营支出</c:v>
                </c:pt>
                <c:pt idx="4">
                  <c:v>对附属单位补助支出</c:v>
                </c:pt>
              </c:strCache>
            </c:strRef>
          </c:cat>
          <c:val>
            <c:numRef>
              <c:f>[工作簿1]Sheet1!$B$2:$B$6</c:f>
              <c:numCache>
                <c:formatCode>0.00%</c:formatCode>
                <c:ptCount val="5"/>
                <c:pt idx="0">
                  <c:v>0.8965</c:v>
                </c:pt>
                <c:pt idx="1">
                  <c:v>0.1035</c:v>
                </c:pt>
                <c:pt idx="2" c:formatCode="0%">
                  <c:v>0</c:v>
                </c:pt>
                <c:pt idx="3" c:formatCode="0%">
                  <c:v>0</c:v>
                </c:pt>
                <c:pt idx="4"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185"/>
          <c:y val="0.158564814814815"/>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chart>
  <c:spPr>
    <a:solidFill>
      <a:schemeClr val="bg1"/>
    </a:solidFill>
    <a:ln w="6350" cap="flat" cmpd="sng" algn="ctr">
      <a:solidFill>
        <a:schemeClr val="tx1">
          <a:lumMod val="50000"/>
          <a:lumOff val="50000"/>
          <a:alpha val="2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5">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styleClr val="auto"/>
    </cs:effectRef>
    <cs:fontRef idx="minor">
      <a:schemeClr val="dk1"/>
    </cs:fontRef>
    <cs:spPr>
      <a:gradFill>
        <a:gsLst>
          <a:gs pos="0">
            <a:schemeClr val="phClr">
              <a:lumMod val="40000"/>
              <a:lumOff val="60000"/>
            </a:schemeClr>
          </a:gs>
          <a:gs pos="90000">
            <a:schemeClr val="phClr"/>
          </a:gs>
        </a:gsLst>
        <a:lin ang="5400000" scaled="0"/>
      </a:gradFill>
      <a:ln>
        <a:gradFill>
          <a:gsLst>
            <a:gs pos="0">
              <a:schemeClr val="phClr"/>
            </a:gs>
            <a:gs pos="100000">
              <a:schemeClr val="phClr">
                <a:lumMod val="75000"/>
              </a:schemeClr>
            </a:gs>
          </a:gsLst>
          <a:lin ang="5400000" scaled="1"/>
        </a:gradFill>
      </a:ln>
      <a:effectLst>
        <a:outerShdw blurRad="76200" dist="25400" dir="2700000" algn="tl" rotWithShape="0">
          <a:schemeClr val="phClr">
            <a:lumMod val="50000"/>
            <a:alpha val="30000"/>
          </a:schemeClr>
        </a:outerShdw>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5">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styleClr val="auto"/>
    </cs:effectRef>
    <cs:fontRef idx="minor">
      <a:schemeClr val="dk1"/>
    </cs:fontRef>
    <cs:spPr>
      <a:gradFill>
        <a:gsLst>
          <a:gs pos="0">
            <a:schemeClr val="phClr">
              <a:lumMod val="40000"/>
              <a:lumOff val="60000"/>
            </a:schemeClr>
          </a:gs>
          <a:gs pos="90000">
            <a:schemeClr val="phClr"/>
          </a:gs>
        </a:gsLst>
        <a:lin ang="5400000" scaled="0"/>
      </a:gradFill>
      <a:ln>
        <a:gradFill>
          <a:gsLst>
            <a:gs pos="0">
              <a:schemeClr val="phClr"/>
            </a:gs>
            <a:gs pos="100000">
              <a:schemeClr val="phClr">
                <a:lumMod val="75000"/>
              </a:schemeClr>
            </a:gs>
          </a:gsLst>
          <a:lin ang="5400000" scaled="1"/>
        </a:gradFill>
      </a:ln>
      <a:effectLst>
        <a:outerShdw blurRad="76200" dist="25400" dir="2700000" algn="tl" rotWithShape="0">
          <a:schemeClr val="phClr">
            <a:lumMod val="50000"/>
            <a:alpha val="30000"/>
          </a:schemeClr>
        </a:outerShdw>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3618</Words>
  <Characters>4133</Characters>
  <Lines>44</Lines>
  <Paragraphs>12</Paragraphs>
  <TotalTime>1</TotalTime>
  <ScaleCrop>false</ScaleCrop>
  <LinksUpToDate>false</LinksUpToDate>
  <CharactersWithSpaces>4157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孙凯</cp:lastModifiedBy>
  <cp:lastPrinted>2020-08-09T03:39:00Z</cp:lastPrinted>
  <dcterms:modified xsi:type="dcterms:W3CDTF">2025-09-25T03:44:17Z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A7F78878FB63AC2F75B4B7682BD79272</vt:lpwstr>
  </property>
  <property fmtid="{D5CDD505-2E9C-101B-9397-08002B2CF9AE}" pid="4" name="KSOTemplateDocerSaveRecord">
    <vt:lpwstr>eyJoZGlkIjoiZTA1Y2M3NDI3Njg5YTBhZjExZGFiNTMyMDQ1YmVhZGUiLCJ1c2VySWQiOiI4OTYxMzEzMDUifQ==</vt:lpwstr>
  </property>
</Properties>
</file>