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harts/chart1.xml" ContentType="application/vnd.openxmlformats-officedocument.drawingml.chart+xml"/>
  <Override PartName="/word/charts/chart2.xml" ContentType="application/vnd.openxmlformats-officedocument.drawingml.chart+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918C8" w:rsidRDefault="002918C8">
      <w:pPr>
        <w:jc w:val="center"/>
        <w:rPr>
          <w:rFonts w:ascii="仿宋_GB2312" w:eastAsia="仿宋_GB2312"/>
          <w:b/>
          <w:sz w:val="32"/>
          <w:szCs w:val="32"/>
        </w:rPr>
      </w:pPr>
    </w:p>
    <w:p w:rsidR="002918C8" w:rsidRDefault="002918C8">
      <w:pPr>
        <w:jc w:val="center"/>
        <w:rPr>
          <w:rFonts w:ascii="黑体" w:eastAsia="黑体"/>
          <w:sz w:val="72"/>
          <w:szCs w:val="72"/>
        </w:rPr>
      </w:pPr>
    </w:p>
    <w:p w:rsidR="002918C8" w:rsidRDefault="002918C8">
      <w:pPr>
        <w:jc w:val="center"/>
        <w:rPr>
          <w:rFonts w:ascii="黑体" w:eastAsia="黑体"/>
          <w:sz w:val="72"/>
          <w:szCs w:val="72"/>
        </w:rPr>
      </w:pPr>
    </w:p>
    <w:p w:rsidR="002918C8" w:rsidRDefault="002918C8">
      <w:pPr>
        <w:jc w:val="center"/>
        <w:rPr>
          <w:rFonts w:ascii="黑体" w:eastAsia="黑体"/>
          <w:sz w:val="72"/>
          <w:szCs w:val="72"/>
        </w:rPr>
      </w:pPr>
    </w:p>
    <w:p w:rsidR="002918C8" w:rsidRDefault="002918C8">
      <w:pPr>
        <w:jc w:val="center"/>
        <w:rPr>
          <w:rFonts w:ascii="黑体" w:eastAsia="黑体"/>
          <w:sz w:val="72"/>
          <w:szCs w:val="72"/>
        </w:rPr>
      </w:pPr>
    </w:p>
    <w:p w:rsidR="002918C8" w:rsidRDefault="00943A5E">
      <w:pPr>
        <w:jc w:val="center"/>
        <w:rPr>
          <w:rFonts w:ascii="黑体" w:eastAsia="黑体"/>
          <w:sz w:val="72"/>
          <w:szCs w:val="72"/>
        </w:rPr>
      </w:pPr>
      <w:r>
        <w:rPr>
          <w:rFonts w:ascii="黑体" w:eastAsia="黑体" w:hint="eastAsia"/>
          <w:sz w:val="72"/>
          <w:szCs w:val="72"/>
        </w:rPr>
        <w:t>2024年度部门决算（公开</w:t>
      </w:r>
      <w:r>
        <w:rPr>
          <w:rFonts w:ascii="黑体" w:eastAsia="黑体"/>
          <w:sz w:val="72"/>
          <w:szCs w:val="72"/>
        </w:rPr>
        <w:t>）</w:t>
      </w:r>
    </w:p>
    <w:p w:rsidR="002918C8" w:rsidRDefault="002918C8">
      <w:pPr>
        <w:jc w:val="center"/>
        <w:rPr>
          <w:rFonts w:ascii="黑体" w:eastAsia="黑体"/>
          <w:sz w:val="52"/>
          <w:szCs w:val="52"/>
        </w:rPr>
      </w:pPr>
    </w:p>
    <w:p w:rsidR="002918C8" w:rsidRDefault="002918C8">
      <w:pPr>
        <w:jc w:val="center"/>
        <w:rPr>
          <w:rFonts w:ascii="黑体" w:eastAsia="黑体"/>
          <w:sz w:val="52"/>
          <w:szCs w:val="52"/>
        </w:rPr>
      </w:pPr>
    </w:p>
    <w:p w:rsidR="002918C8" w:rsidRDefault="002918C8">
      <w:pPr>
        <w:jc w:val="center"/>
        <w:rPr>
          <w:rFonts w:ascii="黑体" w:eastAsia="黑体"/>
          <w:sz w:val="52"/>
          <w:szCs w:val="52"/>
        </w:rPr>
      </w:pPr>
    </w:p>
    <w:p w:rsidR="002918C8" w:rsidRDefault="002918C8">
      <w:pPr>
        <w:jc w:val="center"/>
        <w:rPr>
          <w:rFonts w:ascii="黑体" w:eastAsia="黑体"/>
          <w:sz w:val="52"/>
          <w:szCs w:val="52"/>
        </w:rPr>
      </w:pPr>
    </w:p>
    <w:p w:rsidR="002918C8" w:rsidRDefault="002918C8">
      <w:pPr>
        <w:jc w:val="center"/>
        <w:rPr>
          <w:rFonts w:ascii="黑体" w:eastAsia="黑体"/>
          <w:sz w:val="32"/>
          <w:szCs w:val="32"/>
        </w:rPr>
      </w:pPr>
    </w:p>
    <w:p w:rsidR="002918C8" w:rsidRDefault="00943A5E">
      <w:pPr>
        <w:spacing w:line="500" w:lineRule="exact"/>
        <w:ind w:firstLine="645"/>
        <w:jc w:val="center"/>
        <w:rPr>
          <w:rFonts w:ascii="宋体" w:hAnsi="宋体" w:cs="宋体"/>
          <w:b/>
          <w:bCs/>
          <w:kern w:val="0"/>
          <w:sz w:val="44"/>
          <w:szCs w:val="36"/>
        </w:rPr>
      </w:pPr>
      <w:r>
        <w:rPr>
          <w:rFonts w:ascii="宋体" w:hAnsi="宋体" w:cs="宋体" w:hint="eastAsia"/>
          <w:b/>
          <w:bCs/>
          <w:kern w:val="0"/>
          <w:sz w:val="44"/>
          <w:szCs w:val="36"/>
        </w:rPr>
        <w:lastRenderedPageBreak/>
        <w:t>目    录</w:t>
      </w:r>
    </w:p>
    <w:p w:rsidR="002918C8" w:rsidRDefault="002918C8">
      <w:pPr>
        <w:spacing w:line="500" w:lineRule="exact"/>
        <w:ind w:firstLine="645"/>
        <w:jc w:val="center"/>
        <w:rPr>
          <w:rFonts w:ascii="宋体" w:hAnsi="宋体" w:cs="宋体"/>
          <w:b/>
          <w:bCs/>
          <w:kern w:val="0"/>
          <w:sz w:val="36"/>
          <w:szCs w:val="36"/>
        </w:rPr>
      </w:pPr>
    </w:p>
    <w:p w:rsidR="002918C8" w:rsidRDefault="00943A5E">
      <w:pPr>
        <w:tabs>
          <w:tab w:val="center" w:pos="6979"/>
        </w:tabs>
        <w:spacing w:line="500" w:lineRule="exact"/>
        <w:ind w:firstLineChars="400" w:firstLine="1600"/>
        <w:jc w:val="left"/>
        <w:rPr>
          <w:rFonts w:ascii="宋体" w:hAnsi="宋体" w:cs="宋体"/>
          <w:bCs/>
          <w:spacing w:val="40"/>
          <w:kern w:val="0"/>
          <w:sz w:val="32"/>
          <w:szCs w:val="32"/>
        </w:rPr>
      </w:pPr>
      <w:r>
        <w:rPr>
          <w:rFonts w:ascii="宋体" w:hAnsi="宋体" w:cs="宋体" w:hint="eastAsia"/>
          <w:bCs/>
          <w:spacing w:val="40"/>
          <w:kern w:val="0"/>
          <w:sz w:val="32"/>
          <w:szCs w:val="32"/>
        </w:rPr>
        <w:t>第一部分 2024年度部门决算报表</w:t>
      </w:r>
    </w:p>
    <w:p w:rsidR="002918C8" w:rsidRDefault="00943A5E">
      <w:pPr>
        <w:tabs>
          <w:tab w:val="center" w:pos="6979"/>
        </w:tabs>
        <w:spacing w:line="500" w:lineRule="exact"/>
        <w:ind w:firstLineChars="600" w:firstLine="2400"/>
        <w:jc w:val="left"/>
        <w:rPr>
          <w:rFonts w:ascii="仿宋_GB2312" w:eastAsia="仿宋_GB2312" w:hAnsi="仿宋"/>
          <w:spacing w:val="40"/>
          <w:sz w:val="32"/>
          <w:szCs w:val="32"/>
        </w:rPr>
      </w:pPr>
      <w:r>
        <w:rPr>
          <w:rFonts w:ascii="仿宋_GB2312" w:eastAsia="仿宋_GB2312" w:hAnsi="仿宋" w:cs="宋体" w:hint="eastAsia"/>
          <w:bCs/>
          <w:spacing w:val="40"/>
          <w:kern w:val="0"/>
          <w:sz w:val="32"/>
          <w:szCs w:val="32"/>
        </w:rPr>
        <w:t>一、收入支出决算总表</w:t>
      </w:r>
    </w:p>
    <w:p w:rsidR="002918C8" w:rsidRDefault="00943A5E">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二、收入决算表</w:t>
      </w:r>
    </w:p>
    <w:p w:rsidR="002918C8" w:rsidRDefault="00943A5E">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三、支出决算表</w:t>
      </w:r>
    </w:p>
    <w:p w:rsidR="002918C8" w:rsidRDefault="00943A5E">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四、财政拨款收入支出决算总表</w:t>
      </w:r>
    </w:p>
    <w:p w:rsidR="002918C8" w:rsidRDefault="00943A5E">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五、一般公共预算财政拨款支出决算表</w:t>
      </w:r>
    </w:p>
    <w:p w:rsidR="002918C8" w:rsidRDefault="00943A5E">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六、一般公共预算财政拨款</w:t>
      </w:r>
      <w:r>
        <w:rPr>
          <w:rFonts w:ascii="仿宋_GB2312" w:eastAsia="仿宋_GB2312" w:hAnsi="仿宋" w:cs="宋体"/>
          <w:bCs/>
          <w:spacing w:val="40"/>
          <w:kern w:val="0"/>
          <w:sz w:val="32"/>
          <w:szCs w:val="32"/>
        </w:rPr>
        <w:t>基本支出决算表</w:t>
      </w:r>
    </w:p>
    <w:p w:rsidR="002918C8" w:rsidRDefault="00943A5E">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七</w:t>
      </w:r>
      <w:r>
        <w:rPr>
          <w:rFonts w:ascii="仿宋_GB2312" w:eastAsia="仿宋_GB2312" w:hAnsi="仿宋" w:cs="宋体"/>
          <w:bCs/>
          <w:spacing w:val="40"/>
          <w:kern w:val="0"/>
          <w:sz w:val="32"/>
          <w:szCs w:val="32"/>
        </w:rPr>
        <w:t>、</w:t>
      </w:r>
      <w:r>
        <w:rPr>
          <w:rFonts w:ascii="仿宋_GB2312" w:eastAsia="仿宋_GB2312" w:hAnsi="仿宋" w:cs="宋体" w:hint="eastAsia"/>
          <w:bCs/>
          <w:spacing w:val="40"/>
          <w:kern w:val="0"/>
          <w:sz w:val="32"/>
          <w:szCs w:val="32"/>
        </w:rPr>
        <w:t>政府性基金预算财政拨款收入支出决算表</w:t>
      </w:r>
    </w:p>
    <w:p w:rsidR="002918C8" w:rsidRDefault="00943A5E">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八、</w:t>
      </w:r>
      <w:r>
        <w:rPr>
          <w:rFonts w:ascii="仿宋_GB2312" w:eastAsia="仿宋_GB2312" w:hAnsi="仿宋" w:cs="宋体"/>
          <w:bCs/>
          <w:spacing w:val="40"/>
          <w:kern w:val="0"/>
          <w:sz w:val="32"/>
          <w:szCs w:val="32"/>
        </w:rPr>
        <w:t>政府性基金</w:t>
      </w:r>
      <w:r>
        <w:rPr>
          <w:rFonts w:ascii="仿宋_GB2312" w:eastAsia="仿宋_GB2312" w:hAnsi="仿宋" w:cs="宋体" w:hint="eastAsia"/>
          <w:bCs/>
          <w:spacing w:val="40"/>
          <w:kern w:val="0"/>
          <w:sz w:val="32"/>
          <w:szCs w:val="32"/>
        </w:rPr>
        <w:t>预算</w:t>
      </w:r>
      <w:r>
        <w:rPr>
          <w:rFonts w:ascii="仿宋_GB2312" w:eastAsia="仿宋_GB2312" w:hAnsi="仿宋" w:cs="宋体"/>
          <w:bCs/>
          <w:spacing w:val="40"/>
          <w:kern w:val="0"/>
          <w:sz w:val="32"/>
          <w:szCs w:val="32"/>
        </w:rPr>
        <w:t>财政拨款基本支出决算表</w:t>
      </w:r>
    </w:p>
    <w:p w:rsidR="002918C8" w:rsidRDefault="00943A5E">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九、国有资本经营预算财政拨款支出决算表</w:t>
      </w:r>
    </w:p>
    <w:p w:rsidR="002918C8" w:rsidRDefault="00943A5E">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十、财政拨款“三公”经费支出决算表</w:t>
      </w:r>
    </w:p>
    <w:p w:rsidR="002918C8" w:rsidRDefault="00943A5E">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十一、政府采购情况表</w:t>
      </w:r>
    </w:p>
    <w:p w:rsidR="002918C8" w:rsidRDefault="00943A5E">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十二、政府购买服务决算公开情况表</w:t>
      </w:r>
    </w:p>
    <w:p w:rsidR="002918C8" w:rsidRDefault="00943A5E">
      <w:pPr>
        <w:tabs>
          <w:tab w:val="center" w:pos="6979"/>
        </w:tabs>
        <w:spacing w:line="500" w:lineRule="exact"/>
        <w:ind w:firstLineChars="400" w:firstLine="1600"/>
        <w:jc w:val="left"/>
        <w:rPr>
          <w:rFonts w:ascii="宋体" w:hAnsi="宋体" w:cs="宋体"/>
          <w:bCs/>
          <w:spacing w:val="40"/>
          <w:kern w:val="0"/>
          <w:sz w:val="32"/>
          <w:szCs w:val="32"/>
        </w:rPr>
      </w:pPr>
      <w:r>
        <w:rPr>
          <w:rFonts w:ascii="宋体" w:hAnsi="宋体" w:cs="宋体" w:hint="eastAsia"/>
          <w:bCs/>
          <w:spacing w:val="40"/>
          <w:kern w:val="0"/>
          <w:sz w:val="32"/>
          <w:szCs w:val="32"/>
        </w:rPr>
        <w:t xml:space="preserve">第二部分 </w:t>
      </w:r>
      <w:r>
        <w:rPr>
          <w:rFonts w:ascii="宋体" w:hAnsi="宋体" w:hint="eastAsia"/>
          <w:spacing w:val="40"/>
          <w:sz w:val="32"/>
          <w:szCs w:val="32"/>
        </w:rPr>
        <w:t>2024年度部门决算说明</w:t>
      </w:r>
    </w:p>
    <w:p w:rsidR="002918C8" w:rsidRDefault="00943A5E">
      <w:pPr>
        <w:tabs>
          <w:tab w:val="center" w:pos="6979"/>
        </w:tabs>
        <w:spacing w:line="500" w:lineRule="exact"/>
        <w:ind w:firstLineChars="400" w:firstLine="1600"/>
        <w:jc w:val="left"/>
        <w:rPr>
          <w:rFonts w:ascii="宋体" w:hAnsi="宋体" w:cs="宋体"/>
          <w:spacing w:val="40"/>
          <w:kern w:val="0"/>
          <w:sz w:val="32"/>
          <w:szCs w:val="32"/>
        </w:rPr>
      </w:pPr>
      <w:r>
        <w:rPr>
          <w:rFonts w:ascii="宋体" w:hAnsi="宋体" w:cs="宋体" w:hint="eastAsia"/>
          <w:bCs/>
          <w:spacing w:val="40"/>
          <w:kern w:val="0"/>
          <w:sz w:val="32"/>
          <w:szCs w:val="32"/>
        </w:rPr>
        <w:t xml:space="preserve">第三部分 </w:t>
      </w:r>
      <w:r>
        <w:rPr>
          <w:rFonts w:ascii="宋体" w:hAnsi="宋体" w:hint="eastAsia"/>
          <w:spacing w:val="40"/>
          <w:sz w:val="32"/>
          <w:szCs w:val="32"/>
        </w:rPr>
        <w:t>2024年度</w:t>
      </w:r>
      <w:r>
        <w:rPr>
          <w:rFonts w:ascii="宋体" w:hAnsi="宋体" w:cs="宋体" w:hint="eastAsia"/>
          <w:spacing w:val="40"/>
          <w:kern w:val="0"/>
          <w:sz w:val="32"/>
          <w:szCs w:val="32"/>
        </w:rPr>
        <w:t>其他重要事项的情况说明</w:t>
      </w:r>
    </w:p>
    <w:p w:rsidR="002918C8" w:rsidRDefault="00943A5E">
      <w:pPr>
        <w:tabs>
          <w:tab w:val="center" w:pos="6979"/>
        </w:tabs>
        <w:spacing w:line="500" w:lineRule="exact"/>
        <w:ind w:firstLineChars="400" w:firstLine="1600"/>
        <w:jc w:val="left"/>
        <w:rPr>
          <w:rFonts w:ascii="宋体" w:hAnsi="宋体" w:cs="宋体"/>
          <w:spacing w:val="40"/>
          <w:kern w:val="0"/>
          <w:sz w:val="36"/>
          <w:szCs w:val="32"/>
        </w:rPr>
      </w:pPr>
      <w:r>
        <w:rPr>
          <w:rFonts w:ascii="宋体" w:hAnsi="宋体" w:cs="宋体" w:hint="eastAsia"/>
          <w:spacing w:val="40"/>
          <w:kern w:val="0"/>
          <w:sz w:val="32"/>
          <w:szCs w:val="32"/>
        </w:rPr>
        <w:t>第四部分 2024年度部门绩效评价情况</w:t>
      </w:r>
    </w:p>
    <w:p w:rsidR="002918C8" w:rsidRDefault="002918C8">
      <w:pPr>
        <w:tabs>
          <w:tab w:val="center" w:pos="6979"/>
        </w:tabs>
        <w:spacing w:beforeLines="50" w:before="156" w:afterLines="50" w:after="156"/>
        <w:jc w:val="center"/>
        <w:rPr>
          <w:rFonts w:ascii="宋体" w:hAnsi="宋体" w:cs="宋体"/>
          <w:b/>
          <w:bCs/>
          <w:spacing w:val="40"/>
          <w:kern w:val="0"/>
          <w:sz w:val="32"/>
          <w:szCs w:val="32"/>
        </w:rPr>
      </w:pPr>
    </w:p>
    <w:p w:rsidR="002918C8" w:rsidRDefault="002918C8">
      <w:pPr>
        <w:tabs>
          <w:tab w:val="center" w:pos="6979"/>
        </w:tabs>
        <w:spacing w:beforeLines="50" w:before="156" w:afterLines="50" w:after="156"/>
        <w:jc w:val="center"/>
        <w:rPr>
          <w:rFonts w:ascii="宋体" w:hAnsi="宋体" w:cs="宋体"/>
          <w:b/>
          <w:bCs/>
          <w:spacing w:val="40"/>
          <w:kern w:val="0"/>
          <w:sz w:val="32"/>
          <w:szCs w:val="32"/>
        </w:rPr>
      </w:pPr>
    </w:p>
    <w:p w:rsidR="002918C8" w:rsidRDefault="002918C8">
      <w:pPr>
        <w:tabs>
          <w:tab w:val="center" w:pos="6979"/>
        </w:tabs>
        <w:spacing w:beforeLines="50" w:before="156" w:afterLines="50" w:after="156"/>
        <w:jc w:val="center"/>
        <w:rPr>
          <w:rFonts w:ascii="宋体" w:hAnsi="宋体" w:cs="宋体"/>
          <w:b/>
          <w:bCs/>
          <w:spacing w:val="40"/>
          <w:kern w:val="0"/>
          <w:sz w:val="32"/>
          <w:szCs w:val="32"/>
        </w:rPr>
      </w:pPr>
    </w:p>
    <w:p w:rsidR="002918C8" w:rsidRDefault="002918C8">
      <w:pPr>
        <w:tabs>
          <w:tab w:val="center" w:pos="6979"/>
        </w:tabs>
        <w:spacing w:beforeLines="50" w:before="156" w:afterLines="50" w:after="156"/>
        <w:jc w:val="center"/>
        <w:rPr>
          <w:rFonts w:ascii="宋体" w:hAnsi="宋体" w:cs="宋体"/>
          <w:b/>
          <w:bCs/>
          <w:spacing w:val="40"/>
          <w:kern w:val="0"/>
          <w:sz w:val="32"/>
          <w:szCs w:val="32"/>
        </w:rPr>
      </w:pPr>
    </w:p>
    <w:p w:rsidR="002918C8" w:rsidRDefault="002918C8">
      <w:pPr>
        <w:tabs>
          <w:tab w:val="center" w:pos="6979"/>
        </w:tabs>
        <w:spacing w:beforeLines="50" w:before="156" w:afterLines="50" w:after="156"/>
        <w:jc w:val="center"/>
        <w:rPr>
          <w:rFonts w:ascii="宋体" w:hAnsi="宋体" w:cs="宋体"/>
          <w:b/>
          <w:bCs/>
          <w:spacing w:val="40"/>
          <w:kern w:val="0"/>
          <w:sz w:val="32"/>
          <w:szCs w:val="32"/>
        </w:rPr>
      </w:pPr>
    </w:p>
    <w:p w:rsidR="002918C8" w:rsidRDefault="00943A5E">
      <w:pPr>
        <w:tabs>
          <w:tab w:val="center" w:pos="6979"/>
        </w:tabs>
        <w:spacing w:beforeLines="50" w:before="156" w:afterLines="50" w:after="156"/>
        <w:jc w:val="center"/>
        <w:rPr>
          <w:rFonts w:ascii="宋体" w:hAnsi="宋体" w:cs="宋体"/>
          <w:b/>
          <w:bCs/>
          <w:spacing w:val="40"/>
          <w:kern w:val="0"/>
          <w:sz w:val="32"/>
          <w:szCs w:val="32"/>
        </w:rPr>
      </w:pPr>
      <w:r>
        <w:rPr>
          <w:rFonts w:ascii="宋体" w:hAnsi="宋体" w:cs="宋体" w:hint="eastAsia"/>
          <w:b/>
          <w:bCs/>
          <w:spacing w:val="40"/>
          <w:kern w:val="0"/>
          <w:sz w:val="44"/>
          <w:szCs w:val="44"/>
        </w:rPr>
        <w:t>第一部分 2024年度部门决算报表</w:t>
      </w:r>
    </w:p>
    <w:p w:rsidR="002918C8" w:rsidRDefault="00943A5E">
      <w:pPr>
        <w:pStyle w:val="2"/>
        <w:rPr>
          <w:b w:val="0"/>
          <w:bCs w:val="0"/>
        </w:rPr>
        <w:sectPr w:rsidR="002918C8">
          <w:footerReference w:type="default" r:id="rId7"/>
          <w:pgSz w:w="16838" w:h="11906" w:orient="landscape"/>
          <w:pgMar w:top="1134" w:right="1134" w:bottom="1134" w:left="1134" w:header="851" w:footer="992" w:gutter="0"/>
          <w:cols w:space="720"/>
          <w:docGrid w:type="linesAndChars" w:linePitch="312"/>
        </w:sectPr>
      </w:pPr>
      <w:r>
        <w:rPr>
          <w:rFonts w:ascii="仿宋_GB2312" w:eastAsia="仿宋_GB2312" w:hint="eastAsia"/>
          <w:sz w:val="28"/>
          <w:szCs w:val="28"/>
        </w:rPr>
        <w:t xml:space="preserve">   </w:t>
      </w:r>
      <w:r>
        <w:rPr>
          <w:rFonts w:ascii="仿宋_GB2312" w:eastAsia="仿宋_GB2312" w:hint="eastAsia"/>
          <w:b w:val="0"/>
          <w:bCs w:val="0"/>
          <w:sz w:val="28"/>
          <w:szCs w:val="28"/>
        </w:rPr>
        <w:t>报表详见附件。</w:t>
      </w:r>
    </w:p>
    <w:p w:rsidR="002918C8" w:rsidRDefault="00943A5E">
      <w:pPr>
        <w:tabs>
          <w:tab w:val="center" w:pos="6979"/>
        </w:tabs>
        <w:spacing w:beforeLines="50" w:before="156" w:afterLines="50" w:after="156"/>
        <w:jc w:val="center"/>
        <w:rPr>
          <w:rFonts w:ascii="宋体" w:hAnsi="宋体"/>
          <w:b/>
          <w:sz w:val="32"/>
          <w:szCs w:val="32"/>
        </w:rPr>
      </w:pPr>
      <w:r>
        <w:rPr>
          <w:rFonts w:ascii="宋体" w:hAnsi="宋体" w:cs="宋体" w:hint="eastAsia"/>
          <w:b/>
          <w:bCs/>
          <w:spacing w:val="40"/>
          <w:kern w:val="0"/>
          <w:sz w:val="32"/>
          <w:szCs w:val="32"/>
        </w:rPr>
        <w:lastRenderedPageBreak/>
        <w:t xml:space="preserve">第二部分 </w:t>
      </w:r>
      <w:r>
        <w:rPr>
          <w:rFonts w:ascii="宋体" w:hAnsi="宋体" w:hint="eastAsia"/>
          <w:b/>
          <w:spacing w:val="40"/>
          <w:sz w:val="32"/>
          <w:szCs w:val="32"/>
        </w:rPr>
        <w:t>2024年度部门决算说明</w:t>
      </w:r>
    </w:p>
    <w:p w:rsidR="002918C8" w:rsidRDefault="00796816">
      <w:pPr>
        <w:tabs>
          <w:tab w:val="center" w:pos="6979"/>
        </w:tabs>
        <w:spacing w:line="580" w:lineRule="exact"/>
        <w:ind w:firstLineChars="196" w:firstLine="551"/>
        <w:rPr>
          <w:rFonts w:ascii="黑体" w:eastAsia="黑体"/>
          <w:b/>
          <w:sz w:val="28"/>
          <w:szCs w:val="28"/>
        </w:rPr>
      </w:pPr>
      <w:r>
        <w:rPr>
          <w:rFonts w:ascii="黑体" w:eastAsia="黑体" w:hint="eastAsia"/>
          <w:b/>
          <w:sz w:val="28"/>
          <w:szCs w:val="28"/>
        </w:rPr>
        <w:t>一、</w:t>
      </w:r>
      <w:r w:rsidR="00943A5E">
        <w:rPr>
          <w:rFonts w:ascii="黑体" w:eastAsia="黑体" w:hint="eastAsia"/>
          <w:b/>
          <w:sz w:val="28"/>
          <w:szCs w:val="28"/>
        </w:rPr>
        <w:t>单位基本情况</w:t>
      </w:r>
    </w:p>
    <w:p w:rsidR="002918C8" w:rsidRDefault="00943A5E">
      <w:pPr>
        <w:tabs>
          <w:tab w:val="center" w:pos="6979"/>
        </w:tabs>
        <w:spacing w:line="580" w:lineRule="exact"/>
        <w:ind w:firstLineChars="200" w:firstLine="560"/>
        <w:rPr>
          <w:rFonts w:ascii="仿宋_GB2312" w:eastAsia="仿宋_GB2312"/>
          <w:kern w:val="0"/>
          <w:sz w:val="28"/>
          <w:szCs w:val="28"/>
        </w:rPr>
      </w:pPr>
      <w:r>
        <w:rPr>
          <w:rFonts w:ascii="仿宋_GB2312" w:eastAsia="仿宋_GB2312" w:hint="eastAsia"/>
          <w:kern w:val="0"/>
          <w:sz w:val="28"/>
          <w:szCs w:val="28"/>
        </w:rPr>
        <w:t>机构设置：设有中心校和南红门完全小学,内设校长办公室、副校长办公室、总务处、教导处、财务室、少先队室、校医室等机构。</w:t>
      </w:r>
    </w:p>
    <w:p w:rsidR="002918C8" w:rsidRDefault="00943A5E">
      <w:pPr>
        <w:tabs>
          <w:tab w:val="center" w:pos="6979"/>
        </w:tabs>
        <w:spacing w:line="580" w:lineRule="exact"/>
        <w:ind w:firstLineChars="200" w:firstLine="560"/>
        <w:rPr>
          <w:rFonts w:ascii="仿宋_GB2312" w:eastAsia="仿宋_GB2312"/>
          <w:kern w:val="0"/>
          <w:sz w:val="28"/>
          <w:szCs w:val="28"/>
        </w:rPr>
      </w:pPr>
      <w:r>
        <w:rPr>
          <w:rFonts w:ascii="仿宋_GB2312" w:eastAsia="仿宋_GB2312" w:hint="eastAsia"/>
          <w:kern w:val="0"/>
          <w:sz w:val="28"/>
          <w:szCs w:val="28"/>
        </w:rPr>
        <w:t>主要职责：实施小学义务教育，促进基础教育发展，小学学历教育等任务。</w:t>
      </w:r>
    </w:p>
    <w:p w:rsidR="002918C8" w:rsidRDefault="00943A5E">
      <w:pPr>
        <w:tabs>
          <w:tab w:val="center" w:pos="6979"/>
        </w:tabs>
        <w:spacing w:line="580" w:lineRule="exact"/>
        <w:rPr>
          <w:rFonts w:ascii="黑体" w:eastAsia="黑体"/>
          <w:b/>
          <w:sz w:val="28"/>
          <w:szCs w:val="28"/>
        </w:rPr>
      </w:pPr>
      <w:r>
        <w:rPr>
          <w:rFonts w:ascii="仿宋_GB2312" w:eastAsia="仿宋_GB2312" w:hint="eastAsia"/>
          <w:b/>
          <w:sz w:val="32"/>
          <w:szCs w:val="32"/>
        </w:rPr>
        <w:t xml:space="preserve">   </w:t>
      </w:r>
      <w:r>
        <w:rPr>
          <w:rFonts w:ascii="黑体" w:eastAsia="黑体" w:hint="eastAsia"/>
          <w:b/>
          <w:sz w:val="28"/>
          <w:szCs w:val="28"/>
        </w:rPr>
        <w:t>二、收入支出决算总体情况说明</w:t>
      </w:r>
    </w:p>
    <w:p w:rsidR="002918C8" w:rsidRDefault="00943A5E">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2024年度收、</w:t>
      </w:r>
      <w:r>
        <w:rPr>
          <w:rFonts w:ascii="仿宋_GB2312" w:eastAsia="仿宋_GB2312"/>
          <w:sz w:val="28"/>
          <w:szCs w:val="28"/>
        </w:rPr>
        <w:t>支</w:t>
      </w:r>
      <w:r>
        <w:rPr>
          <w:rFonts w:ascii="仿宋_GB2312" w:eastAsia="仿宋_GB2312" w:hint="eastAsia"/>
          <w:sz w:val="28"/>
          <w:szCs w:val="28"/>
        </w:rPr>
        <w:t>总计</w:t>
      </w:r>
      <w:r>
        <w:rPr>
          <w:rFonts w:ascii="仿宋_GB2312" w:eastAsia="仿宋_GB2312"/>
          <w:sz w:val="28"/>
          <w:szCs w:val="28"/>
        </w:rPr>
        <w:t>2766.06</w:t>
      </w:r>
      <w:r>
        <w:rPr>
          <w:rFonts w:ascii="仿宋_GB2312" w:eastAsia="仿宋_GB2312" w:hint="eastAsia"/>
          <w:sz w:val="28"/>
          <w:szCs w:val="28"/>
        </w:rPr>
        <w:t>万元，</w:t>
      </w:r>
      <w:r>
        <w:rPr>
          <w:rFonts w:ascii="仿宋_GB2312" w:eastAsia="仿宋_GB2312"/>
          <w:sz w:val="28"/>
          <w:szCs w:val="28"/>
        </w:rPr>
        <w:t>比上年增加</w:t>
      </w:r>
      <w:r>
        <w:rPr>
          <w:rFonts w:ascii="仿宋_GB2312" w:eastAsia="仿宋_GB2312" w:hint="eastAsia"/>
          <w:sz w:val="28"/>
          <w:szCs w:val="28"/>
        </w:rPr>
        <w:t>8</w:t>
      </w:r>
      <w:r>
        <w:rPr>
          <w:rFonts w:ascii="仿宋_GB2312" w:eastAsia="仿宋_GB2312"/>
          <w:sz w:val="28"/>
          <w:szCs w:val="28"/>
        </w:rPr>
        <w:t>6.73</w:t>
      </w:r>
      <w:r>
        <w:rPr>
          <w:rFonts w:ascii="仿宋_GB2312" w:eastAsia="仿宋_GB2312" w:hint="eastAsia"/>
          <w:sz w:val="28"/>
          <w:szCs w:val="28"/>
        </w:rPr>
        <w:t>万元，增长3</w:t>
      </w:r>
      <w:r>
        <w:rPr>
          <w:rFonts w:ascii="仿宋_GB2312" w:eastAsia="仿宋_GB2312"/>
          <w:sz w:val="28"/>
          <w:szCs w:val="28"/>
        </w:rPr>
        <w:t>.24</w:t>
      </w:r>
      <w:r>
        <w:rPr>
          <w:rFonts w:ascii="仿宋_GB2312" w:eastAsia="仿宋_GB2312" w:hint="eastAsia"/>
          <w:sz w:val="28"/>
          <w:szCs w:val="28"/>
        </w:rPr>
        <w:t>%。</w:t>
      </w:r>
    </w:p>
    <w:p w:rsidR="002918C8" w:rsidRDefault="00943A5E">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（一</w:t>
      </w:r>
      <w:r>
        <w:rPr>
          <w:rFonts w:ascii="仿宋_GB2312" w:eastAsia="仿宋_GB2312"/>
          <w:sz w:val="28"/>
          <w:szCs w:val="28"/>
        </w:rPr>
        <w:t>）</w:t>
      </w:r>
      <w:r>
        <w:rPr>
          <w:rFonts w:ascii="仿宋_GB2312" w:eastAsia="仿宋_GB2312" w:hint="eastAsia"/>
          <w:sz w:val="28"/>
          <w:szCs w:val="28"/>
        </w:rPr>
        <w:t>收入决算</w:t>
      </w:r>
      <w:r>
        <w:rPr>
          <w:rFonts w:ascii="仿宋_GB2312" w:eastAsia="仿宋_GB2312"/>
          <w:sz w:val="28"/>
          <w:szCs w:val="28"/>
        </w:rPr>
        <w:t>说明</w:t>
      </w:r>
    </w:p>
    <w:p w:rsidR="002918C8" w:rsidRDefault="00943A5E">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2024年度本年收入合计</w:t>
      </w:r>
      <w:r>
        <w:rPr>
          <w:rFonts w:ascii="仿宋_GB2312" w:eastAsia="仿宋_GB2312"/>
          <w:sz w:val="28"/>
          <w:szCs w:val="28"/>
        </w:rPr>
        <w:t>2578.8</w:t>
      </w:r>
      <w:r>
        <w:rPr>
          <w:rFonts w:ascii="仿宋_GB2312" w:eastAsia="仿宋_GB2312" w:hint="eastAsia"/>
          <w:sz w:val="28"/>
          <w:szCs w:val="28"/>
        </w:rPr>
        <w:t>万元，</w:t>
      </w:r>
      <w:r>
        <w:rPr>
          <w:rFonts w:ascii="仿宋_GB2312" w:eastAsia="仿宋_GB2312"/>
          <w:sz w:val="28"/>
          <w:szCs w:val="28"/>
        </w:rPr>
        <w:t>比上年增加</w:t>
      </w:r>
      <w:r>
        <w:rPr>
          <w:rFonts w:ascii="仿宋_GB2312" w:eastAsia="仿宋_GB2312" w:hint="eastAsia"/>
          <w:sz w:val="28"/>
          <w:szCs w:val="28"/>
        </w:rPr>
        <w:t>4</w:t>
      </w:r>
      <w:r>
        <w:rPr>
          <w:rFonts w:ascii="仿宋_GB2312" w:eastAsia="仿宋_GB2312"/>
          <w:sz w:val="28"/>
          <w:szCs w:val="28"/>
        </w:rPr>
        <w:t>5.39</w:t>
      </w:r>
      <w:r>
        <w:rPr>
          <w:rFonts w:ascii="仿宋_GB2312" w:eastAsia="仿宋_GB2312" w:hint="eastAsia"/>
          <w:sz w:val="28"/>
          <w:szCs w:val="28"/>
        </w:rPr>
        <w:t>万元，增长1</w:t>
      </w:r>
      <w:r>
        <w:rPr>
          <w:rFonts w:ascii="仿宋_GB2312" w:eastAsia="仿宋_GB2312"/>
          <w:sz w:val="28"/>
          <w:szCs w:val="28"/>
        </w:rPr>
        <w:t>.79</w:t>
      </w:r>
      <w:r>
        <w:rPr>
          <w:rFonts w:ascii="仿宋_GB2312" w:eastAsia="仿宋_GB2312" w:hint="eastAsia"/>
          <w:sz w:val="28"/>
          <w:szCs w:val="28"/>
        </w:rPr>
        <w:t>%。</w:t>
      </w:r>
    </w:p>
    <w:p w:rsidR="002918C8" w:rsidRDefault="00943A5E">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1.财政拨款收入</w:t>
      </w:r>
      <w:r>
        <w:rPr>
          <w:rFonts w:ascii="仿宋_GB2312" w:eastAsia="仿宋_GB2312"/>
          <w:sz w:val="28"/>
          <w:szCs w:val="28"/>
        </w:rPr>
        <w:t>2578.8</w:t>
      </w:r>
      <w:r>
        <w:rPr>
          <w:rFonts w:ascii="仿宋_GB2312" w:eastAsia="仿宋_GB2312" w:hint="eastAsia"/>
          <w:sz w:val="28"/>
          <w:szCs w:val="28"/>
        </w:rPr>
        <w:t>万元，占收入合计的100%。其中：一般公共预算财政拨款收入</w:t>
      </w:r>
      <w:r>
        <w:rPr>
          <w:rFonts w:ascii="仿宋_GB2312" w:eastAsia="仿宋_GB2312"/>
          <w:sz w:val="28"/>
          <w:szCs w:val="28"/>
        </w:rPr>
        <w:t>2578.8</w:t>
      </w:r>
      <w:r>
        <w:rPr>
          <w:rFonts w:ascii="仿宋_GB2312" w:eastAsia="仿宋_GB2312" w:hint="eastAsia"/>
          <w:sz w:val="28"/>
          <w:szCs w:val="28"/>
        </w:rPr>
        <w:t>万元，占收入合计的100%；政府性基金预算财政拨款收入0万元，占收入合计的0%；国有资本经营预算财政拨款收入0万元，占收入合计的0%；</w:t>
      </w:r>
    </w:p>
    <w:p w:rsidR="002918C8" w:rsidRDefault="00943A5E">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2.上级补助收入</w:t>
      </w:r>
      <w:r>
        <w:rPr>
          <w:rFonts w:ascii="仿宋_GB2312" w:eastAsia="仿宋_GB2312"/>
          <w:sz w:val="28"/>
          <w:szCs w:val="28"/>
        </w:rPr>
        <w:t>0</w:t>
      </w:r>
      <w:r>
        <w:rPr>
          <w:rFonts w:ascii="仿宋_GB2312" w:eastAsia="仿宋_GB2312" w:hint="eastAsia"/>
          <w:sz w:val="28"/>
          <w:szCs w:val="28"/>
        </w:rPr>
        <w:t>万元，占收入合计的0%；</w:t>
      </w:r>
    </w:p>
    <w:p w:rsidR="002918C8" w:rsidRDefault="00943A5E">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3.事业收入</w:t>
      </w:r>
      <w:r>
        <w:rPr>
          <w:rFonts w:ascii="仿宋_GB2312" w:eastAsia="仿宋_GB2312"/>
          <w:sz w:val="28"/>
          <w:szCs w:val="28"/>
        </w:rPr>
        <w:t>0</w:t>
      </w:r>
      <w:r>
        <w:rPr>
          <w:rFonts w:ascii="仿宋_GB2312" w:eastAsia="仿宋_GB2312" w:hint="eastAsia"/>
          <w:sz w:val="28"/>
          <w:szCs w:val="28"/>
        </w:rPr>
        <w:t>万元，占收入合计的0%；</w:t>
      </w:r>
    </w:p>
    <w:p w:rsidR="002918C8" w:rsidRDefault="00943A5E">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4.经营收入</w:t>
      </w:r>
      <w:r>
        <w:rPr>
          <w:rFonts w:ascii="仿宋_GB2312" w:eastAsia="仿宋_GB2312"/>
          <w:sz w:val="28"/>
          <w:szCs w:val="28"/>
        </w:rPr>
        <w:t>0</w:t>
      </w:r>
      <w:r>
        <w:rPr>
          <w:rFonts w:ascii="仿宋_GB2312" w:eastAsia="仿宋_GB2312" w:hint="eastAsia"/>
          <w:sz w:val="28"/>
          <w:szCs w:val="28"/>
        </w:rPr>
        <w:t>万元，占收入合计的0%；</w:t>
      </w:r>
    </w:p>
    <w:p w:rsidR="002918C8" w:rsidRDefault="00943A5E">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5.附属单位上缴收入</w:t>
      </w:r>
      <w:r>
        <w:rPr>
          <w:rFonts w:ascii="仿宋_GB2312" w:eastAsia="仿宋_GB2312"/>
          <w:sz w:val="28"/>
          <w:szCs w:val="28"/>
        </w:rPr>
        <w:t>0</w:t>
      </w:r>
      <w:r>
        <w:rPr>
          <w:rFonts w:ascii="仿宋_GB2312" w:eastAsia="仿宋_GB2312" w:hint="eastAsia"/>
          <w:sz w:val="28"/>
          <w:szCs w:val="28"/>
        </w:rPr>
        <w:t>万元，占收入合计的0%；</w:t>
      </w:r>
    </w:p>
    <w:p w:rsidR="002918C8" w:rsidRDefault="00943A5E">
      <w:pPr>
        <w:tabs>
          <w:tab w:val="center" w:pos="6979"/>
        </w:tabs>
        <w:spacing w:line="580" w:lineRule="exact"/>
        <w:ind w:firstLineChars="200" w:firstLine="560"/>
        <w:rPr>
          <w:rFonts w:ascii="仿宋_GB2312" w:eastAsiaTheme="minorEastAsia"/>
          <w:sz w:val="28"/>
          <w:szCs w:val="28"/>
        </w:rPr>
      </w:pPr>
      <w:r>
        <w:rPr>
          <w:rFonts w:ascii="仿宋_GB2312" w:eastAsia="仿宋_GB2312" w:hint="eastAsia"/>
          <w:sz w:val="28"/>
          <w:szCs w:val="28"/>
        </w:rPr>
        <w:lastRenderedPageBreak/>
        <w:t>6.其他收入</w:t>
      </w:r>
      <w:r>
        <w:rPr>
          <w:rFonts w:ascii="仿宋_GB2312" w:eastAsia="仿宋_GB2312"/>
          <w:sz w:val="28"/>
          <w:szCs w:val="28"/>
        </w:rPr>
        <w:t>0</w:t>
      </w:r>
      <w:r>
        <w:rPr>
          <w:rFonts w:ascii="仿宋_GB2312" w:eastAsia="仿宋_GB2312" w:hint="eastAsia"/>
          <w:sz w:val="28"/>
          <w:szCs w:val="28"/>
        </w:rPr>
        <w:t>万元，占收入合计的0%。</w:t>
      </w:r>
    </w:p>
    <w:p w:rsidR="005D3733" w:rsidRPr="005D3733" w:rsidRDefault="005D3733">
      <w:pPr>
        <w:tabs>
          <w:tab w:val="center" w:pos="6979"/>
        </w:tabs>
        <w:spacing w:line="580" w:lineRule="exact"/>
        <w:ind w:firstLineChars="200" w:firstLine="560"/>
        <w:rPr>
          <w:rFonts w:ascii="仿宋_GB2312" w:eastAsiaTheme="minorEastAsia" w:hint="eastAsia"/>
          <w:sz w:val="28"/>
          <w:szCs w:val="28"/>
        </w:rPr>
      </w:pPr>
    </w:p>
    <w:p w:rsidR="002918C8" w:rsidRDefault="00943A5E">
      <w:pPr>
        <w:pStyle w:val="2"/>
        <w:jc w:val="center"/>
      </w:pPr>
      <w:r>
        <w:rPr>
          <w:rFonts w:ascii="仿宋_GB2312" w:eastAsia="仿宋_GB2312" w:hint="eastAsia"/>
          <w:color w:val="000000"/>
          <w:sz w:val="32"/>
        </w:rPr>
        <w:t>图1：收入决算</w:t>
      </w:r>
    </w:p>
    <w:p w:rsidR="002918C8" w:rsidRDefault="00943A5E">
      <w:pPr>
        <w:pStyle w:val="a3"/>
        <w:ind w:firstLine="420"/>
        <w:jc w:val="center"/>
      </w:pPr>
      <w:r>
        <w:rPr>
          <w:noProof/>
        </w:rPr>
        <w:drawing>
          <wp:inline distT="0" distB="0" distL="0" distR="0">
            <wp:extent cx="4036695" cy="2328545"/>
            <wp:effectExtent l="0" t="0" r="20955" b="14605"/>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2918C8" w:rsidRDefault="00943A5E">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（二</w:t>
      </w:r>
      <w:r>
        <w:rPr>
          <w:rFonts w:ascii="仿宋_GB2312" w:eastAsia="仿宋_GB2312"/>
          <w:sz w:val="28"/>
          <w:szCs w:val="28"/>
        </w:rPr>
        <w:t>）</w:t>
      </w:r>
      <w:r>
        <w:rPr>
          <w:rFonts w:ascii="仿宋_GB2312" w:eastAsia="仿宋_GB2312" w:hint="eastAsia"/>
          <w:sz w:val="28"/>
          <w:szCs w:val="28"/>
        </w:rPr>
        <w:t>支出决算</w:t>
      </w:r>
      <w:r>
        <w:rPr>
          <w:rFonts w:ascii="仿宋_GB2312" w:eastAsia="仿宋_GB2312"/>
          <w:sz w:val="28"/>
          <w:szCs w:val="28"/>
        </w:rPr>
        <w:t>说明</w:t>
      </w:r>
    </w:p>
    <w:p w:rsidR="002918C8" w:rsidRDefault="00943A5E">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2024年度本年支出合计</w:t>
      </w:r>
      <w:r>
        <w:rPr>
          <w:rFonts w:ascii="仿宋_GB2312" w:eastAsia="仿宋_GB2312"/>
          <w:sz w:val="28"/>
          <w:szCs w:val="28"/>
        </w:rPr>
        <w:t>2766.06</w:t>
      </w:r>
      <w:r>
        <w:rPr>
          <w:rFonts w:ascii="仿宋_GB2312" w:eastAsia="仿宋_GB2312" w:hint="eastAsia"/>
          <w:sz w:val="28"/>
          <w:szCs w:val="28"/>
        </w:rPr>
        <w:t>万元，</w:t>
      </w:r>
      <w:r>
        <w:rPr>
          <w:rFonts w:ascii="仿宋_GB2312" w:eastAsia="仿宋_GB2312"/>
          <w:sz w:val="28"/>
          <w:szCs w:val="28"/>
        </w:rPr>
        <w:t>比上年增加</w:t>
      </w:r>
      <w:r>
        <w:rPr>
          <w:rFonts w:ascii="仿宋_GB2312" w:eastAsia="仿宋_GB2312" w:hint="eastAsia"/>
          <w:sz w:val="28"/>
          <w:szCs w:val="28"/>
        </w:rPr>
        <w:t>8</w:t>
      </w:r>
      <w:r>
        <w:rPr>
          <w:rFonts w:ascii="仿宋_GB2312" w:eastAsia="仿宋_GB2312"/>
          <w:sz w:val="28"/>
          <w:szCs w:val="28"/>
        </w:rPr>
        <w:t>6.73</w:t>
      </w:r>
      <w:r>
        <w:rPr>
          <w:rFonts w:ascii="仿宋_GB2312" w:eastAsia="仿宋_GB2312" w:hint="eastAsia"/>
          <w:sz w:val="28"/>
          <w:szCs w:val="28"/>
        </w:rPr>
        <w:t>万元，增长3</w:t>
      </w:r>
      <w:r>
        <w:rPr>
          <w:rFonts w:ascii="仿宋_GB2312" w:eastAsia="仿宋_GB2312"/>
          <w:sz w:val="28"/>
          <w:szCs w:val="28"/>
        </w:rPr>
        <w:t>.24</w:t>
      </w:r>
      <w:r>
        <w:rPr>
          <w:rFonts w:ascii="仿宋_GB2312" w:eastAsia="仿宋_GB2312" w:hint="eastAsia"/>
          <w:sz w:val="28"/>
          <w:szCs w:val="28"/>
        </w:rPr>
        <w:t>%，其中：基本支出</w:t>
      </w:r>
      <w:r>
        <w:rPr>
          <w:rFonts w:ascii="仿宋_GB2312" w:eastAsia="仿宋_GB2312"/>
          <w:sz w:val="28"/>
          <w:szCs w:val="28"/>
        </w:rPr>
        <w:t>2535.64</w:t>
      </w:r>
      <w:r>
        <w:rPr>
          <w:rFonts w:ascii="仿宋_GB2312" w:eastAsia="仿宋_GB2312" w:hint="eastAsia"/>
          <w:sz w:val="28"/>
          <w:szCs w:val="28"/>
        </w:rPr>
        <w:t>万元，占支出合计的91.67%；项目支出</w:t>
      </w:r>
      <w:r>
        <w:rPr>
          <w:rFonts w:ascii="仿宋_GB2312" w:eastAsia="仿宋_GB2312"/>
          <w:sz w:val="28"/>
          <w:szCs w:val="28"/>
        </w:rPr>
        <w:t>230.42</w:t>
      </w:r>
      <w:r>
        <w:rPr>
          <w:rFonts w:ascii="仿宋_GB2312" w:eastAsia="仿宋_GB2312" w:hint="eastAsia"/>
          <w:sz w:val="28"/>
          <w:szCs w:val="28"/>
        </w:rPr>
        <w:t>万元，占支出合计的8.33%;上缴上级支出</w:t>
      </w:r>
      <w:r>
        <w:rPr>
          <w:rFonts w:ascii="仿宋_GB2312" w:eastAsia="仿宋_GB2312"/>
          <w:sz w:val="28"/>
          <w:szCs w:val="28"/>
        </w:rPr>
        <w:t>0</w:t>
      </w:r>
      <w:r>
        <w:rPr>
          <w:rFonts w:ascii="仿宋_GB2312" w:eastAsia="仿宋_GB2312" w:hint="eastAsia"/>
          <w:sz w:val="28"/>
          <w:szCs w:val="28"/>
        </w:rPr>
        <w:t>万元，占支出合计的0%；经营支出</w:t>
      </w:r>
      <w:r>
        <w:rPr>
          <w:rFonts w:ascii="仿宋_GB2312" w:eastAsia="仿宋_GB2312"/>
          <w:sz w:val="28"/>
          <w:szCs w:val="28"/>
        </w:rPr>
        <w:t>0</w:t>
      </w:r>
      <w:r>
        <w:rPr>
          <w:rFonts w:ascii="仿宋_GB2312" w:eastAsia="仿宋_GB2312" w:hint="eastAsia"/>
          <w:sz w:val="28"/>
          <w:szCs w:val="28"/>
        </w:rPr>
        <w:t>万元，占支出合计的0%；对附属单位补助支出</w:t>
      </w:r>
      <w:r>
        <w:rPr>
          <w:rFonts w:ascii="仿宋_GB2312" w:eastAsia="仿宋_GB2312"/>
          <w:sz w:val="28"/>
          <w:szCs w:val="28"/>
        </w:rPr>
        <w:t>0</w:t>
      </w:r>
      <w:r>
        <w:rPr>
          <w:rFonts w:ascii="仿宋_GB2312" w:eastAsia="仿宋_GB2312" w:hint="eastAsia"/>
          <w:sz w:val="28"/>
          <w:szCs w:val="28"/>
        </w:rPr>
        <w:t>万元，占支出合计的0%。</w:t>
      </w:r>
    </w:p>
    <w:p w:rsidR="002918C8" w:rsidRDefault="00943A5E">
      <w:pPr>
        <w:pStyle w:val="2"/>
        <w:ind w:firstLine="642"/>
        <w:jc w:val="center"/>
        <w:rPr>
          <w:rFonts w:ascii="仿宋_GB2312" w:eastAsia="仿宋_GB2312"/>
          <w:color w:val="000000"/>
          <w:sz w:val="32"/>
        </w:rPr>
      </w:pPr>
      <w:r>
        <w:rPr>
          <w:rFonts w:ascii="仿宋_GB2312" w:eastAsia="仿宋_GB2312" w:hint="eastAsia"/>
          <w:color w:val="000000"/>
          <w:sz w:val="32"/>
        </w:rPr>
        <w:lastRenderedPageBreak/>
        <w:t>图2：基本支出和项目支出情况</w:t>
      </w:r>
    </w:p>
    <w:p w:rsidR="002918C8" w:rsidRDefault="00943A5E">
      <w:pPr>
        <w:jc w:val="center"/>
        <w:rPr>
          <w:rFonts w:ascii="黑体" w:eastAsia="黑体"/>
          <w:b/>
          <w:sz w:val="28"/>
          <w:szCs w:val="28"/>
        </w:rPr>
      </w:pPr>
      <w:r>
        <w:rPr>
          <w:noProof/>
        </w:rPr>
        <w:drawing>
          <wp:inline distT="0" distB="0" distL="114300" distR="114300">
            <wp:extent cx="4572000" cy="2743200"/>
            <wp:effectExtent l="4445" t="4445" r="14605" b="14605"/>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2918C8" w:rsidRDefault="00943A5E">
      <w:pPr>
        <w:tabs>
          <w:tab w:val="center" w:pos="6979"/>
        </w:tabs>
        <w:spacing w:line="580" w:lineRule="exact"/>
        <w:ind w:firstLineChars="196" w:firstLine="551"/>
        <w:rPr>
          <w:rFonts w:ascii="黑体" w:eastAsia="黑体"/>
          <w:b/>
          <w:sz w:val="28"/>
          <w:szCs w:val="28"/>
        </w:rPr>
      </w:pPr>
      <w:r>
        <w:rPr>
          <w:rFonts w:ascii="黑体" w:eastAsia="黑体" w:hint="eastAsia"/>
          <w:b/>
          <w:sz w:val="28"/>
          <w:szCs w:val="28"/>
        </w:rPr>
        <w:t>三</w:t>
      </w:r>
      <w:r>
        <w:rPr>
          <w:rFonts w:ascii="黑体" w:eastAsia="黑体"/>
          <w:b/>
          <w:sz w:val="28"/>
          <w:szCs w:val="28"/>
        </w:rPr>
        <w:t>、财政拨款</w:t>
      </w:r>
      <w:r>
        <w:rPr>
          <w:rFonts w:ascii="黑体" w:eastAsia="黑体" w:hint="eastAsia"/>
          <w:b/>
          <w:sz w:val="28"/>
          <w:szCs w:val="28"/>
        </w:rPr>
        <w:t>收入支出决算</w:t>
      </w:r>
      <w:r>
        <w:rPr>
          <w:rFonts w:ascii="黑体" w:eastAsia="黑体"/>
          <w:b/>
          <w:sz w:val="28"/>
          <w:szCs w:val="28"/>
        </w:rPr>
        <w:t>总体情况说明</w:t>
      </w:r>
    </w:p>
    <w:p w:rsidR="002918C8" w:rsidRDefault="00943A5E">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2024年度财政拨款收、</w:t>
      </w:r>
      <w:r>
        <w:rPr>
          <w:rFonts w:ascii="仿宋_GB2312" w:eastAsia="仿宋_GB2312"/>
          <w:sz w:val="28"/>
          <w:szCs w:val="28"/>
        </w:rPr>
        <w:t>支</w:t>
      </w:r>
      <w:r>
        <w:rPr>
          <w:rFonts w:ascii="仿宋_GB2312" w:eastAsia="仿宋_GB2312" w:hint="eastAsia"/>
          <w:sz w:val="28"/>
          <w:szCs w:val="28"/>
        </w:rPr>
        <w:t>总计</w:t>
      </w:r>
      <w:r>
        <w:rPr>
          <w:rFonts w:ascii="仿宋_GB2312" w:eastAsia="仿宋_GB2312"/>
          <w:sz w:val="28"/>
          <w:szCs w:val="28"/>
        </w:rPr>
        <w:t>2766.06</w:t>
      </w:r>
      <w:r>
        <w:rPr>
          <w:rFonts w:ascii="仿宋_GB2312" w:eastAsia="仿宋_GB2312" w:hint="eastAsia"/>
          <w:sz w:val="28"/>
          <w:szCs w:val="28"/>
        </w:rPr>
        <w:t>万元，比上年</w:t>
      </w:r>
      <w:r>
        <w:rPr>
          <w:rFonts w:ascii="仿宋_GB2312" w:eastAsia="仿宋_GB2312"/>
          <w:sz w:val="28"/>
          <w:szCs w:val="28"/>
        </w:rPr>
        <w:t>增加86.73</w:t>
      </w:r>
      <w:r>
        <w:rPr>
          <w:rFonts w:ascii="仿宋_GB2312" w:eastAsia="仿宋_GB2312" w:hint="eastAsia"/>
          <w:sz w:val="28"/>
          <w:szCs w:val="28"/>
        </w:rPr>
        <w:t>万元，增长3</w:t>
      </w:r>
      <w:r>
        <w:rPr>
          <w:rFonts w:ascii="仿宋_GB2312" w:eastAsia="仿宋_GB2312"/>
          <w:sz w:val="28"/>
          <w:szCs w:val="28"/>
        </w:rPr>
        <w:t>.24</w:t>
      </w:r>
      <w:r>
        <w:rPr>
          <w:rFonts w:ascii="仿宋_GB2312" w:eastAsia="仿宋_GB2312" w:hint="eastAsia"/>
          <w:sz w:val="28"/>
          <w:szCs w:val="28"/>
        </w:rPr>
        <w:t>%。主要原因：2024年年初房补发放金额大于2023年年初房补发放金额。</w:t>
      </w:r>
    </w:p>
    <w:p w:rsidR="002918C8" w:rsidRDefault="00943A5E">
      <w:pPr>
        <w:tabs>
          <w:tab w:val="center" w:pos="6979"/>
        </w:tabs>
        <w:spacing w:line="580" w:lineRule="exact"/>
        <w:ind w:firstLineChars="196" w:firstLine="551"/>
        <w:rPr>
          <w:rFonts w:ascii="黑体" w:eastAsia="黑体"/>
          <w:b/>
          <w:sz w:val="28"/>
          <w:szCs w:val="28"/>
        </w:rPr>
      </w:pPr>
      <w:r>
        <w:rPr>
          <w:rFonts w:ascii="黑体" w:eastAsia="黑体" w:hint="eastAsia"/>
          <w:b/>
          <w:sz w:val="28"/>
          <w:szCs w:val="28"/>
        </w:rPr>
        <w:t>四、一般公共预算财政拨款支出决算情况说明</w:t>
      </w:r>
    </w:p>
    <w:p w:rsidR="002918C8" w:rsidRDefault="00943A5E">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（一）一般公共预算财政拨款支出决算总体情况</w:t>
      </w:r>
    </w:p>
    <w:p w:rsidR="002918C8" w:rsidRDefault="00943A5E">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2024年度一般公共预算财政拨款支出</w:t>
      </w:r>
      <w:r>
        <w:rPr>
          <w:rFonts w:ascii="仿宋_GB2312" w:eastAsia="仿宋_GB2312"/>
          <w:sz w:val="28"/>
          <w:szCs w:val="28"/>
        </w:rPr>
        <w:t>2766.06</w:t>
      </w:r>
      <w:r>
        <w:rPr>
          <w:rFonts w:ascii="仿宋_GB2312" w:eastAsia="仿宋_GB2312" w:hint="eastAsia"/>
          <w:sz w:val="28"/>
          <w:szCs w:val="28"/>
        </w:rPr>
        <w:t>万元，主要用于以下方面（按大类）：教育支出</w:t>
      </w:r>
      <w:bookmarkStart w:id="0" w:name="OLE_LINK15"/>
      <w:bookmarkStart w:id="1" w:name="OLE_LINK14"/>
      <w:r>
        <w:rPr>
          <w:rFonts w:ascii="仿宋_GB2312" w:eastAsia="仿宋_GB2312"/>
          <w:sz w:val="28"/>
          <w:szCs w:val="28"/>
        </w:rPr>
        <w:t>2113.4</w:t>
      </w:r>
      <w:bookmarkEnd w:id="0"/>
      <w:bookmarkEnd w:id="1"/>
      <w:r>
        <w:rPr>
          <w:rFonts w:ascii="仿宋_GB2312" w:eastAsia="仿宋_GB2312"/>
          <w:sz w:val="28"/>
          <w:szCs w:val="28"/>
        </w:rPr>
        <w:t>0</w:t>
      </w:r>
      <w:r>
        <w:rPr>
          <w:rFonts w:ascii="仿宋_GB2312" w:eastAsia="仿宋_GB2312" w:hint="eastAsia"/>
          <w:sz w:val="28"/>
          <w:szCs w:val="28"/>
        </w:rPr>
        <w:t>万元，占本年财政拨款支出</w:t>
      </w:r>
      <w:r>
        <w:rPr>
          <w:rFonts w:ascii="仿宋_GB2312" w:eastAsia="仿宋_GB2312"/>
          <w:sz w:val="28"/>
          <w:szCs w:val="28"/>
        </w:rPr>
        <w:t>76.4</w:t>
      </w:r>
      <w:r>
        <w:rPr>
          <w:rFonts w:ascii="仿宋_GB2312" w:eastAsia="仿宋_GB2312" w:hint="eastAsia"/>
          <w:sz w:val="28"/>
          <w:szCs w:val="28"/>
        </w:rPr>
        <w:t>0%；</w:t>
      </w:r>
      <w:bookmarkStart w:id="2" w:name="OLE_LINK11"/>
      <w:bookmarkStart w:id="3" w:name="OLE_LINK10"/>
      <w:r>
        <w:rPr>
          <w:rFonts w:ascii="仿宋_GB2312" w:eastAsia="仿宋_GB2312" w:hint="eastAsia"/>
          <w:sz w:val="28"/>
          <w:szCs w:val="28"/>
        </w:rPr>
        <w:t>社会保障和就业支出</w:t>
      </w:r>
      <w:bookmarkStart w:id="4" w:name="OLE_LINK16"/>
      <w:bookmarkStart w:id="5" w:name="OLE_LINK17"/>
      <w:bookmarkEnd w:id="2"/>
      <w:bookmarkEnd w:id="3"/>
      <w:r>
        <w:rPr>
          <w:rFonts w:ascii="仿宋_GB2312" w:eastAsia="仿宋_GB2312"/>
          <w:sz w:val="28"/>
          <w:szCs w:val="28"/>
        </w:rPr>
        <w:t>288.22</w:t>
      </w:r>
      <w:bookmarkEnd w:id="4"/>
      <w:bookmarkEnd w:id="5"/>
      <w:r>
        <w:rPr>
          <w:rFonts w:ascii="仿宋_GB2312" w:eastAsia="仿宋_GB2312" w:hint="eastAsia"/>
          <w:sz w:val="28"/>
          <w:szCs w:val="28"/>
        </w:rPr>
        <w:t>万元，占本年财政拨款支出</w:t>
      </w:r>
      <w:r>
        <w:rPr>
          <w:rFonts w:ascii="仿宋_GB2312" w:eastAsia="仿宋_GB2312"/>
          <w:sz w:val="28"/>
          <w:szCs w:val="28"/>
        </w:rPr>
        <w:t>10.42</w:t>
      </w:r>
      <w:r>
        <w:rPr>
          <w:rFonts w:ascii="仿宋_GB2312" w:eastAsia="仿宋_GB2312" w:hint="eastAsia"/>
          <w:sz w:val="28"/>
          <w:szCs w:val="28"/>
        </w:rPr>
        <w:t>%；卫生健康支出1</w:t>
      </w:r>
      <w:r>
        <w:rPr>
          <w:rFonts w:ascii="仿宋_GB2312" w:eastAsia="仿宋_GB2312"/>
          <w:sz w:val="28"/>
          <w:szCs w:val="28"/>
        </w:rPr>
        <w:t>77.18</w:t>
      </w:r>
      <w:r>
        <w:rPr>
          <w:rFonts w:ascii="仿宋_GB2312" w:eastAsia="仿宋_GB2312" w:hint="eastAsia"/>
          <w:sz w:val="28"/>
          <w:szCs w:val="28"/>
        </w:rPr>
        <w:t>万元，</w:t>
      </w:r>
      <w:r>
        <w:rPr>
          <w:rFonts w:ascii="仿宋_GB2312" w:eastAsia="仿宋_GB2312" w:hint="eastAsia"/>
          <w:sz w:val="28"/>
          <w:szCs w:val="28"/>
        </w:rPr>
        <w:lastRenderedPageBreak/>
        <w:t>占本年财政拨款支出</w:t>
      </w:r>
      <w:r>
        <w:rPr>
          <w:rFonts w:ascii="仿宋_GB2312" w:eastAsia="仿宋_GB2312"/>
          <w:sz w:val="28"/>
          <w:szCs w:val="28"/>
        </w:rPr>
        <w:t>6.41</w:t>
      </w:r>
      <w:r>
        <w:rPr>
          <w:rFonts w:ascii="仿宋_GB2312" w:eastAsia="仿宋_GB2312" w:hint="eastAsia"/>
          <w:sz w:val="28"/>
          <w:szCs w:val="28"/>
        </w:rPr>
        <w:t>%；住房保障支出</w:t>
      </w:r>
      <w:r>
        <w:rPr>
          <w:rFonts w:ascii="仿宋_GB2312" w:eastAsia="仿宋_GB2312"/>
          <w:sz w:val="28"/>
          <w:szCs w:val="28"/>
        </w:rPr>
        <w:t>187.26</w:t>
      </w:r>
      <w:r>
        <w:rPr>
          <w:rFonts w:ascii="仿宋_GB2312" w:eastAsia="仿宋_GB2312" w:hint="eastAsia"/>
          <w:sz w:val="28"/>
          <w:szCs w:val="28"/>
        </w:rPr>
        <w:t>万元，占本年财政拨款支出</w:t>
      </w:r>
      <w:r>
        <w:rPr>
          <w:rFonts w:ascii="仿宋_GB2312" w:eastAsia="仿宋_GB2312"/>
          <w:sz w:val="28"/>
          <w:szCs w:val="28"/>
        </w:rPr>
        <w:t>6.77</w:t>
      </w:r>
      <w:r>
        <w:rPr>
          <w:rFonts w:ascii="仿宋_GB2312" w:eastAsia="仿宋_GB2312" w:hint="eastAsia"/>
          <w:sz w:val="28"/>
          <w:szCs w:val="28"/>
        </w:rPr>
        <w:t>%。</w:t>
      </w:r>
    </w:p>
    <w:p w:rsidR="002918C8" w:rsidRDefault="00943A5E">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（二）一般公共预算财政拨款支出决算具体情况</w:t>
      </w:r>
    </w:p>
    <w:p w:rsidR="002918C8" w:rsidRDefault="00943A5E">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1、“教育支出”（类）2024年度年初预算2,102.60万元，2024年度决算</w:t>
      </w:r>
      <w:r>
        <w:rPr>
          <w:rFonts w:ascii="仿宋_GB2312" w:eastAsia="仿宋_GB2312"/>
          <w:sz w:val="28"/>
          <w:szCs w:val="28"/>
        </w:rPr>
        <w:t>2113.40</w:t>
      </w:r>
      <w:r>
        <w:rPr>
          <w:rFonts w:ascii="仿宋_GB2312" w:eastAsia="仿宋_GB2312" w:hint="eastAsia"/>
          <w:sz w:val="28"/>
          <w:szCs w:val="28"/>
        </w:rPr>
        <w:t>万元，完成年初预算的100.50%。其中：</w:t>
      </w:r>
    </w:p>
    <w:p w:rsidR="002918C8" w:rsidRDefault="00943A5E">
      <w:pPr>
        <w:spacing w:line="580" w:lineRule="exact"/>
        <w:ind w:firstLineChars="200" w:firstLine="560"/>
        <w:rPr>
          <w:rFonts w:ascii="仿宋_GB2312" w:eastAsia="仿宋_GB2312"/>
          <w:sz w:val="28"/>
          <w:szCs w:val="28"/>
        </w:rPr>
      </w:pPr>
      <w:r>
        <w:rPr>
          <w:rFonts w:ascii="仿宋_GB2312" w:eastAsia="仿宋_GB2312" w:hint="eastAsia"/>
          <w:sz w:val="28"/>
          <w:szCs w:val="28"/>
        </w:rPr>
        <w:t>“普通教育”（款）2024年度年初预算2,102.60万元，2024年度决算</w:t>
      </w:r>
      <w:r>
        <w:rPr>
          <w:rFonts w:ascii="仿宋_GB2312" w:eastAsia="仿宋_GB2312"/>
          <w:sz w:val="28"/>
          <w:szCs w:val="28"/>
        </w:rPr>
        <w:t>2113.40</w:t>
      </w:r>
      <w:r>
        <w:rPr>
          <w:rFonts w:ascii="仿宋_GB2312" w:eastAsia="仿宋_GB2312" w:hint="eastAsia"/>
          <w:sz w:val="28"/>
          <w:szCs w:val="28"/>
        </w:rPr>
        <w:t>万元，完成年初预算的100.50%。主要原因：202</w:t>
      </w:r>
      <w:r>
        <w:rPr>
          <w:rFonts w:ascii="仿宋_GB2312" w:eastAsia="仿宋_GB2312"/>
          <w:sz w:val="28"/>
          <w:szCs w:val="28"/>
        </w:rPr>
        <w:t>4</w:t>
      </w:r>
      <w:r>
        <w:rPr>
          <w:rFonts w:ascii="仿宋_GB2312" w:eastAsia="仿宋_GB2312" w:hint="eastAsia"/>
          <w:sz w:val="28"/>
          <w:szCs w:val="28"/>
        </w:rPr>
        <w:t>年发放2</w:t>
      </w:r>
      <w:r>
        <w:rPr>
          <w:rFonts w:ascii="仿宋_GB2312" w:eastAsia="仿宋_GB2312"/>
          <w:sz w:val="28"/>
          <w:szCs w:val="28"/>
        </w:rPr>
        <w:t>022</w:t>
      </w:r>
      <w:r>
        <w:rPr>
          <w:rFonts w:ascii="仿宋_GB2312" w:eastAsia="仿宋_GB2312" w:hint="eastAsia"/>
          <w:sz w:val="28"/>
          <w:szCs w:val="28"/>
        </w:rPr>
        <w:t>年、2</w:t>
      </w:r>
      <w:r>
        <w:rPr>
          <w:rFonts w:ascii="仿宋_GB2312" w:eastAsia="仿宋_GB2312"/>
          <w:sz w:val="28"/>
          <w:szCs w:val="28"/>
        </w:rPr>
        <w:t>023</w:t>
      </w:r>
      <w:r>
        <w:rPr>
          <w:rFonts w:ascii="仿宋_GB2312" w:eastAsia="仿宋_GB2312" w:hint="eastAsia"/>
          <w:sz w:val="28"/>
          <w:szCs w:val="28"/>
        </w:rPr>
        <w:t>年区统筹绩效工资，人员工资增加。</w:t>
      </w:r>
    </w:p>
    <w:p w:rsidR="002918C8" w:rsidRDefault="00943A5E">
      <w:pPr>
        <w:spacing w:line="580" w:lineRule="exact"/>
        <w:ind w:firstLineChars="200" w:firstLine="560"/>
        <w:rPr>
          <w:rFonts w:ascii="仿宋_GB2312" w:eastAsia="仿宋_GB2312"/>
          <w:sz w:val="28"/>
          <w:szCs w:val="28"/>
        </w:rPr>
      </w:pPr>
      <w:r>
        <w:rPr>
          <w:rFonts w:ascii="仿宋_GB2312" w:eastAsia="仿宋_GB2312" w:hint="eastAsia"/>
          <w:sz w:val="28"/>
          <w:szCs w:val="28"/>
        </w:rPr>
        <w:t>2、“社会保障和就业支出”(类)2024年度年初预算354.49万元，2024年度决算</w:t>
      </w:r>
      <w:r>
        <w:rPr>
          <w:rFonts w:ascii="仿宋_GB2312" w:eastAsia="仿宋_GB2312"/>
          <w:sz w:val="28"/>
          <w:szCs w:val="28"/>
        </w:rPr>
        <w:t>288.22</w:t>
      </w:r>
      <w:r>
        <w:rPr>
          <w:rFonts w:ascii="仿宋_GB2312" w:eastAsia="仿宋_GB2312" w:hint="eastAsia"/>
          <w:sz w:val="28"/>
          <w:szCs w:val="28"/>
        </w:rPr>
        <w:t>万元，完成年初预算的81.31%。其中：</w:t>
      </w:r>
    </w:p>
    <w:p w:rsidR="002918C8" w:rsidRDefault="00943A5E">
      <w:pPr>
        <w:spacing w:line="580" w:lineRule="exact"/>
        <w:ind w:firstLineChars="200" w:firstLine="560"/>
        <w:rPr>
          <w:rFonts w:ascii="仿宋_GB2312" w:eastAsia="仿宋_GB2312"/>
          <w:sz w:val="28"/>
          <w:szCs w:val="28"/>
        </w:rPr>
      </w:pPr>
      <w:r>
        <w:rPr>
          <w:rFonts w:ascii="仿宋_GB2312" w:eastAsia="仿宋_GB2312" w:hint="eastAsia"/>
          <w:sz w:val="28"/>
          <w:szCs w:val="28"/>
        </w:rPr>
        <w:t>“行政事业单位养老支出”（款）2024年度年初预算354.49万元，2024年度决算</w:t>
      </w:r>
      <w:r>
        <w:rPr>
          <w:rFonts w:ascii="仿宋_GB2312" w:eastAsia="仿宋_GB2312"/>
          <w:sz w:val="28"/>
          <w:szCs w:val="28"/>
        </w:rPr>
        <w:t>288.22</w:t>
      </w:r>
      <w:r>
        <w:rPr>
          <w:rFonts w:ascii="仿宋_GB2312" w:eastAsia="仿宋_GB2312" w:hint="eastAsia"/>
          <w:sz w:val="28"/>
          <w:szCs w:val="28"/>
        </w:rPr>
        <w:t>万元，完成年初预算的81.31%。主要原因：2024年度退休2人，在职去世1人，净调出1人。</w:t>
      </w:r>
    </w:p>
    <w:p w:rsidR="002918C8" w:rsidRDefault="00943A5E">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3、“卫生健康支出”（类）2024年度年初预算200.82万元，2024年度决算177.18万元，完成年初预算的88.23%。其中：</w:t>
      </w:r>
    </w:p>
    <w:p w:rsidR="002918C8" w:rsidRDefault="00943A5E">
      <w:pPr>
        <w:spacing w:line="580" w:lineRule="exact"/>
        <w:ind w:firstLineChars="200" w:firstLine="560"/>
        <w:rPr>
          <w:rFonts w:ascii="仿宋_GB2312" w:eastAsia="仿宋_GB2312"/>
          <w:sz w:val="28"/>
          <w:szCs w:val="28"/>
        </w:rPr>
      </w:pPr>
      <w:r>
        <w:rPr>
          <w:rFonts w:ascii="仿宋_GB2312" w:eastAsia="仿宋_GB2312" w:hint="eastAsia"/>
          <w:sz w:val="28"/>
          <w:szCs w:val="28"/>
        </w:rPr>
        <w:t>“行政事业单位医疗”（款）2024年度年初预算200.82万元，2024年度决算177.18万元，完成年初预算的88.23%。主要原因：2024年度退休2人，在职去世1人，净调出1人。</w:t>
      </w:r>
    </w:p>
    <w:p w:rsidR="002918C8" w:rsidRDefault="00943A5E">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4、“住房保障支出”（类）2024年度年初预算0万元，2024年度决算187.26万元。其中：</w:t>
      </w:r>
    </w:p>
    <w:p w:rsidR="002918C8" w:rsidRDefault="00943A5E">
      <w:pPr>
        <w:spacing w:line="580" w:lineRule="exact"/>
        <w:ind w:firstLineChars="200" w:firstLine="560"/>
        <w:rPr>
          <w:rFonts w:ascii="仿宋_GB2312" w:eastAsiaTheme="minorEastAsia"/>
          <w:sz w:val="28"/>
          <w:szCs w:val="28"/>
        </w:rPr>
      </w:pPr>
      <w:r>
        <w:rPr>
          <w:rFonts w:ascii="仿宋_GB2312" w:eastAsia="仿宋_GB2312" w:hint="eastAsia"/>
          <w:sz w:val="28"/>
          <w:szCs w:val="28"/>
        </w:rPr>
        <w:t>“住房改革支出”（款）2024年度年初预算0万元，2024年度决算187.26万元。主要原因：2</w:t>
      </w:r>
      <w:r>
        <w:rPr>
          <w:rFonts w:ascii="仿宋_GB2312" w:eastAsia="仿宋_GB2312"/>
          <w:sz w:val="28"/>
          <w:szCs w:val="28"/>
        </w:rPr>
        <w:t>024</w:t>
      </w:r>
      <w:r>
        <w:rPr>
          <w:rFonts w:ascii="仿宋_GB2312" w:eastAsia="仿宋_GB2312" w:hint="eastAsia"/>
          <w:sz w:val="28"/>
          <w:szCs w:val="28"/>
        </w:rPr>
        <w:t>年发放年初房补187.26万元，为归集调入非年初预算。</w:t>
      </w:r>
    </w:p>
    <w:p w:rsidR="005D3733" w:rsidRPr="005D3733" w:rsidRDefault="005D3733">
      <w:pPr>
        <w:spacing w:line="580" w:lineRule="exact"/>
        <w:ind w:firstLineChars="200" w:firstLine="560"/>
        <w:rPr>
          <w:rFonts w:ascii="仿宋_GB2312" w:eastAsiaTheme="minorEastAsia" w:hint="eastAsia"/>
          <w:sz w:val="28"/>
          <w:szCs w:val="28"/>
        </w:rPr>
      </w:pPr>
      <w:bookmarkStart w:id="6" w:name="_GoBack"/>
      <w:bookmarkEnd w:id="6"/>
    </w:p>
    <w:p w:rsidR="002918C8" w:rsidRDefault="00943A5E">
      <w:pPr>
        <w:spacing w:line="580" w:lineRule="exact"/>
        <w:ind w:firstLineChars="200" w:firstLine="562"/>
        <w:rPr>
          <w:rFonts w:ascii="仿宋_GB2312" w:eastAsia="仿宋_GB2312"/>
          <w:sz w:val="28"/>
          <w:szCs w:val="28"/>
        </w:rPr>
      </w:pPr>
      <w:r>
        <w:rPr>
          <w:rFonts w:ascii="黑体" w:eastAsia="黑体" w:hint="eastAsia"/>
          <w:b/>
          <w:sz w:val="28"/>
          <w:szCs w:val="28"/>
        </w:rPr>
        <w:lastRenderedPageBreak/>
        <w:t>五、政府性基金预算财政拨款支出决算情况说明</w:t>
      </w:r>
    </w:p>
    <w:p w:rsidR="002918C8" w:rsidRDefault="00943A5E">
      <w:pPr>
        <w:spacing w:line="560" w:lineRule="exact"/>
        <w:ind w:firstLineChars="250" w:firstLine="700"/>
        <w:rPr>
          <w:rFonts w:ascii="仿宋_GB2312" w:eastAsia="仿宋_GB2312"/>
          <w:sz w:val="28"/>
          <w:szCs w:val="28"/>
        </w:rPr>
      </w:pPr>
      <w:r>
        <w:rPr>
          <w:rFonts w:ascii="仿宋_GB2312" w:eastAsia="仿宋_GB2312" w:hint="eastAsia"/>
          <w:sz w:val="28"/>
          <w:szCs w:val="28"/>
        </w:rPr>
        <w:t>本单位2024年度无政府性基金预算财政拨款安排的支出。</w:t>
      </w:r>
    </w:p>
    <w:p w:rsidR="002918C8" w:rsidRDefault="00943A5E">
      <w:pPr>
        <w:spacing w:line="580" w:lineRule="exact"/>
        <w:ind w:firstLineChars="200" w:firstLine="562"/>
        <w:rPr>
          <w:rFonts w:ascii="黑体" w:eastAsia="黑体"/>
          <w:b/>
          <w:sz w:val="28"/>
          <w:szCs w:val="28"/>
        </w:rPr>
      </w:pPr>
      <w:r>
        <w:rPr>
          <w:rFonts w:ascii="黑体" w:eastAsia="黑体" w:hint="eastAsia"/>
          <w:b/>
          <w:sz w:val="28"/>
          <w:szCs w:val="28"/>
        </w:rPr>
        <w:t>六、国有资本经营预算财</w:t>
      </w:r>
      <w:r>
        <w:rPr>
          <w:rFonts w:ascii="黑体" w:eastAsia="黑体"/>
          <w:b/>
          <w:sz w:val="28"/>
          <w:szCs w:val="28"/>
        </w:rPr>
        <w:t>政拨款</w:t>
      </w:r>
      <w:r>
        <w:rPr>
          <w:rFonts w:ascii="黑体" w:eastAsia="黑体" w:hint="eastAsia"/>
          <w:b/>
          <w:sz w:val="28"/>
          <w:szCs w:val="28"/>
        </w:rPr>
        <w:t>收支情况</w:t>
      </w:r>
    </w:p>
    <w:p w:rsidR="002918C8" w:rsidRDefault="00943A5E">
      <w:pPr>
        <w:spacing w:line="560" w:lineRule="exact"/>
        <w:ind w:firstLineChars="250" w:firstLine="700"/>
        <w:rPr>
          <w:rFonts w:ascii="仿宋_GB2312" w:eastAsia="仿宋_GB2312"/>
          <w:sz w:val="28"/>
          <w:szCs w:val="28"/>
        </w:rPr>
      </w:pPr>
      <w:r>
        <w:rPr>
          <w:rFonts w:ascii="仿宋_GB2312" w:eastAsia="仿宋_GB2312" w:hint="eastAsia"/>
          <w:sz w:val="28"/>
          <w:szCs w:val="28"/>
        </w:rPr>
        <w:t>本单位2024年度无国有资本经营预算财</w:t>
      </w:r>
      <w:r>
        <w:rPr>
          <w:rFonts w:ascii="仿宋_GB2312" w:eastAsia="仿宋_GB2312"/>
          <w:sz w:val="28"/>
          <w:szCs w:val="28"/>
        </w:rPr>
        <w:t>政拨款</w:t>
      </w:r>
      <w:r>
        <w:rPr>
          <w:rFonts w:ascii="仿宋_GB2312" w:eastAsia="仿宋_GB2312" w:hint="eastAsia"/>
          <w:sz w:val="28"/>
          <w:szCs w:val="28"/>
        </w:rPr>
        <w:t>安排的支出。</w:t>
      </w:r>
    </w:p>
    <w:p w:rsidR="002918C8" w:rsidRDefault="00943A5E">
      <w:pPr>
        <w:spacing w:line="580" w:lineRule="exact"/>
        <w:ind w:firstLineChars="196" w:firstLine="551"/>
        <w:rPr>
          <w:rFonts w:ascii="黑体" w:eastAsia="黑体"/>
          <w:sz w:val="28"/>
          <w:szCs w:val="28"/>
        </w:rPr>
      </w:pPr>
      <w:r>
        <w:rPr>
          <w:rFonts w:ascii="黑体" w:eastAsia="黑体" w:hint="eastAsia"/>
          <w:b/>
          <w:sz w:val="28"/>
          <w:szCs w:val="28"/>
        </w:rPr>
        <w:t>七、财政拨款基本支出决算情况说明</w:t>
      </w:r>
    </w:p>
    <w:p w:rsidR="002918C8" w:rsidRDefault="00943A5E">
      <w:pPr>
        <w:tabs>
          <w:tab w:val="center" w:pos="6979"/>
        </w:tabs>
        <w:spacing w:line="580" w:lineRule="exact"/>
        <w:ind w:firstLineChars="196" w:firstLine="549"/>
        <w:rPr>
          <w:rFonts w:ascii="黑体" w:eastAsia="黑体"/>
          <w:b/>
          <w:sz w:val="28"/>
          <w:szCs w:val="28"/>
        </w:rPr>
      </w:pPr>
      <w:r>
        <w:rPr>
          <w:rFonts w:ascii="仿宋_GB2312" w:eastAsia="仿宋_GB2312" w:hint="eastAsia"/>
          <w:sz w:val="28"/>
          <w:szCs w:val="28"/>
        </w:rPr>
        <w:t>2024年度使用一般公共预算财政拨款安排基本支出</w:t>
      </w:r>
      <w:r>
        <w:rPr>
          <w:rFonts w:ascii="仿宋_GB2312" w:eastAsia="仿宋_GB2312"/>
          <w:sz w:val="28"/>
          <w:szCs w:val="28"/>
        </w:rPr>
        <w:t>2535.64</w:t>
      </w:r>
      <w:r>
        <w:rPr>
          <w:rFonts w:ascii="仿宋_GB2312" w:eastAsia="仿宋_GB2312" w:hint="eastAsia"/>
          <w:sz w:val="28"/>
          <w:szCs w:val="28"/>
        </w:rPr>
        <w:t>万元，使用政府性基金财政拨款安排基本支出</w:t>
      </w:r>
      <w:r>
        <w:rPr>
          <w:rFonts w:ascii="仿宋_GB2312" w:eastAsia="仿宋_GB2312"/>
          <w:sz w:val="28"/>
          <w:szCs w:val="28"/>
        </w:rPr>
        <w:t>0</w:t>
      </w:r>
      <w:r>
        <w:rPr>
          <w:rFonts w:ascii="仿宋_GB2312" w:eastAsia="仿宋_GB2312" w:hint="eastAsia"/>
          <w:sz w:val="28"/>
          <w:szCs w:val="28"/>
        </w:rPr>
        <w:t>万元，（1）工资福利支出包括基本工资</w:t>
      </w:r>
      <w:r>
        <w:rPr>
          <w:rFonts w:ascii="仿宋_GB2312" w:eastAsia="仿宋_GB2312"/>
          <w:sz w:val="28"/>
          <w:szCs w:val="28"/>
        </w:rPr>
        <w:t>、津贴补贴、绩效工资、</w:t>
      </w:r>
      <w:r>
        <w:rPr>
          <w:rFonts w:ascii="仿宋_GB2312" w:eastAsia="仿宋_GB2312" w:hint="eastAsia"/>
          <w:sz w:val="28"/>
          <w:szCs w:val="28"/>
        </w:rPr>
        <w:t>其他</w:t>
      </w:r>
      <w:r>
        <w:rPr>
          <w:rFonts w:ascii="仿宋_GB2312" w:eastAsia="仿宋_GB2312"/>
          <w:sz w:val="28"/>
          <w:szCs w:val="28"/>
        </w:rPr>
        <w:t>社会保障缴费</w:t>
      </w:r>
      <w:r>
        <w:rPr>
          <w:rFonts w:ascii="仿宋_GB2312" w:eastAsia="仿宋_GB2312" w:hint="eastAsia"/>
          <w:sz w:val="28"/>
          <w:szCs w:val="28"/>
        </w:rPr>
        <w:t>；（2）商品和服务支出包括</w:t>
      </w:r>
      <w:r>
        <w:rPr>
          <w:rFonts w:ascii="仿宋_GB2312" w:eastAsia="仿宋_GB2312"/>
          <w:sz w:val="28"/>
          <w:szCs w:val="28"/>
        </w:rPr>
        <w:t>办公费、水费、电费、邮电费、取暖费、维修（护）费、培训费、福利费、公务用车运行维护费</w:t>
      </w:r>
      <w:r>
        <w:rPr>
          <w:rFonts w:ascii="仿宋_GB2312" w:eastAsia="仿宋_GB2312" w:hint="eastAsia"/>
          <w:sz w:val="28"/>
          <w:szCs w:val="28"/>
        </w:rPr>
        <w:t>等</w:t>
      </w:r>
      <w:r>
        <w:rPr>
          <w:rFonts w:ascii="仿宋_GB2312" w:eastAsia="仿宋_GB2312"/>
          <w:sz w:val="28"/>
          <w:szCs w:val="28"/>
        </w:rPr>
        <w:t>支出</w:t>
      </w:r>
      <w:r>
        <w:rPr>
          <w:rFonts w:ascii="仿宋_GB2312" w:eastAsia="仿宋_GB2312" w:hint="eastAsia"/>
          <w:sz w:val="28"/>
          <w:szCs w:val="28"/>
        </w:rPr>
        <w:t>；（3）对个人和家庭补助支出包括</w:t>
      </w:r>
      <w:r>
        <w:rPr>
          <w:rFonts w:ascii="仿宋_GB2312" w:eastAsia="仿宋_GB2312"/>
          <w:sz w:val="28"/>
          <w:szCs w:val="28"/>
        </w:rPr>
        <w:t>退休费、抚恤金、奖励金</w:t>
      </w:r>
      <w:r>
        <w:rPr>
          <w:rFonts w:ascii="仿宋_GB2312" w:eastAsia="仿宋_GB2312" w:hint="eastAsia"/>
          <w:sz w:val="28"/>
          <w:szCs w:val="28"/>
        </w:rPr>
        <w:t>等</w:t>
      </w:r>
      <w:r>
        <w:rPr>
          <w:rFonts w:ascii="仿宋_GB2312" w:eastAsia="仿宋_GB2312"/>
          <w:sz w:val="28"/>
          <w:szCs w:val="28"/>
        </w:rPr>
        <w:t>支出</w:t>
      </w:r>
      <w:r>
        <w:rPr>
          <w:rFonts w:ascii="仿宋_GB2312" w:eastAsia="仿宋_GB2312" w:hint="eastAsia"/>
          <w:sz w:val="28"/>
          <w:szCs w:val="28"/>
        </w:rPr>
        <w:t>。</w:t>
      </w:r>
    </w:p>
    <w:p w:rsidR="002918C8" w:rsidRDefault="00943A5E">
      <w:pPr>
        <w:autoSpaceDE w:val="0"/>
        <w:autoSpaceDN w:val="0"/>
        <w:adjustRightInd w:val="0"/>
        <w:spacing w:line="580" w:lineRule="exact"/>
        <w:rPr>
          <w:rFonts w:ascii="宋体" w:hAnsi="宋体"/>
          <w:b/>
          <w:spacing w:val="40"/>
          <w:sz w:val="32"/>
          <w:szCs w:val="32"/>
        </w:rPr>
      </w:pPr>
      <w:r>
        <w:rPr>
          <w:rFonts w:ascii="仿宋_GB2312" w:eastAsia="仿宋_GB2312"/>
          <w:b/>
          <w:sz w:val="32"/>
          <w:szCs w:val="32"/>
        </w:rPr>
        <w:tab/>
      </w:r>
    </w:p>
    <w:p w:rsidR="002918C8" w:rsidRDefault="00943A5E">
      <w:pPr>
        <w:tabs>
          <w:tab w:val="center" w:pos="6979"/>
        </w:tabs>
        <w:jc w:val="center"/>
        <w:rPr>
          <w:rFonts w:ascii="宋体" w:hAnsi="宋体" w:cs="宋体"/>
          <w:b/>
          <w:spacing w:val="40"/>
          <w:kern w:val="0"/>
          <w:sz w:val="32"/>
          <w:szCs w:val="32"/>
        </w:rPr>
      </w:pPr>
      <w:r>
        <w:rPr>
          <w:rFonts w:ascii="宋体" w:hAnsi="宋体" w:cs="宋体" w:hint="eastAsia"/>
          <w:b/>
          <w:bCs/>
          <w:spacing w:val="40"/>
          <w:kern w:val="0"/>
          <w:sz w:val="32"/>
          <w:szCs w:val="32"/>
        </w:rPr>
        <w:t>第三部分</w:t>
      </w:r>
      <w:r>
        <w:rPr>
          <w:rFonts w:ascii="宋体" w:hAnsi="宋体" w:hint="eastAsia"/>
          <w:b/>
          <w:spacing w:val="40"/>
          <w:sz w:val="32"/>
          <w:szCs w:val="32"/>
        </w:rPr>
        <w:t>2024年度</w:t>
      </w:r>
      <w:r>
        <w:rPr>
          <w:rFonts w:ascii="宋体" w:hAnsi="宋体" w:cs="宋体" w:hint="eastAsia"/>
          <w:b/>
          <w:spacing w:val="40"/>
          <w:kern w:val="0"/>
          <w:sz w:val="32"/>
          <w:szCs w:val="32"/>
        </w:rPr>
        <w:t>其他重要事项的情况说明</w:t>
      </w:r>
    </w:p>
    <w:p w:rsidR="002918C8" w:rsidRDefault="00943A5E">
      <w:pPr>
        <w:spacing w:line="560" w:lineRule="exact"/>
        <w:ind w:firstLineChars="200" w:firstLine="560"/>
        <w:rPr>
          <w:rFonts w:ascii="黑体" w:eastAsia="黑体"/>
          <w:sz w:val="28"/>
          <w:szCs w:val="28"/>
        </w:rPr>
      </w:pPr>
      <w:r>
        <w:rPr>
          <w:rFonts w:ascii="黑体" w:eastAsia="黑体" w:hint="eastAsia"/>
          <w:sz w:val="28"/>
          <w:szCs w:val="28"/>
        </w:rPr>
        <w:t>一、“三公”经费财政拨款决算情况</w:t>
      </w:r>
    </w:p>
    <w:p w:rsidR="002918C8" w:rsidRDefault="00943A5E">
      <w:pPr>
        <w:spacing w:line="560" w:lineRule="exact"/>
        <w:ind w:firstLine="600"/>
        <w:rPr>
          <w:rFonts w:ascii="仿宋_GB2312" w:eastAsia="仿宋_GB2312"/>
          <w:sz w:val="28"/>
          <w:szCs w:val="28"/>
        </w:rPr>
      </w:pPr>
      <w:r>
        <w:rPr>
          <w:rFonts w:ascii="仿宋_GB2312" w:eastAsia="仿宋_GB2312" w:hint="eastAsia"/>
          <w:sz w:val="28"/>
          <w:szCs w:val="28"/>
        </w:rPr>
        <w:t>2024年度“三公”经费财政拨款决算数</w:t>
      </w:r>
      <w:r>
        <w:rPr>
          <w:rFonts w:ascii="仿宋_GB2312" w:eastAsia="仿宋_GB2312"/>
          <w:sz w:val="28"/>
          <w:szCs w:val="28"/>
        </w:rPr>
        <w:t>3.6</w:t>
      </w:r>
      <w:r>
        <w:rPr>
          <w:rFonts w:ascii="仿宋_GB2312" w:eastAsia="仿宋_GB2312" w:hint="eastAsia"/>
          <w:sz w:val="28"/>
          <w:szCs w:val="28"/>
        </w:rPr>
        <w:t>万元，比2024年度“三公”经费财政拨款年初预算</w:t>
      </w:r>
      <w:r>
        <w:rPr>
          <w:rFonts w:ascii="仿宋_GB2312" w:eastAsia="仿宋_GB2312"/>
          <w:sz w:val="28"/>
          <w:szCs w:val="28"/>
        </w:rPr>
        <w:t>5.96</w:t>
      </w:r>
      <w:r>
        <w:rPr>
          <w:rFonts w:ascii="仿宋_GB2312" w:eastAsia="仿宋_GB2312" w:hint="eastAsia"/>
          <w:sz w:val="28"/>
          <w:szCs w:val="28"/>
        </w:rPr>
        <w:t>万元减少2.36万元。其中：</w:t>
      </w:r>
    </w:p>
    <w:p w:rsidR="002918C8" w:rsidRDefault="00943A5E">
      <w:pPr>
        <w:spacing w:line="560" w:lineRule="exact"/>
        <w:ind w:firstLine="600"/>
        <w:rPr>
          <w:rFonts w:ascii="仿宋_GB2312" w:eastAsia="仿宋_GB2312"/>
          <w:sz w:val="28"/>
          <w:szCs w:val="28"/>
        </w:rPr>
      </w:pPr>
      <w:r>
        <w:rPr>
          <w:rFonts w:ascii="仿宋_GB2312" w:eastAsia="仿宋_GB2312" w:hint="eastAsia"/>
          <w:sz w:val="28"/>
          <w:szCs w:val="28"/>
        </w:rPr>
        <w:t>1.因公出国（境）费用。2024年度决算数0万元，比2024年度年初预算数0万元增</w:t>
      </w:r>
      <w:r w:rsidR="000E1ED6">
        <w:rPr>
          <w:rFonts w:ascii="仿宋_GB2312" w:eastAsia="仿宋_GB2312" w:hint="eastAsia"/>
          <w:sz w:val="28"/>
          <w:szCs w:val="28"/>
        </w:rPr>
        <w:t>减无变化，保持一致。主要原因：</w:t>
      </w:r>
      <w:r w:rsidR="000E1ED6">
        <w:rPr>
          <w:rFonts w:ascii="仿宋_GB2312" w:eastAsia="仿宋_GB2312" w:hint="eastAsia"/>
          <w:color w:val="000000"/>
          <w:sz w:val="28"/>
          <w:szCs w:val="28"/>
          <w:lang w:bidi="ar"/>
        </w:rPr>
        <w:t>是因公出国（境）费用根据年度出国审批情况作为追加项目管理，单位不做年初预算，本年也没有出国审批项目发</w:t>
      </w:r>
      <w:r w:rsidR="000E1ED6">
        <w:rPr>
          <w:rFonts w:ascii="仿宋_GB2312" w:eastAsia="仿宋_GB2312" w:hint="eastAsia"/>
          <w:color w:val="000000"/>
          <w:sz w:val="28"/>
          <w:szCs w:val="28"/>
          <w:lang w:bidi="ar"/>
        </w:rPr>
        <w:lastRenderedPageBreak/>
        <w:t>生</w:t>
      </w:r>
      <w:r w:rsidR="000E1ED6">
        <w:rPr>
          <w:rFonts w:ascii="仿宋_GB2312" w:eastAsia="仿宋_GB2312" w:hint="eastAsia"/>
          <w:sz w:val="28"/>
          <w:szCs w:val="28"/>
        </w:rPr>
        <w:t>；2024年度因公出国（境）费用主要用于</w:t>
      </w:r>
      <w:r w:rsidR="000E1ED6">
        <w:rPr>
          <w:rFonts w:ascii="仿宋_GB2312" w:eastAsia="仿宋_GB2312" w:hint="eastAsia"/>
          <w:color w:val="000000"/>
          <w:sz w:val="28"/>
          <w:szCs w:val="28"/>
          <w:lang w:bidi="ar"/>
        </w:rPr>
        <w:t>出国（境）的会议、培训交流等事项</w:t>
      </w:r>
      <w:r w:rsidR="000E1ED6">
        <w:rPr>
          <w:rFonts w:ascii="仿宋_GB2312" w:eastAsia="仿宋_GB2312" w:hint="eastAsia"/>
          <w:sz w:val="28"/>
          <w:szCs w:val="28"/>
        </w:rPr>
        <w:t>等，2024年度组织因公出国（境）团组0个、0人次</w:t>
      </w:r>
      <w:r>
        <w:rPr>
          <w:rFonts w:ascii="仿宋_GB2312" w:eastAsia="仿宋_GB2312" w:hint="eastAsia"/>
          <w:sz w:val="28"/>
          <w:szCs w:val="28"/>
        </w:rPr>
        <w:t>。</w:t>
      </w:r>
    </w:p>
    <w:p w:rsidR="000E1ED6" w:rsidRDefault="00943A5E" w:rsidP="000E1ED6">
      <w:pPr>
        <w:spacing w:line="560" w:lineRule="exact"/>
        <w:ind w:firstLine="600"/>
        <w:rPr>
          <w:rFonts w:ascii="仿宋_GB2312" w:eastAsia="仿宋_GB2312"/>
          <w:sz w:val="28"/>
          <w:szCs w:val="28"/>
        </w:rPr>
      </w:pPr>
      <w:r>
        <w:rPr>
          <w:rFonts w:ascii="仿宋_GB2312" w:eastAsia="仿宋_GB2312" w:hint="eastAsia"/>
          <w:sz w:val="28"/>
          <w:szCs w:val="28"/>
        </w:rPr>
        <w:t>2.公务接待费。2024年度决算数0万元，比2024年度年初预算数0万元</w:t>
      </w:r>
      <w:r w:rsidR="000E1ED6">
        <w:rPr>
          <w:rFonts w:ascii="仿宋_GB2312" w:eastAsia="仿宋_GB2312" w:hint="eastAsia"/>
          <w:sz w:val="28"/>
          <w:szCs w:val="28"/>
        </w:rPr>
        <w:t>增减无变化，保持一致</w:t>
      </w:r>
      <w:r>
        <w:rPr>
          <w:rFonts w:ascii="仿宋_GB2312" w:eastAsia="仿宋_GB2312" w:hint="eastAsia"/>
          <w:sz w:val="28"/>
          <w:szCs w:val="28"/>
        </w:rPr>
        <w:t>。主要原因：</w:t>
      </w:r>
      <w:r w:rsidR="000E1ED6">
        <w:rPr>
          <w:rFonts w:ascii="仿宋_GB2312" w:eastAsia="仿宋_GB2312" w:hint="eastAsia"/>
          <w:color w:val="000000"/>
          <w:sz w:val="28"/>
          <w:szCs w:val="28"/>
          <w:lang w:bidi="ar"/>
        </w:rPr>
        <w:t>本年度无公务接待支出</w:t>
      </w:r>
      <w:r w:rsidR="000E1ED6">
        <w:rPr>
          <w:rFonts w:ascii="仿宋_GB2312" w:eastAsia="仿宋_GB2312" w:hint="eastAsia"/>
          <w:sz w:val="28"/>
          <w:szCs w:val="28"/>
        </w:rPr>
        <w:t>。2024年度公务接待费主要用于</w:t>
      </w:r>
      <w:r w:rsidR="000E1ED6">
        <w:rPr>
          <w:rFonts w:ascii="仿宋_GB2312" w:eastAsia="仿宋_GB2312" w:hint="eastAsia"/>
          <w:sz w:val="28"/>
          <w:szCs w:val="28"/>
          <w:lang w:bidi="ar"/>
        </w:rPr>
        <w:t>公务接待事项</w:t>
      </w:r>
      <w:r w:rsidR="000E1ED6">
        <w:rPr>
          <w:rFonts w:ascii="仿宋_GB2312" w:eastAsia="仿宋_GB2312" w:hint="eastAsia"/>
          <w:sz w:val="28"/>
          <w:szCs w:val="28"/>
        </w:rPr>
        <w:t>。公务接待0批次，公务接待0人次。</w:t>
      </w:r>
    </w:p>
    <w:p w:rsidR="002918C8" w:rsidRDefault="00943A5E" w:rsidP="000E1ED6">
      <w:pPr>
        <w:spacing w:line="560" w:lineRule="exact"/>
        <w:ind w:firstLine="600"/>
        <w:rPr>
          <w:rFonts w:ascii="仿宋_GB2312" w:eastAsia="仿宋_GB2312"/>
          <w:sz w:val="28"/>
          <w:szCs w:val="28"/>
        </w:rPr>
      </w:pPr>
      <w:r>
        <w:rPr>
          <w:rFonts w:ascii="仿宋_GB2312" w:eastAsia="仿宋_GB2312" w:hint="eastAsia"/>
          <w:sz w:val="28"/>
          <w:szCs w:val="28"/>
        </w:rPr>
        <w:t>3.公务用车购置及运行维护费。2024年度决算数3.60万元，比2024年度年初预算数5.40万元减少1.80万元。其中，公务用车购置费2024年度决算数0万元，主要原因：</w:t>
      </w:r>
      <w:r w:rsidR="000E1ED6">
        <w:rPr>
          <w:rFonts w:ascii="仿宋_GB2312" w:eastAsia="仿宋_GB2312" w:hint="eastAsia"/>
          <w:sz w:val="28"/>
          <w:szCs w:val="28"/>
          <w:lang w:bidi="ar"/>
        </w:rPr>
        <w:t>本年度新购车辆</w:t>
      </w:r>
      <w:r w:rsidR="000E1ED6">
        <w:rPr>
          <w:rFonts w:ascii="仿宋_GB2312" w:eastAsia="仿宋_GB2312"/>
          <w:sz w:val="28"/>
          <w:szCs w:val="28"/>
          <w:lang w:bidi="ar"/>
        </w:rPr>
        <w:t>0</w:t>
      </w:r>
      <w:r w:rsidR="000E1ED6">
        <w:rPr>
          <w:rFonts w:ascii="仿宋_GB2312" w:eastAsia="仿宋_GB2312" w:hint="eastAsia"/>
          <w:sz w:val="28"/>
          <w:szCs w:val="28"/>
          <w:lang w:bidi="ar"/>
        </w:rPr>
        <w:t>辆</w:t>
      </w:r>
      <w:r w:rsidR="000E1ED6">
        <w:rPr>
          <w:rFonts w:ascii="仿宋_GB2312" w:eastAsia="仿宋_GB2312" w:hint="eastAsia"/>
          <w:sz w:val="28"/>
          <w:szCs w:val="28"/>
        </w:rPr>
        <w:t>，2024年度购置（更新）</w:t>
      </w:r>
      <w:r w:rsidR="000E1ED6">
        <w:rPr>
          <w:rFonts w:ascii="仿宋_GB2312" w:eastAsia="仿宋_GB2312"/>
          <w:sz w:val="28"/>
          <w:szCs w:val="28"/>
        </w:rPr>
        <w:t>0</w:t>
      </w:r>
      <w:r w:rsidR="000E1ED6">
        <w:rPr>
          <w:rFonts w:ascii="仿宋_GB2312" w:eastAsia="仿宋_GB2312" w:hint="eastAsia"/>
          <w:sz w:val="28"/>
          <w:szCs w:val="28"/>
        </w:rPr>
        <w:t>辆</w:t>
      </w:r>
      <w:r>
        <w:rPr>
          <w:rFonts w:ascii="仿宋_GB2312" w:eastAsia="仿宋_GB2312" w:hint="eastAsia"/>
          <w:sz w:val="28"/>
          <w:szCs w:val="28"/>
        </w:rPr>
        <w:t>。公务用车运行维护费2024年度决算数3.60万元，主要原因：</w:t>
      </w:r>
      <w:r w:rsidR="000E1ED6">
        <w:rPr>
          <w:rFonts w:ascii="仿宋_GB2312" w:eastAsia="仿宋_GB2312" w:hint="eastAsia"/>
          <w:color w:val="000000"/>
          <w:sz w:val="28"/>
          <w:szCs w:val="28"/>
          <w:lang w:bidi="ar"/>
        </w:rPr>
        <w:t>严格落实公务用车使用规定，认真贯彻厉行节约反对浪费的有关要求，本着节俭高效的原则,进一步加强公务用车管理,减少费用支出</w:t>
      </w:r>
      <w:r>
        <w:rPr>
          <w:rFonts w:ascii="仿宋_GB2312" w:eastAsia="仿宋_GB2312" w:hint="eastAsia"/>
          <w:sz w:val="28"/>
          <w:szCs w:val="28"/>
        </w:rPr>
        <w:t>。2024年度公务用车保有量</w:t>
      </w:r>
      <w:r>
        <w:rPr>
          <w:rFonts w:ascii="仿宋_GB2312" w:eastAsia="仿宋_GB2312"/>
          <w:sz w:val="28"/>
          <w:szCs w:val="28"/>
        </w:rPr>
        <w:t>2</w:t>
      </w:r>
      <w:r>
        <w:rPr>
          <w:rFonts w:ascii="仿宋_GB2312" w:eastAsia="仿宋_GB2312" w:hint="eastAsia"/>
          <w:sz w:val="28"/>
          <w:szCs w:val="28"/>
        </w:rPr>
        <w:t>辆。</w:t>
      </w:r>
    </w:p>
    <w:p w:rsidR="002918C8" w:rsidRDefault="00943A5E">
      <w:pPr>
        <w:tabs>
          <w:tab w:val="center" w:pos="6979"/>
        </w:tabs>
        <w:ind w:firstLineChars="198" w:firstLine="554"/>
        <w:rPr>
          <w:rFonts w:ascii="黑体" w:eastAsia="黑体"/>
          <w:sz w:val="28"/>
          <w:szCs w:val="28"/>
        </w:rPr>
      </w:pPr>
      <w:r>
        <w:rPr>
          <w:rFonts w:ascii="黑体" w:eastAsia="黑体" w:hint="eastAsia"/>
          <w:sz w:val="28"/>
          <w:szCs w:val="28"/>
        </w:rPr>
        <w:t>二、机关运行经费支出情况</w:t>
      </w:r>
    </w:p>
    <w:p w:rsidR="002918C8" w:rsidRDefault="00943A5E">
      <w:pPr>
        <w:ind w:firstLineChars="192" w:firstLine="538"/>
        <w:rPr>
          <w:rFonts w:ascii="仿宋_GB2312" w:eastAsia="仿宋_GB2312"/>
          <w:sz w:val="28"/>
          <w:szCs w:val="28"/>
        </w:rPr>
      </w:pPr>
      <w:r>
        <w:rPr>
          <w:rFonts w:ascii="仿宋_GB2312" w:eastAsia="仿宋_GB2312" w:hint="eastAsia"/>
          <w:sz w:val="28"/>
          <w:szCs w:val="28"/>
        </w:rPr>
        <w:t>本单位不在机关运行经费统计范围之内。</w:t>
      </w:r>
    </w:p>
    <w:p w:rsidR="002918C8" w:rsidRDefault="00943A5E">
      <w:pPr>
        <w:ind w:left="540"/>
        <w:rPr>
          <w:rFonts w:ascii="黑体" w:eastAsia="黑体"/>
          <w:sz w:val="28"/>
          <w:szCs w:val="28"/>
        </w:rPr>
      </w:pPr>
      <w:r>
        <w:rPr>
          <w:rFonts w:ascii="黑体" w:eastAsia="黑体" w:hint="eastAsia"/>
          <w:sz w:val="28"/>
          <w:szCs w:val="28"/>
        </w:rPr>
        <w:t>三、政府采购支出情况</w:t>
      </w:r>
    </w:p>
    <w:p w:rsidR="002918C8" w:rsidRDefault="00943A5E">
      <w:pPr>
        <w:ind w:firstLineChars="192" w:firstLine="538"/>
        <w:rPr>
          <w:rFonts w:ascii="仿宋_GB2312" w:eastAsia="仿宋_GB2312"/>
          <w:sz w:val="28"/>
          <w:szCs w:val="28"/>
        </w:rPr>
      </w:pPr>
      <w:r>
        <w:rPr>
          <w:rFonts w:ascii="仿宋_GB2312" w:eastAsia="仿宋_GB2312" w:hint="eastAsia"/>
          <w:sz w:val="28"/>
          <w:szCs w:val="28"/>
        </w:rPr>
        <w:t>2024年度政府采购支出总额</w:t>
      </w:r>
      <w:r>
        <w:rPr>
          <w:rFonts w:ascii="仿宋_GB2312" w:eastAsia="仿宋_GB2312"/>
          <w:sz w:val="28"/>
          <w:szCs w:val="28"/>
        </w:rPr>
        <w:t>4.03</w:t>
      </w:r>
      <w:r>
        <w:rPr>
          <w:rFonts w:ascii="仿宋_GB2312" w:eastAsia="仿宋_GB2312" w:hint="eastAsia"/>
          <w:sz w:val="28"/>
          <w:szCs w:val="28"/>
        </w:rPr>
        <w:t>万元，其中：政府采购货物支出0.64万元，政府采购工程支出0万元，政府采购服务支出3.39万元。授予中小企业合同金额</w:t>
      </w:r>
      <w:r>
        <w:rPr>
          <w:rFonts w:ascii="仿宋_GB2312" w:eastAsia="仿宋_GB2312"/>
          <w:sz w:val="28"/>
          <w:szCs w:val="28"/>
        </w:rPr>
        <w:t>1.68</w:t>
      </w:r>
      <w:r>
        <w:rPr>
          <w:rFonts w:ascii="仿宋_GB2312" w:eastAsia="仿宋_GB2312" w:hint="eastAsia"/>
          <w:sz w:val="28"/>
          <w:szCs w:val="28"/>
        </w:rPr>
        <w:t>万元，占政府采购支出总额的41.58%，其中：授予小微企业合同金额</w:t>
      </w:r>
      <w:r>
        <w:rPr>
          <w:rFonts w:ascii="仿宋_GB2312" w:eastAsia="仿宋_GB2312"/>
          <w:sz w:val="28"/>
          <w:szCs w:val="28"/>
        </w:rPr>
        <w:t>1.68</w:t>
      </w:r>
      <w:r>
        <w:rPr>
          <w:rFonts w:ascii="仿宋_GB2312" w:eastAsia="仿宋_GB2312" w:hint="eastAsia"/>
          <w:sz w:val="28"/>
          <w:szCs w:val="28"/>
        </w:rPr>
        <w:t>万元，占政府采购支出总额的</w:t>
      </w:r>
      <w:r>
        <w:rPr>
          <w:rFonts w:ascii="仿宋_GB2312" w:eastAsia="仿宋_GB2312"/>
          <w:sz w:val="28"/>
          <w:szCs w:val="28"/>
        </w:rPr>
        <w:t>41.58</w:t>
      </w:r>
      <w:r>
        <w:rPr>
          <w:rFonts w:ascii="仿宋_GB2312" w:eastAsia="仿宋_GB2312" w:hint="eastAsia"/>
          <w:sz w:val="28"/>
          <w:szCs w:val="28"/>
        </w:rPr>
        <w:t>%。</w:t>
      </w:r>
    </w:p>
    <w:p w:rsidR="002918C8" w:rsidRDefault="00943A5E">
      <w:pPr>
        <w:ind w:firstLineChars="200" w:firstLine="560"/>
        <w:rPr>
          <w:rFonts w:ascii="黑体" w:eastAsia="黑体"/>
          <w:sz w:val="28"/>
          <w:szCs w:val="28"/>
          <w:highlight w:val="yellow"/>
        </w:rPr>
      </w:pPr>
      <w:r>
        <w:rPr>
          <w:rFonts w:ascii="黑体" w:eastAsia="黑体" w:hint="eastAsia"/>
          <w:sz w:val="28"/>
          <w:szCs w:val="28"/>
        </w:rPr>
        <w:t>四、国有资产占用情况</w:t>
      </w:r>
    </w:p>
    <w:p w:rsidR="002918C8" w:rsidRDefault="00943A5E">
      <w:pPr>
        <w:ind w:firstLineChars="200" w:firstLine="560"/>
        <w:rPr>
          <w:rFonts w:ascii="仿宋_GB2312" w:eastAsia="仿宋_GB2312"/>
          <w:sz w:val="32"/>
          <w:szCs w:val="32"/>
        </w:rPr>
      </w:pPr>
      <w:r>
        <w:rPr>
          <w:rFonts w:ascii="仿宋_GB2312" w:eastAsia="仿宋_GB2312" w:hint="eastAsia"/>
          <w:sz w:val="28"/>
          <w:szCs w:val="28"/>
        </w:rPr>
        <w:t>截至12月31日，北京市大兴区青云店镇第二中心小学共有车辆2台；单位价值100万元（含）以上的设备0台（套）。</w:t>
      </w:r>
    </w:p>
    <w:p w:rsidR="002918C8" w:rsidRDefault="00943A5E">
      <w:pPr>
        <w:ind w:firstLineChars="192" w:firstLine="538"/>
        <w:rPr>
          <w:rFonts w:ascii="黑体" w:eastAsia="黑体"/>
          <w:sz w:val="28"/>
          <w:szCs w:val="28"/>
        </w:rPr>
      </w:pPr>
      <w:r>
        <w:rPr>
          <w:rFonts w:ascii="黑体" w:eastAsia="黑体" w:hint="eastAsia"/>
          <w:sz w:val="28"/>
          <w:szCs w:val="28"/>
        </w:rPr>
        <w:lastRenderedPageBreak/>
        <w:t>五</w:t>
      </w:r>
      <w:r>
        <w:rPr>
          <w:rFonts w:ascii="黑体" w:eastAsia="黑体"/>
          <w:sz w:val="28"/>
          <w:szCs w:val="28"/>
        </w:rPr>
        <w:t>、政府购买服务</w:t>
      </w:r>
      <w:r>
        <w:rPr>
          <w:rFonts w:ascii="黑体" w:eastAsia="黑体" w:hint="eastAsia"/>
          <w:sz w:val="28"/>
          <w:szCs w:val="28"/>
        </w:rPr>
        <w:t>支出</w:t>
      </w:r>
      <w:r>
        <w:rPr>
          <w:rFonts w:ascii="黑体" w:eastAsia="黑体"/>
          <w:sz w:val="28"/>
          <w:szCs w:val="28"/>
        </w:rPr>
        <w:t>说明</w:t>
      </w:r>
    </w:p>
    <w:p w:rsidR="002918C8" w:rsidRDefault="00943A5E">
      <w:pPr>
        <w:ind w:firstLineChars="192" w:firstLine="538"/>
        <w:rPr>
          <w:rFonts w:ascii="仿宋_GB2312" w:eastAsia="仿宋_GB2312"/>
          <w:sz w:val="28"/>
          <w:szCs w:val="28"/>
        </w:rPr>
      </w:pPr>
      <w:r>
        <w:rPr>
          <w:rFonts w:ascii="仿宋_GB2312" w:eastAsia="仿宋_GB2312" w:hint="eastAsia"/>
          <w:sz w:val="28"/>
          <w:szCs w:val="28"/>
        </w:rPr>
        <w:t>2024年度</w:t>
      </w:r>
      <w:r>
        <w:rPr>
          <w:rFonts w:ascii="仿宋_GB2312" w:eastAsia="仿宋_GB2312"/>
          <w:sz w:val="28"/>
          <w:szCs w:val="28"/>
        </w:rPr>
        <w:t>政府购买服务决算0</w:t>
      </w:r>
      <w:r>
        <w:rPr>
          <w:rFonts w:ascii="仿宋_GB2312" w:eastAsia="仿宋_GB2312" w:hint="eastAsia"/>
          <w:sz w:val="28"/>
          <w:szCs w:val="28"/>
        </w:rPr>
        <w:t>万元。</w:t>
      </w:r>
    </w:p>
    <w:p w:rsidR="002918C8" w:rsidRDefault="00943A5E">
      <w:pPr>
        <w:ind w:firstLineChars="200" w:firstLine="560"/>
        <w:jc w:val="left"/>
        <w:rPr>
          <w:rFonts w:ascii="仿宋_GB2312" w:eastAsia="仿宋_GB2312"/>
          <w:color w:val="000000"/>
          <w:sz w:val="32"/>
          <w:szCs w:val="32"/>
        </w:rPr>
      </w:pPr>
      <w:r>
        <w:rPr>
          <w:rFonts w:ascii="黑体" w:eastAsia="黑体" w:hint="eastAsia"/>
          <w:sz w:val="28"/>
          <w:szCs w:val="28"/>
        </w:rPr>
        <w:t>六、</w:t>
      </w:r>
      <w:r>
        <w:rPr>
          <w:rFonts w:ascii="黑体" w:eastAsia="黑体"/>
          <w:sz w:val="28"/>
          <w:szCs w:val="28"/>
        </w:rPr>
        <w:t>专业名词解释</w:t>
      </w:r>
    </w:p>
    <w:p w:rsidR="002918C8" w:rsidRDefault="00943A5E">
      <w:pPr>
        <w:ind w:firstLineChars="200" w:firstLine="560"/>
        <w:rPr>
          <w:rFonts w:ascii="仿宋_GB2312" w:eastAsia="仿宋_GB2312"/>
          <w:sz w:val="28"/>
          <w:szCs w:val="28"/>
        </w:rPr>
      </w:pPr>
      <w:r>
        <w:rPr>
          <w:rFonts w:ascii="仿宋_GB2312" w:eastAsia="仿宋_GB2312" w:hint="eastAsia"/>
          <w:sz w:val="28"/>
          <w:szCs w:val="28"/>
        </w:rPr>
        <w:t>1.基本支出：指为保障机构正常运转、完成日常工作任务而发生的人员支出和公用支出。</w:t>
      </w:r>
    </w:p>
    <w:p w:rsidR="002918C8" w:rsidRDefault="00943A5E">
      <w:pPr>
        <w:ind w:firstLineChars="200" w:firstLine="560"/>
        <w:rPr>
          <w:rFonts w:ascii="仿宋_GB2312" w:eastAsia="仿宋_GB2312"/>
          <w:sz w:val="28"/>
          <w:szCs w:val="28"/>
        </w:rPr>
      </w:pPr>
      <w:r>
        <w:rPr>
          <w:rFonts w:ascii="仿宋_GB2312" w:eastAsia="仿宋_GB2312" w:hint="eastAsia"/>
          <w:sz w:val="28"/>
          <w:szCs w:val="28"/>
        </w:rPr>
        <w:t>2.项目支出：指在基本支出之外为完成特定行政任务或事业发展目标所发生的支出。</w:t>
      </w:r>
    </w:p>
    <w:p w:rsidR="002918C8" w:rsidRDefault="00943A5E">
      <w:pPr>
        <w:ind w:firstLineChars="200" w:firstLine="560"/>
        <w:rPr>
          <w:rFonts w:ascii="仿宋_GB2312" w:eastAsia="仿宋_GB2312" w:hAnsi="宋体"/>
          <w:sz w:val="28"/>
          <w:szCs w:val="28"/>
        </w:rPr>
      </w:pPr>
      <w:r>
        <w:rPr>
          <w:rFonts w:ascii="仿宋_GB2312" w:eastAsia="仿宋_GB2312" w:hint="eastAsia"/>
          <w:sz w:val="28"/>
          <w:szCs w:val="28"/>
        </w:rPr>
        <w:t>3.“三公”经费：</w:t>
      </w:r>
      <w:r>
        <w:rPr>
          <w:rFonts w:ascii="仿宋_GB2312" w:eastAsia="仿宋_GB2312" w:hAnsi="宋体" w:hint="eastAsia"/>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rsidR="002918C8" w:rsidRDefault="00943A5E">
      <w:pPr>
        <w:ind w:firstLineChars="200" w:firstLine="560"/>
        <w:rPr>
          <w:rFonts w:ascii="仿宋_GB2312" w:eastAsia="仿宋_GB2312" w:hAnsi="宋体"/>
          <w:sz w:val="28"/>
          <w:szCs w:val="28"/>
        </w:rPr>
      </w:pPr>
      <w:r>
        <w:rPr>
          <w:rFonts w:ascii="仿宋_GB2312" w:eastAsia="仿宋_GB2312" w:hint="eastAsia"/>
          <w:sz w:val="28"/>
          <w:szCs w:val="28"/>
        </w:rPr>
        <w:t>4</w:t>
      </w:r>
      <w:r>
        <w:rPr>
          <w:rFonts w:ascii="仿宋_GB2312" w:eastAsia="仿宋_GB2312"/>
          <w:sz w:val="28"/>
          <w:szCs w:val="28"/>
        </w:rPr>
        <w:t>.</w:t>
      </w:r>
      <w:r>
        <w:rPr>
          <w:rFonts w:ascii="仿宋_GB2312" w:eastAsia="仿宋_GB2312" w:hint="eastAsia"/>
          <w:sz w:val="28"/>
          <w:szCs w:val="28"/>
        </w:rPr>
        <w:t>机关运行经费：</w:t>
      </w:r>
      <w:r>
        <w:rPr>
          <w:rFonts w:ascii="仿宋_GB2312" w:eastAsia="仿宋_GB2312" w:hAnsi="宋体" w:hint="eastAsia"/>
          <w:sz w:val="28"/>
          <w:szCs w:val="28"/>
        </w:rPr>
        <w:t>指为</w:t>
      </w:r>
      <w:r>
        <w:rPr>
          <w:rFonts w:ascii="仿宋_GB2312" w:eastAsia="仿宋_GB2312" w:hAnsi="宋体"/>
          <w:sz w:val="28"/>
          <w:szCs w:val="28"/>
        </w:rPr>
        <w:t>保障</w:t>
      </w:r>
      <w:r>
        <w:rPr>
          <w:rFonts w:ascii="仿宋_GB2312" w:eastAsia="仿宋_GB2312" w:hAnsi="宋体" w:hint="eastAsia"/>
          <w:sz w:val="28"/>
          <w:szCs w:val="28"/>
        </w:rPr>
        <w:t>行政单位（含参照公务员法管理事业单位）运行用于</w:t>
      </w:r>
      <w:r>
        <w:rPr>
          <w:rFonts w:ascii="仿宋_GB2312" w:eastAsia="仿宋_GB2312" w:hAnsi="宋体"/>
          <w:sz w:val="28"/>
          <w:szCs w:val="28"/>
        </w:rPr>
        <w:t>购买货物和服务的各项资金</w:t>
      </w:r>
      <w:r>
        <w:rPr>
          <w:rFonts w:ascii="仿宋_GB2312" w:eastAsia="仿宋_GB2312" w:hAnsi="宋体" w:hint="eastAsia"/>
          <w:sz w:val="28"/>
          <w:szCs w:val="28"/>
        </w:rPr>
        <w:t>，包括办公及印刷费、邮电费、差旅费、会议费、福利费、日常维修费、专用材料及一般设备购置费、办公用房水电费、办公用房取暖费、办公用房物业管理费、公务用车运行维护费以及其他费用。</w:t>
      </w:r>
    </w:p>
    <w:p w:rsidR="002918C8" w:rsidRDefault="00943A5E">
      <w:pPr>
        <w:ind w:firstLineChars="150" w:firstLine="420"/>
        <w:rPr>
          <w:rFonts w:ascii="仿宋_GB2312" w:eastAsia="仿宋_GB2312"/>
          <w:sz w:val="28"/>
          <w:szCs w:val="28"/>
        </w:rPr>
      </w:pPr>
      <w:r>
        <w:rPr>
          <w:rFonts w:ascii="仿宋_GB2312" w:eastAsia="仿宋_GB2312" w:hint="eastAsia"/>
          <w:sz w:val="28"/>
          <w:szCs w:val="28"/>
        </w:rPr>
        <w:t>5</w:t>
      </w:r>
      <w:r>
        <w:rPr>
          <w:rFonts w:ascii="仿宋_GB2312" w:eastAsia="仿宋_GB2312"/>
          <w:sz w:val="28"/>
          <w:szCs w:val="28"/>
        </w:rPr>
        <w:t>.</w:t>
      </w:r>
      <w:r>
        <w:rPr>
          <w:rFonts w:ascii="仿宋_GB2312" w:eastAsia="仿宋_GB2312" w:hint="eastAsia"/>
          <w:sz w:val="28"/>
          <w:szCs w:val="28"/>
        </w:rPr>
        <w:t>政府采购</w:t>
      </w:r>
      <w:r>
        <w:rPr>
          <w:rFonts w:ascii="仿宋_GB2312" w:eastAsia="仿宋_GB2312"/>
          <w:sz w:val="28"/>
          <w:szCs w:val="28"/>
        </w:rPr>
        <w:t>：</w:t>
      </w:r>
      <w:r>
        <w:rPr>
          <w:rFonts w:ascii="仿宋_GB2312" w:eastAsia="仿宋_GB2312" w:hint="eastAsia"/>
          <w:sz w:val="28"/>
          <w:szCs w:val="28"/>
        </w:rPr>
        <w:t>指</w:t>
      </w:r>
      <w:r>
        <w:rPr>
          <w:rFonts w:ascii="仿宋_GB2312" w:eastAsia="仿宋_GB2312"/>
          <w:sz w:val="28"/>
          <w:szCs w:val="28"/>
        </w:rPr>
        <w:t>各级国家机关、事业单位和团体组织，使用</w:t>
      </w:r>
      <w:r>
        <w:rPr>
          <w:rFonts w:ascii="仿宋_GB2312" w:eastAsia="仿宋_GB2312" w:hint="eastAsia"/>
          <w:sz w:val="28"/>
          <w:szCs w:val="28"/>
        </w:rPr>
        <w:t>财政性</w:t>
      </w:r>
      <w:r>
        <w:rPr>
          <w:rFonts w:ascii="仿宋_GB2312" w:eastAsia="仿宋_GB2312"/>
          <w:sz w:val="28"/>
          <w:szCs w:val="28"/>
        </w:rPr>
        <w:t>资金采购依法制定的集中目录以内的或者采购限额标准以上的货物、工程和服务的行为</w:t>
      </w:r>
      <w:r>
        <w:rPr>
          <w:rFonts w:ascii="仿宋_GB2312" w:eastAsia="仿宋_GB2312" w:hint="eastAsia"/>
          <w:sz w:val="28"/>
          <w:szCs w:val="28"/>
        </w:rPr>
        <w:t>，</w:t>
      </w:r>
      <w:r>
        <w:rPr>
          <w:rFonts w:ascii="仿宋_GB2312" w:eastAsia="仿宋_GB2312"/>
          <w:sz w:val="28"/>
          <w:szCs w:val="28"/>
        </w:rPr>
        <w:t>是规范财政支出管理和强化预算约束的有效措施。</w:t>
      </w:r>
    </w:p>
    <w:p w:rsidR="002918C8" w:rsidRDefault="00943A5E">
      <w:pPr>
        <w:ind w:firstLineChars="150" w:firstLine="420"/>
        <w:rPr>
          <w:rFonts w:ascii="仿宋_GB2312" w:eastAsia="仿宋_GB2312"/>
          <w:sz w:val="28"/>
          <w:szCs w:val="28"/>
        </w:rPr>
      </w:pPr>
      <w:r>
        <w:rPr>
          <w:rFonts w:ascii="仿宋_GB2312" w:eastAsia="仿宋_GB2312" w:hint="eastAsia"/>
          <w:sz w:val="28"/>
          <w:szCs w:val="28"/>
        </w:rPr>
        <w:t>6</w:t>
      </w:r>
      <w:r>
        <w:rPr>
          <w:rFonts w:ascii="仿宋_GB2312" w:eastAsia="仿宋_GB2312"/>
          <w:sz w:val="28"/>
          <w:szCs w:val="28"/>
        </w:rPr>
        <w:t>.政府购买服务：</w:t>
      </w:r>
      <w:r>
        <w:rPr>
          <w:rFonts w:ascii="仿宋_GB2312" w:eastAsia="仿宋_GB2312" w:hint="eastAsia"/>
          <w:sz w:val="28"/>
          <w:szCs w:val="28"/>
        </w:rPr>
        <w:t>是指各级国家机关将属于自身职责范围且适合通过市场化方式提供的服务事项，按照政府采购方</w:t>
      </w:r>
      <w:r>
        <w:rPr>
          <w:rFonts w:ascii="仿宋_GB2312" w:eastAsia="仿宋_GB2312" w:hint="eastAsia"/>
          <w:sz w:val="28"/>
          <w:szCs w:val="28"/>
        </w:rPr>
        <w:lastRenderedPageBreak/>
        <w:t>式和程序，交由符合条件的服务供应商承担，并根据服务数量和质量等因素向其支付费用的行为。</w:t>
      </w:r>
    </w:p>
    <w:p w:rsidR="002918C8" w:rsidRDefault="00943A5E">
      <w:pPr>
        <w:ind w:firstLineChars="150" w:firstLine="420"/>
        <w:rPr>
          <w:rFonts w:ascii="仿宋_GB2312" w:eastAsia="仿宋_GB2312"/>
          <w:sz w:val="28"/>
          <w:szCs w:val="28"/>
        </w:rPr>
      </w:pPr>
      <w:r>
        <w:rPr>
          <w:rFonts w:ascii="仿宋_GB2312" w:eastAsia="仿宋_GB2312" w:hint="eastAsia"/>
          <w:sz w:val="28"/>
          <w:szCs w:val="28"/>
        </w:rPr>
        <w:t>7. 教育支出（类）普通教育（款）小学教育（项）：反映各部门举办的小学教育支出。政府各部门对社会组织等举办的幼儿园的资助，入捐赠、补贴等，也在本科目反映。</w:t>
      </w:r>
    </w:p>
    <w:p w:rsidR="002918C8" w:rsidRDefault="00943A5E">
      <w:pPr>
        <w:ind w:firstLineChars="150" w:firstLine="420"/>
        <w:rPr>
          <w:rFonts w:ascii="仿宋_GB2312" w:eastAsia="仿宋_GB2312"/>
          <w:sz w:val="28"/>
          <w:szCs w:val="28"/>
        </w:rPr>
      </w:pPr>
      <w:r>
        <w:rPr>
          <w:rFonts w:ascii="仿宋_GB2312" w:eastAsia="仿宋_GB2312"/>
          <w:sz w:val="28"/>
          <w:szCs w:val="28"/>
        </w:rPr>
        <w:t>8.</w:t>
      </w:r>
      <w:r>
        <w:rPr>
          <w:rFonts w:ascii="仿宋_GB2312" w:eastAsia="仿宋_GB2312" w:hint="eastAsia"/>
          <w:sz w:val="28"/>
          <w:szCs w:val="28"/>
        </w:rPr>
        <w:t>社会保障和就业支出（类）行政事业单位养老支出（款）事业单位离退休（项）：反映事业单位开支的离退休经费。</w:t>
      </w:r>
    </w:p>
    <w:p w:rsidR="002918C8" w:rsidRDefault="00943A5E">
      <w:pPr>
        <w:ind w:firstLineChars="150" w:firstLine="420"/>
        <w:rPr>
          <w:rFonts w:ascii="仿宋_GB2312" w:eastAsia="仿宋_GB2312"/>
          <w:sz w:val="28"/>
          <w:szCs w:val="28"/>
        </w:rPr>
      </w:pPr>
      <w:r>
        <w:rPr>
          <w:rFonts w:ascii="仿宋_GB2312" w:eastAsia="仿宋_GB2312"/>
          <w:sz w:val="28"/>
          <w:szCs w:val="28"/>
        </w:rPr>
        <w:t>9.</w:t>
      </w:r>
      <w:r>
        <w:rPr>
          <w:rFonts w:ascii="仿宋_GB2312" w:eastAsia="仿宋_GB2312" w:hint="eastAsia"/>
          <w:sz w:val="28"/>
          <w:szCs w:val="28"/>
        </w:rPr>
        <w:t>社会保障和就业支出（类）行政事业单位养老支出（款）机关事业单位基本养老保险缴费支出（项）：反映机关事业单位实施养老保险制度由单位缴纳的基本养老保险支出。</w:t>
      </w:r>
    </w:p>
    <w:p w:rsidR="002918C8" w:rsidRDefault="00943A5E">
      <w:pPr>
        <w:ind w:firstLineChars="150" w:firstLine="420"/>
        <w:rPr>
          <w:rFonts w:ascii="仿宋_GB2312" w:eastAsia="仿宋_GB2312"/>
          <w:sz w:val="28"/>
          <w:szCs w:val="28"/>
        </w:rPr>
      </w:pPr>
      <w:r>
        <w:rPr>
          <w:rFonts w:ascii="仿宋_GB2312" w:eastAsia="仿宋_GB2312"/>
          <w:sz w:val="28"/>
          <w:szCs w:val="28"/>
        </w:rPr>
        <w:t>10.</w:t>
      </w:r>
      <w:r>
        <w:rPr>
          <w:rFonts w:ascii="仿宋_GB2312" w:eastAsia="仿宋_GB2312" w:hint="eastAsia"/>
          <w:sz w:val="28"/>
          <w:szCs w:val="28"/>
        </w:rPr>
        <w:t>社会保障和就业支出（类）行政事业单位养老支出（款）机关事业单位职业年金缴费支出（项）：反映机关事业单位实施养老保险制度由单位实际缴纳的职业年金支出。</w:t>
      </w:r>
    </w:p>
    <w:p w:rsidR="002918C8" w:rsidRDefault="00943A5E">
      <w:pPr>
        <w:ind w:firstLineChars="150" w:firstLine="420"/>
        <w:rPr>
          <w:rFonts w:ascii="仿宋_GB2312" w:eastAsia="仿宋_GB2312"/>
          <w:sz w:val="28"/>
          <w:szCs w:val="28"/>
        </w:rPr>
      </w:pPr>
      <w:r>
        <w:rPr>
          <w:rFonts w:ascii="仿宋_GB2312" w:eastAsia="仿宋_GB2312" w:hint="eastAsia"/>
          <w:sz w:val="28"/>
          <w:szCs w:val="28"/>
        </w:rPr>
        <w:t>1</w:t>
      </w:r>
      <w:r>
        <w:rPr>
          <w:rFonts w:ascii="仿宋_GB2312" w:eastAsia="仿宋_GB2312"/>
          <w:sz w:val="28"/>
          <w:szCs w:val="28"/>
        </w:rPr>
        <w:t>1.</w:t>
      </w:r>
      <w:r>
        <w:rPr>
          <w:rFonts w:ascii="仿宋_GB2312" w:eastAsia="仿宋_GB2312" w:hint="eastAsia"/>
          <w:sz w:val="28"/>
          <w:szCs w:val="28"/>
        </w:rPr>
        <w:t>社会保障和就业支出（类）行政事业单位养老支出（款）其他行政事业单位养老支出（项）：反映除上述项目以外其他用于行政事业单位养老方面的支出。</w:t>
      </w:r>
    </w:p>
    <w:p w:rsidR="002918C8" w:rsidRDefault="00943A5E">
      <w:pPr>
        <w:ind w:firstLineChars="150" w:firstLine="420"/>
        <w:rPr>
          <w:rFonts w:ascii="仿宋_GB2312" w:eastAsia="仿宋_GB2312"/>
          <w:sz w:val="28"/>
          <w:szCs w:val="28"/>
        </w:rPr>
      </w:pPr>
      <w:r>
        <w:rPr>
          <w:rFonts w:ascii="仿宋_GB2312" w:eastAsia="仿宋_GB2312" w:hint="eastAsia"/>
          <w:sz w:val="28"/>
          <w:szCs w:val="28"/>
        </w:rPr>
        <w:t>1</w:t>
      </w:r>
      <w:r>
        <w:rPr>
          <w:rFonts w:ascii="仿宋_GB2312" w:eastAsia="仿宋_GB2312"/>
          <w:sz w:val="28"/>
          <w:szCs w:val="28"/>
        </w:rPr>
        <w:t>2.</w:t>
      </w:r>
      <w:r>
        <w:rPr>
          <w:rFonts w:ascii="仿宋_GB2312" w:eastAsia="仿宋_GB2312" w:hint="eastAsia"/>
          <w:sz w:val="28"/>
          <w:szCs w:val="28"/>
        </w:rPr>
        <w:t>卫生健康支出（类）行政事业单位医疗（款）事业单位医疗（项）：反映财政部门安排的事业单位基本医疗保险缴费经费，未参加医疗保险的事业单位的公务医疗经费，按国家规定享受离休人员待遇的医疗经费。</w:t>
      </w:r>
    </w:p>
    <w:p w:rsidR="002918C8" w:rsidRDefault="00943A5E">
      <w:pPr>
        <w:ind w:firstLineChars="150" w:firstLine="420"/>
        <w:rPr>
          <w:rFonts w:ascii="仿宋_GB2312" w:eastAsia="仿宋_GB2312"/>
          <w:sz w:val="28"/>
          <w:szCs w:val="28"/>
        </w:rPr>
      </w:pPr>
      <w:r>
        <w:rPr>
          <w:rFonts w:ascii="仿宋_GB2312" w:eastAsia="仿宋_GB2312" w:hint="eastAsia"/>
          <w:sz w:val="28"/>
          <w:szCs w:val="28"/>
        </w:rPr>
        <w:t>1</w:t>
      </w:r>
      <w:r>
        <w:rPr>
          <w:rFonts w:ascii="仿宋_GB2312" w:eastAsia="仿宋_GB2312"/>
          <w:sz w:val="28"/>
          <w:szCs w:val="28"/>
        </w:rPr>
        <w:t>3.</w:t>
      </w:r>
      <w:bookmarkStart w:id="7" w:name="OLE_LINK23"/>
      <w:bookmarkStart w:id="8" w:name="OLE_LINK22"/>
      <w:r>
        <w:rPr>
          <w:rFonts w:ascii="仿宋_GB2312" w:eastAsia="仿宋_GB2312" w:hint="eastAsia"/>
          <w:sz w:val="28"/>
          <w:szCs w:val="28"/>
        </w:rPr>
        <w:t>卫生健康支出（类）行政事业单位医疗（款）公务员医疗补助（项）：</w:t>
      </w:r>
      <w:bookmarkEnd w:id="7"/>
      <w:bookmarkEnd w:id="8"/>
      <w:r>
        <w:rPr>
          <w:rFonts w:ascii="仿宋_GB2312" w:eastAsia="仿宋_GB2312" w:hint="eastAsia"/>
          <w:sz w:val="28"/>
          <w:szCs w:val="28"/>
        </w:rPr>
        <w:t>反映财政部门安排的公务员医疗补助经费。</w:t>
      </w:r>
    </w:p>
    <w:p w:rsidR="002918C8" w:rsidRDefault="00943A5E">
      <w:pPr>
        <w:ind w:firstLineChars="150" w:firstLine="420"/>
        <w:rPr>
          <w:rFonts w:ascii="仿宋_GB2312" w:eastAsia="仿宋_GB2312"/>
          <w:sz w:val="28"/>
          <w:szCs w:val="28"/>
        </w:rPr>
      </w:pPr>
      <w:r>
        <w:rPr>
          <w:rFonts w:ascii="仿宋_GB2312" w:eastAsia="仿宋_GB2312" w:hint="eastAsia"/>
          <w:sz w:val="28"/>
          <w:szCs w:val="28"/>
        </w:rPr>
        <w:t>1</w:t>
      </w:r>
      <w:r>
        <w:rPr>
          <w:rFonts w:ascii="仿宋_GB2312" w:eastAsia="仿宋_GB2312"/>
          <w:sz w:val="28"/>
          <w:szCs w:val="28"/>
        </w:rPr>
        <w:t>4.</w:t>
      </w:r>
      <w:r>
        <w:rPr>
          <w:rFonts w:ascii="仿宋_GB2312" w:eastAsia="仿宋_GB2312" w:hint="eastAsia"/>
          <w:sz w:val="28"/>
          <w:szCs w:val="28"/>
        </w:rPr>
        <w:t>住房保障支出（类）住房改革支出（款）购房补贴（项）：反映按房改政策规定，行政事业单位向符合条件职工（含离退休人员）、军队（含武警）向转役复员离退休人员发放的用于购买住房的补贴。</w:t>
      </w:r>
    </w:p>
    <w:p w:rsidR="002918C8" w:rsidRDefault="002918C8">
      <w:pPr>
        <w:rPr>
          <w:rFonts w:ascii="黑体" w:eastAsia="黑体"/>
          <w:sz w:val="32"/>
          <w:szCs w:val="32"/>
        </w:rPr>
      </w:pPr>
    </w:p>
    <w:p w:rsidR="002918C8" w:rsidRDefault="002918C8">
      <w:pPr>
        <w:tabs>
          <w:tab w:val="center" w:pos="6979"/>
        </w:tabs>
        <w:spacing w:line="380" w:lineRule="exact"/>
        <w:jc w:val="center"/>
        <w:rPr>
          <w:rFonts w:ascii="宋体" w:hAnsi="宋体" w:cs="宋体"/>
          <w:b/>
          <w:bCs/>
          <w:kern w:val="0"/>
          <w:sz w:val="28"/>
          <w:szCs w:val="28"/>
        </w:rPr>
      </w:pPr>
    </w:p>
    <w:p w:rsidR="002918C8" w:rsidRDefault="002918C8">
      <w:pPr>
        <w:tabs>
          <w:tab w:val="center" w:pos="6979"/>
        </w:tabs>
        <w:spacing w:line="380" w:lineRule="exact"/>
        <w:jc w:val="center"/>
        <w:rPr>
          <w:rFonts w:ascii="宋体" w:hAnsi="宋体" w:cs="宋体"/>
          <w:b/>
          <w:bCs/>
          <w:kern w:val="0"/>
          <w:sz w:val="28"/>
          <w:szCs w:val="28"/>
        </w:rPr>
      </w:pPr>
    </w:p>
    <w:p w:rsidR="002918C8" w:rsidRDefault="002918C8">
      <w:pPr>
        <w:rPr>
          <w:rFonts w:ascii="黑体" w:eastAsia="黑体"/>
          <w:sz w:val="32"/>
          <w:szCs w:val="32"/>
        </w:rPr>
      </w:pPr>
    </w:p>
    <w:p w:rsidR="002918C8" w:rsidRDefault="002918C8">
      <w:pPr>
        <w:ind w:firstLineChars="200" w:firstLine="640"/>
        <w:jc w:val="center"/>
        <w:rPr>
          <w:rFonts w:ascii="黑体" w:eastAsia="黑体"/>
          <w:sz w:val="32"/>
          <w:szCs w:val="32"/>
        </w:rPr>
      </w:pPr>
    </w:p>
    <w:p w:rsidR="002918C8" w:rsidRDefault="00943A5E">
      <w:pPr>
        <w:ind w:firstLineChars="200" w:firstLine="640"/>
        <w:jc w:val="center"/>
        <w:rPr>
          <w:rFonts w:ascii="黑体" w:eastAsia="黑体"/>
          <w:sz w:val="32"/>
          <w:szCs w:val="32"/>
        </w:rPr>
      </w:pPr>
      <w:r>
        <w:rPr>
          <w:rFonts w:ascii="黑体" w:eastAsia="黑体" w:hint="eastAsia"/>
          <w:sz w:val="32"/>
          <w:szCs w:val="32"/>
        </w:rPr>
        <w:t>第四部分  2024年度部门绩效评价情况</w:t>
      </w:r>
    </w:p>
    <w:p w:rsidR="002918C8" w:rsidRDefault="002918C8">
      <w:pPr>
        <w:ind w:firstLineChars="200" w:firstLine="560"/>
        <w:rPr>
          <w:rFonts w:ascii="黑体" w:eastAsia="黑体"/>
          <w:sz w:val="28"/>
          <w:szCs w:val="28"/>
          <w:highlight w:val="yellow"/>
        </w:rPr>
      </w:pPr>
    </w:p>
    <w:p w:rsidR="002918C8" w:rsidRDefault="00943A5E" w:rsidP="000E1ED6">
      <w:pPr>
        <w:jc w:val="center"/>
        <w:rPr>
          <w:rFonts w:ascii="黑体" w:eastAsia="黑体"/>
          <w:sz w:val="28"/>
          <w:szCs w:val="28"/>
        </w:rPr>
      </w:pPr>
      <w:r>
        <w:rPr>
          <w:rFonts w:ascii="黑体" w:eastAsia="黑体" w:hint="eastAsia"/>
          <w:sz w:val="28"/>
          <w:szCs w:val="28"/>
        </w:rPr>
        <w:t>项目</w:t>
      </w:r>
      <w:r>
        <w:rPr>
          <w:rFonts w:ascii="黑体" w:eastAsia="黑体"/>
          <w:sz w:val="28"/>
          <w:szCs w:val="28"/>
        </w:rPr>
        <w:t>支出绩效自评表</w:t>
      </w:r>
      <w:r>
        <w:rPr>
          <w:rFonts w:ascii="黑体" w:eastAsia="黑体" w:hint="eastAsia"/>
          <w:sz w:val="28"/>
          <w:szCs w:val="28"/>
        </w:rPr>
        <w:t>（详见附件）</w:t>
      </w:r>
    </w:p>
    <w:p w:rsidR="002918C8" w:rsidRDefault="00943A5E" w:rsidP="000E1ED6">
      <w:pPr>
        <w:spacing w:line="480" w:lineRule="exact"/>
        <w:ind w:firstLine="420"/>
        <w:rPr>
          <w:rFonts w:ascii="仿宋_GB2312" w:eastAsia="仿宋_GB2312" w:hAnsi="仿宋_GB2312" w:cs="仿宋_GB2312"/>
          <w:sz w:val="32"/>
          <w:szCs w:val="32"/>
        </w:rPr>
      </w:pPr>
      <w:r>
        <w:rPr>
          <w:rFonts w:ascii="黑体" w:eastAsia="黑体" w:hint="eastAsia"/>
          <w:sz w:val="28"/>
          <w:szCs w:val="28"/>
        </w:rPr>
        <w:t xml:space="preserve"> </w:t>
      </w:r>
    </w:p>
    <w:p w:rsidR="002918C8" w:rsidRDefault="002918C8">
      <w:pPr>
        <w:spacing w:line="480" w:lineRule="exact"/>
      </w:pPr>
    </w:p>
    <w:sectPr w:rsidR="002918C8">
      <w:footerReference w:type="even" r:id="rId10"/>
      <w:footerReference w:type="default" r:id="rId11"/>
      <w:pgSz w:w="16838" w:h="11906" w:orient="landscape"/>
      <w:pgMar w:top="1134" w:right="1134" w:bottom="1134" w:left="1134" w:header="851" w:footer="992" w:gutter="0"/>
      <w:cols w:space="720"/>
      <w:docGrid w:type="linesAndChar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E113B" w:rsidRDefault="004E113B">
      <w:r>
        <w:separator/>
      </w:r>
    </w:p>
  </w:endnote>
  <w:endnote w:type="continuationSeparator" w:id="0">
    <w:p w:rsidR="004E113B" w:rsidRDefault="004E11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00"/>
    <w:family w:val="auto"/>
    <w:pitch w:val="default"/>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18C8" w:rsidRDefault="00943A5E">
    <w:pPr>
      <w:pStyle w:val="a7"/>
      <w:framePr w:wrap="around" w:vAnchor="text" w:hAnchor="margin" w:xAlign="center" w:y="1"/>
      <w:rPr>
        <w:rStyle w:val="ad"/>
      </w:rPr>
    </w:pPr>
    <w:r>
      <w:fldChar w:fldCharType="begin"/>
    </w:r>
    <w:r>
      <w:rPr>
        <w:rStyle w:val="ad"/>
      </w:rPr>
      <w:instrText xml:space="preserve">PAGE  </w:instrText>
    </w:r>
    <w:r>
      <w:fldChar w:fldCharType="separate"/>
    </w:r>
    <w:r w:rsidR="005D3733">
      <w:rPr>
        <w:rStyle w:val="ad"/>
        <w:noProof/>
      </w:rPr>
      <w:t>3</w:t>
    </w:r>
    <w:r>
      <w:fldChar w:fldCharType="end"/>
    </w:r>
  </w:p>
  <w:p w:rsidR="002918C8" w:rsidRDefault="002918C8">
    <w:pPr>
      <w:pStyle w:val="a7"/>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18C8" w:rsidRDefault="00943A5E">
    <w:pPr>
      <w:pStyle w:val="a7"/>
      <w:framePr w:wrap="around" w:vAnchor="text" w:hAnchor="margin" w:xAlign="center" w:y="1"/>
      <w:rPr>
        <w:rStyle w:val="ad"/>
      </w:rPr>
    </w:pPr>
    <w:r>
      <w:fldChar w:fldCharType="begin"/>
    </w:r>
    <w:r>
      <w:rPr>
        <w:rStyle w:val="ad"/>
      </w:rPr>
      <w:instrText xml:space="preserve">PAGE  </w:instrText>
    </w:r>
    <w:r>
      <w:fldChar w:fldCharType="separate"/>
    </w:r>
    <w:r>
      <w:rPr>
        <w:rStyle w:val="ad"/>
      </w:rPr>
      <w:t>15</w:t>
    </w:r>
    <w:r>
      <w:fldChar w:fldCharType="end"/>
    </w:r>
  </w:p>
  <w:p w:rsidR="002918C8" w:rsidRDefault="002918C8">
    <w:pPr>
      <w:pStyle w:val="a7"/>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18C8" w:rsidRDefault="00943A5E">
    <w:pPr>
      <w:pStyle w:val="a7"/>
      <w:framePr w:wrap="around" w:vAnchor="text" w:hAnchor="margin" w:xAlign="center" w:y="1"/>
      <w:rPr>
        <w:rStyle w:val="ad"/>
      </w:rPr>
    </w:pPr>
    <w:r>
      <w:fldChar w:fldCharType="begin"/>
    </w:r>
    <w:r>
      <w:rPr>
        <w:rStyle w:val="ad"/>
      </w:rPr>
      <w:instrText xml:space="preserve">PAGE  </w:instrText>
    </w:r>
    <w:r>
      <w:fldChar w:fldCharType="separate"/>
    </w:r>
    <w:r w:rsidR="005D3733">
      <w:rPr>
        <w:rStyle w:val="ad"/>
        <w:noProof/>
      </w:rPr>
      <w:t>7</w:t>
    </w:r>
    <w:r>
      <w:fldChar w:fldCharType="end"/>
    </w:r>
  </w:p>
  <w:p w:rsidR="002918C8" w:rsidRDefault="002918C8">
    <w:pPr>
      <w:pStyle w:val="a7"/>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E113B" w:rsidRDefault="004E113B">
      <w:r>
        <w:separator/>
      </w:r>
    </w:p>
  </w:footnote>
  <w:footnote w:type="continuationSeparator" w:id="0">
    <w:p w:rsidR="004E113B" w:rsidRDefault="004E113B">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8D7E84BE"/>
    <w:multiLevelType w:val="singleLevel"/>
    <w:tmpl w:val="8D7E84BE"/>
    <w:lvl w:ilvl="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mNWE4NzRhMTczNjJlZDE5ZTE5YTczN2QxMzcyMjAifQ=="/>
  </w:docVars>
  <w:rsids>
    <w:rsidRoot w:val="00100246"/>
    <w:rsid w:val="95F35EF6"/>
    <w:rsid w:val="9BFFD860"/>
    <w:rsid w:val="A77B4E4D"/>
    <w:rsid w:val="AC5F73DE"/>
    <w:rsid w:val="B5DDD2C8"/>
    <w:rsid w:val="B9DFABD9"/>
    <w:rsid w:val="BC0D83FC"/>
    <w:rsid w:val="BF3BDEFB"/>
    <w:rsid w:val="BFB7A454"/>
    <w:rsid w:val="C75F6086"/>
    <w:rsid w:val="C7F7ED2D"/>
    <w:rsid w:val="CFAF854E"/>
    <w:rsid w:val="D8D7928E"/>
    <w:rsid w:val="D8FE3136"/>
    <w:rsid w:val="DDDE60B7"/>
    <w:rsid w:val="DE9F6A22"/>
    <w:rsid w:val="DF4FCE6A"/>
    <w:rsid w:val="DFD6CE7C"/>
    <w:rsid w:val="DFE93440"/>
    <w:rsid w:val="DFEF5C84"/>
    <w:rsid w:val="E4FED278"/>
    <w:rsid w:val="EDAA365C"/>
    <w:rsid w:val="EDADFC12"/>
    <w:rsid w:val="F2FD229B"/>
    <w:rsid w:val="F65F79E2"/>
    <w:rsid w:val="F776A00A"/>
    <w:rsid w:val="F7F709E9"/>
    <w:rsid w:val="F7FF3690"/>
    <w:rsid w:val="F9BD3900"/>
    <w:rsid w:val="FBF76749"/>
    <w:rsid w:val="FC8B9876"/>
    <w:rsid w:val="FCBFBAB5"/>
    <w:rsid w:val="FEDFF218"/>
    <w:rsid w:val="FEDFFFFF"/>
    <w:rsid w:val="FFBF8D1D"/>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1ED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8C8"/>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113B"/>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D3733"/>
    <w:rsid w:val="005E00DC"/>
    <w:rsid w:val="005E3BBC"/>
    <w:rsid w:val="005E3EC6"/>
    <w:rsid w:val="005E4E07"/>
    <w:rsid w:val="005E4E46"/>
    <w:rsid w:val="005E5275"/>
    <w:rsid w:val="005E7DC8"/>
    <w:rsid w:val="005E7EC9"/>
    <w:rsid w:val="005F603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18C3"/>
    <w:rsid w:val="00722165"/>
    <w:rsid w:val="00724B1C"/>
    <w:rsid w:val="007428F0"/>
    <w:rsid w:val="007512EF"/>
    <w:rsid w:val="007551AC"/>
    <w:rsid w:val="0076101C"/>
    <w:rsid w:val="00763D87"/>
    <w:rsid w:val="007670B2"/>
    <w:rsid w:val="00771795"/>
    <w:rsid w:val="00774925"/>
    <w:rsid w:val="0079279F"/>
    <w:rsid w:val="00793E69"/>
    <w:rsid w:val="00796816"/>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43A5E"/>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43580"/>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2C1C"/>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2151639"/>
    <w:rsid w:val="02F120AB"/>
    <w:rsid w:val="032B5196"/>
    <w:rsid w:val="04C3537C"/>
    <w:rsid w:val="060043AE"/>
    <w:rsid w:val="079004AC"/>
    <w:rsid w:val="09F60986"/>
    <w:rsid w:val="0BA148CA"/>
    <w:rsid w:val="0C1165C4"/>
    <w:rsid w:val="0D6D544B"/>
    <w:rsid w:val="0DD136FE"/>
    <w:rsid w:val="0F542F2C"/>
    <w:rsid w:val="0F8E2C57"/>
    <w:rsid w:val="1059665E"/>
    <w:rsid w:val="10AC13BA"/>
    <w:rsid w:val="145A6C1B"/>
    <w:rsid w:val="14B73493"/>
    <w:rsid w:val="167A2FF9"/>
    <w:rsid w:val="1764587C"/>
    <w:rsid w:val="18581C69"/>
    <w:rsid w:val="187304E2"/>
    <w:rsid w:val="1AEC0734"/>
    <w:rsid w:val="1DEF20B0"/>
    <w:rsid w:val="1E371FF5"/>
    <w:rsid w:val="1E514A55"/>
    <w:rsid w:val="1FF7AB17"/>
    <w:rsid w:val="214243FA"/>
    <w:rsid w:val="21AD613C"/>
    <w:rsid w:val="22467189"/>
    <w:rsid w:val="23EA427B"/>
    <w:rsid w:val="257A14F5"/>
    <w:rsid w:val="27196C26"/>
    <w:rsid w:val="29EF086F"/>
    <w:rsid w:val="2BC34C59"/>
    <w:rsid w:val="2E391595"/>
    <w:rsid w:val="2EFFE297"/>
    <w:rsid w:val="301437CA"/>
    <w:rsid w:val="349D1F0A"/>
    <w:rsid w:val="34DD0473"/>
    <w:rsid w:val="396F15A8"/>
    <w:rsid w:val="3A8E35DC"/>
    <w:rsid w:val="3C5B0CA5"/>
    <w:rsid w:val="3C684897"/>
    <w:rsid w:val="433E495C"/>
    <w:rsid w:val="4882187E"/>
    <w:rsid w:val="489F2FD7"/>
    <w:rsid w:val="4AA73856"/>
    <w:rsid w:val="4AC27CB3"/>
    <w:rsid w:val="4BF72BEF"/>
    <w:rsid w:val="4FA90297"/>
    <w:rsid w:val="4FC41A43"/>
    <w:rsid w:val="51DB3C59"/>
    <w:rsid w:val="550141E3"/>
    <w:rsid w:val="550C0952"/>
    <w:rsid w:val="55762E42"/>
    <w:rsid w:val="57A7B272"/>
    <w:rsid w:val="58470068"/>
    <w:rsid w:val="58747CAC"/>
    <w:rsid w:val="5A1720F9"/>
    <w:rsid w:val="5B9C37C2"/>
    <w:rsid w:val="5BA7C654"/>
    <w:rsid w:val="5DF716AE"/>
    <w:rsid w:val="5F015CCB"/>
    <w:rsid w:val="5F9F507E"/>
    <w:rsid w:val="602E7A10"/>
    <w:rsid w:val="60A54109"/>
    <w:rsid w:val="60C021CC"/>
    <w:rsid w:val="61D01CDF"/>
    <w:rsid w:val="64C0607C"/>
    <w:rsid w:val="65756C86"/>
    <w:rsid w:val="674D385B"/>
    <w:rsid w:val="676F09E1"/>
    <w:rsid w:val="71691990"/>
    <w:rsid w:val="71793A80"/>
    <w:rsid w:val="7357290B"/>
    <w:rsid w:val="756E3DEA"/>
    <w:rsid w:val="76FB1693"/>
    <w:rsid w:val="798524E4"/>
    <w:rsid w:val="7A7F1C49"/>
    <w:rsid w:val="7B450F0D"/>
    <w:rsid w:val="7B5B7AE6"/>
    <w:rsid w:val="7B7B6628"/>
    <w:rsid w:val="7BA7071E"/>
    <w:rsid w:val="7BDF6DA8"/>
    <w:rsid w:val="7C7EDC1A"/>
    <w:rsid w:val="7CCED98D"/>
    <w:rsid w:val="7D08410F"/>
    <w:rsid w:val="7DB96DED"/>
    <w:rsid w:val="7DD3AD81"/>
    <w:rsid w:val="7DFFF77E"/>
    <w:rsid w:val="7F53A862"/>
    <w:rsid w:val="7F7FE70F"/>
    <w:rsid w:val="7FDF365A"/>
    <w:rsid w:val="7FEC8BC6"/>
    <w:rsid w:val="7FFF77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B8FAF8E"/>
  <w15:docId w15:val="{BC835873-7192-4B7C-B67E-AA65BDE10B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header" w:qFormat="1"/>
    <w:lsdException w:name="footer" w:qFormat="1"/>
    <w:lsdException w:name="caption" w:semiHidden="1" w:unhideWhenUsed="1" w:qFormat="1"/>
    <w:lsdException w:name="page number" w:qFormat="1"/>
    <w:lsdException w:name="Title" w:qFormat="1"/>
    <w:lsdException w:name="Default Paragraph Font" w:uiPriority="1" w:unhideWhenUsed="1" w:qFormat="1"/>
    <w:lsdException w:name="Body Text Indent" w:qFormat="1"/>
    <w:lsdException w:name="Subtitle" w:qFormat="1"/>
    <w:lsdException w:name="Dat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nhideWhenUsed="1"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paragraph" w:styleId="2">
    <w:name w:val="heading 2"/>
    <w:basedOn w:val="a"/>
    <w:next w:val="a"/>
    <w:qFormat/>
    <w:pPr>
      <w:keepNext/>
      <w:keepLines/>
      <w:spacing w:before="100" w:beforeAutospacing="1" w:after="100" w:afterAutospacing="1"/>
      <w:outlineLvl w:val="1"/>
    </w:pPr>
    <w:rPr>
      <w:rFonts w:ascii="Cambria" w:eastAsia="黑体" w:hAnsi="Cambria"/>
      <w:b/>
      <w:bCs/>
      <w:kern w:val="0"/>
      <w:sz w:val="36"/>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qFormat/>
    <w:pPr>
      <w:ind w:firstLineChars="200" w:firstLine="200"/>
    </w:pPr>
  </w:style>
  <w:style w:type="paragraph" w:styleId="a4">
    <w:name w:val="Body Text Indent"/>
    <w:basedOn w:val="a"/>
    <w:qFormat/>
    <w:pPr>
      <w:ind w:firstLine="645"/>
    </w:pPr>
    <w:rPr>
      <w:rFonts w:ascii="仿宋_GB2312" w:eastAsia="仿宋_GB2312" w:hAnsi="Calibri"/>
      <w:sz w:val="32"/>
      <w:szCs w:val="32"/>
    </w:rPr>
  </w:style>
  <w:style w:type="paragraph" w:styleId="a5">
    <w:name w:val="Date"/>
    <w:basedOn w:val="a"/>
    <w:next w:val="a"/>
    <w:qFormat/>
    <w:pPr>
      <w:ind w:leftChars="2500" w:left="100"/>
    </w:pPr>
  </w:style>
  <w:style w:type="paragraph" w:styleId="a6">
    <w:name w:val="Balloon Text"/>
    <w:basedOn w:val="a"/>
    <w:semiHidden/>
    <w:qFormat/>
    <w:rPr>
      <w:sz w:val="18"/>
      <w:szCs w:val="18"/>
    </w:rPr>
  </w:style>
  <w:style w:type="paragraph" w:styleId="a7">
    <w:name w:val="footer"/>
    <w:basedOn w:val="a"/>
    <w:link w:val="a8"/>
    <w:qFormat/>
    <w:pPr>
      <w:tabs>
        <w:tab w:val="center" w:pos="4153"/>
        <w:tab w:val="right" w:pos="8306"/>
      </w:tabs>
      <w:snapToGrid w:val="0"/>
      <w:jc w:val="left"/>
    </w:pPr>
    <w:rPr>
      <w:sz w:val="18"/>
      <w:szCs w:val="18"/>
    </w:rPr>
  </w:style>
  <w:style w:type="paragraph" w:styleId="a9">
    <w:name w:val="header"/>
    <w:basedOn w:val="a"/>
    <w:link w:val="aa"/>
    <w:qFormat/>
    <w:pPr>
      <w:pBdr>
        <w:bottom w:val="single" w:sz="6" w:space="1" w:color="auto"/>
      </w:pBdr>
      <w:tabs>
        <w:tab w:val="center" w:pos="4153"/>
        <w:tab w:val="right" w:pos="8306"/>
      </w:tabs>
      <w:snapToGrid w:val="0"/>
      <w:jc w:val="center"/>
    </w:pPr>
    <w:rPr>
      <w:rFonts w:ascii="Calibri" w:hAnsi="Calibri"/>
      <w:sz w:val="18"/>
      <w:szCs w:val="18"/>
    </w:rPr>
  </w:style>
  <w:style w:type="paragraph" w:styleId="ab">
    <w:name w:val="Normal (Web)"/>
    <w:basedOn w:val="a"/>
    <w:unhideWhenUsed/>
    <w:qFormat/>
    <w:pPr>
      <w:spacing w:before="100" w:beforeAutospacing="1" w:after="100" w:afterAutospacing="1"/>
      <w:ind w:right="238"/>
      <w:jc w:val="left"/>
    </w:pPr>
    <w:rPr>
      <w:b/>
      <w:kern w:val="0"/>
      <w:sz w:val="24"/>
      <w:szCs w:val="20"/>
    </w:rPr>
  </w:style>
  <w:style w:type="character" w:styleId="ac">
    <w:name w:val="Strong"/>
    <w:qFormat/>
    <w:rPr>
      <w:b/>
    </w:rPr>
  </w:style>
  <w:style w:type="character" w:styleId="ad">
    <w:name w:val="page number"/>
    <w:qFormat/>
  </w:style>
  <w:style w:type="character" w:customStyle="1" w:styleId="a8">
    <w:name w:val="页脚 字符"/>
    <w:link w:val="a7"/>
    <w:qFormat/>
    <w:rPr>
      <w:rFonts w:eastAsia="宋体"/>
      <w:kern w:val="2"/>
      <w:sz w:val="18"/>
      <w:szCs w:val="18"/>
      <w:lang w:val="en-US" w:eastAsia="zh-CN" w:bidi="ar-SA"/>
    </w:rPr>
  </w:style>
  <w:style w:type="character" w:customStyle="1" w:styleId="aa">
    <w:name w:val="页眉 字符"/>
    <w:link w:val="a9"/>
    <w:qFormat/>
    <w:rPr>
      <w:rFonts w:ascii="Calibri" w:eastAsia="宋体" w:hAnsi="Calibri"/>
      <w:kern w:val="2"/>
      <w:sz w:val="18"/>
      <w:szCs w:val="18"/>
      <w:lang w:val="en-US" w:eastAsia="zh-CN" w:bidi="ar-SA"/>
    </w:rPr>
  </w:style>
  <w:style w:type="paragraph" w:customStyle="1" w:styleId="CharCharCharCharCharCharChar">
    <w:name w:val="Char Char Char Char Char Char Char"/>
    <w:basedOn w:val="a"/>
    <w:qFormat/>
    <w:rPr>
      <w:rFonts w:ascii="Tahoma" w:hAnsi="Tahoma"/>
      <w:sz w:val="24"/>
      <w:szCs w:val="20"/>
    </w:rPr>
  </w:style>
  <w:style w:type="paragraph" w:customStyle="1" w:styleId="Char1CharCharChar">
    <w:name w:val="Char1 Char Char Char"/>
    <w:basedOn w:val="a"/>
    <w:qFormat/>
    <w:pPr>
      <w:widowControl/>
      <w:spacing w:after="160" w:line="240" w:lineRule="exact"/>
      <w:jc w:val="left"/>
    </w:pPr>
    <w:rPr>
      <w:szCs w:val="20"/>
    </w:rPr>
  </w:style>
  <w:style w:type="paragraph" w:customStyle="1" w:styleId="Char">
    <w:name w:val="Char"/>
    <w:basedOn w:val="a"/>
    <w:qFormat/>
    <w:rPr>
      <w:rFonts w:ascii="Tahoma" w:hAnsi="Tahoma"/>
      <w:sz w:val="24"/>
      <w:szCs w:val="20"/>
    </w:rPr>
  </w:style>
  <w:style w:type="paragraph" w:customStyle="1" w:styleId="CharChar3CharChar">
    <w:name w:val="Char Char3 Char Char"/>
    <w:basedOn w:val="a"/>
    <w:qFormat/>
    <w:rPr>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chart" Target="charts/chart2.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___.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___1.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400" b="0"/>
              <a:t>收入决算</a:t>
            </a:r>
          </a:p>
        </c:rich>
      </c:tx>
      <c:overlay val="0"/>
    </c:title>
    <c:autoTitleDeleted val="0"/>
    <c:plotArea>
      <c:layout/>
      <c:pieChart>
        <c:varyColors val="1"/>
        <c:ser>
          <c:idx val="0"/>
          <c:order val="0"/>
          <c:tx>
            <c:strRef>
              <c:f>Sheet1!$B$1</c:f>
              <c:strCache>
                <c:ptCount val="1"/>
                <c:pt idx="0">
                  <c:v>收入</c:v>
                </c:pt>
              </c:strCache>
            </c:strRef>
          </c:tx>
          <c:dPt>
            <c:idx val="0"/>
            <c:bubble3D val="0"/>
            <c:extLst>
              <c:ext xmlns:c16="http://schemas.microsoft.com/office/drawing/2014/chart" uri="{C3380CC4-5D6E-409C-BE32-E72D297353CC}">
                <c16:uniqueId val="{00000000-589B-4CC7-8BDC-55CCB9BD3A6D}"/>
              </c:ext>
            </c:extLst>
          </c:dPt>
          <c:dPt>
            <c:idx val="1"/>
            <c:bubble3D val="0"/>
            <c:extLst>
              <c:ext xmlns:c16="http://schemas.microsoft.com/office/drawing/2014/chart" uri="{C3380CC4-5D6E-409C-BE32-E72D297353CC}">
                <c16:uniqueId val="{00000001-589B-4CC7-8BDC-55CCB9BD3A6D}"/>
              </c:ext>
            </c:extLst>
          </c:dPt>
          <c:dPt>
            <c:idx val="2"/>
            <c:bubble3D val="0"/>
            <c:extLst>
              <c:ext xmlns:c16="http://schemas.microsoft.com/office/drawing/2014/chart" uri="{C3380CC4-5D6E-409C-BE32-E72D297353CC}">
                <c16:uniqueId val="{00000002-589B-4CC7-8BDC-55CCB9BD3A6D}"/>
              </c:ext>
            </c:extLst>
          </c:dPt>
          <c:dPt>
            <c:idx val="3"/>
            <c:bubble3D val="0"/>
            <c:extLst>
              <c:ext xmlns:c16="http://schemas.microsoft.com/office/drawing/2014/chart" uri="{C3380CC4-5D6E-409C-BE32-E72D297353CC}">
                <c16:uniqueId val="{00000003-589B-4CC7-8BDC-55CCB9BD3A6D}"/>
              </c:ext>
            </c:extLst>
          </c:dPt>
          <c:dPt>
            <c:idx val="4"/>
            <c:bubble3D val="0"/>
            <c:extLst>
              <c:ext xmlns:c16="http://schemas.microsoft.com/office/drawing/2014/chart" uri="{C3380CC4-5D6E-409C-BE32-E72D297353CC}">
                <c16:uniqueId val="{00000004-589B-4CC7-8BDC-55CCB9BD3A6D}"/>
              </c:ext>
            </c:extLst>
          </c:dPt>
          <c:dPt>
            <c:idx val="5"/>
            <c:bubble3D val="0"/>
            <c:extLst>
              <c:ext xmlns:c16="http://schemas.microsoft.com/office/drawing/2014/chart" uri="{C3380CC4-5D6E-409C-BE32-E72D297353CC}">
                <c16:uniqueId val="{00000005-589B-4CC7-8BDC-55CCB9BD3A6D}"/>
              </c:ext>
            </c:extLst>
          </c:dPt>
          <c:dLbls>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endParaRPr lang="zh-CN"/>
              </a:p>
            </c:txPr>
            <c:dLblPos val="bestFit"/>
            <c:showLegendKey val="0"/>
            <c:showVal val="0"/>
            <c:showCatName val="0"/>
            <c:showSerName val="0"/>
            <c:showPercent val="1"/>
            <c:showBubbleSize val="0"/>
            <c:showLeaderLines val="1"/>
            <c:extLst>
              <c:ext xmlns:c15="http://schemas.microsoft.com/office/drawing/2012/chart" uri="{CE6537A1-D6FC-4f65-9D91-7224C49458BB}"/>
            </c:extLst>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2578.8000000000002</c:v>
                </c:pt>
                <c:pt idx="1">
                  <c:v>0</c:v>
                </c:pt>
                <c:pt idx="2">
                  <c:v>0</c:v>
                </c:pt>
                <c:pt idx="3">
                  <c:v>0</c:v>
                </c:pt>
                <c:pt idx="4">
                  <c:v>0</c:v>
                </c:pt>
                <c:pt idx="5">
                  <c:v>0</c:v>
                </c:pt>
              </c:numCache>
            </c:numRef>
          </c:val>
          <c:extLst>
            <c:ext xmlns:c16="http://schemas.microsoft.com/office/drawing/2014/chart" uri="{C3380CC4-5D6E-409C-BE32-E72D297353CC}">
              <c16:uniqueId val="{00000006-589B-4CC7-8BDC-55CCB9BD3A6D}"/>
            </c:ext>
          </c:extLst>
        </c:ser>
        <c:dLbls>
          <c:showLegendKey val="0"/>
          <c:showVal val="1"/>
          <c:showCatName val="0"/>
          <c:showSerName val="0"/>
          <c:showPercent val="0"/>
          <c:showBubbleSize val="0"/>
          <c:showLeaderLines val="1"/>
        </c:dLbls>
        <c:firstSliceAng val="0"/>
      </c:pieChart>
    </c:plotArea>
    <c:legend>
      <c:legendPos val="r"/>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endParaRPr lang="zh-CN"/>
        </a:p>
      </c:txPr>
    </c:legend>
    <c:plotVisOnly val="1"/>
    <c:dispBlanksAs val="gap"/>
    <c:showDLblsOverMax val="0"/>
    <c:extLst>
      <c:ext uri="{0b15fc19-7d7d-44ad-8c2d-2c3a37ce22c3}">
        <chartProps xmlns="https://web.wps.cn/et/2018/main" chartId="{ea31a22d-92a3-4dc5-a9a5-5bf3a0305c21}"/>
      </c:ext>
    </c:extLst>
  </c:chart>
  <c:txPr>
    <a:bodyPr/>
    <a:lstStyle/>
    <a:p>
      <a:pPr>
        <a:defRPr lang="zh-CN"/>
      </a:pPr>
      <a:endParaRPr lang="zh-CN"/>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p>
        </c:rich>
      </c:tx>
      <c:overlay val="0"/>
      <c:spPr>
        <a:noFill/>
        <a:ln>
          <a:noFill/>
        </a:ln>
        <a:effectLst/>
      </c:spPr>
    </c:title>
    <c:autoTitleDeleted val="0"/>
    <c:plotArea>
      <c:layout/>
      <c:pieChart>
        <c:varyColors val="1"/>
        <c:ser>
          <c:idx val="0"/>
          <c:order val="0"/>
          <c:tx>
            <c:strRef>
              <c:f>Sheet0!$B$1</c:f>
              <c:strCache>
                <c:ptCount val="1"/>
                <c:pt idx="0">
                  <c:v>支出</c:v>
                </c:pt>
              </c:strCache>
            </c:strRef>
          </c:tx>
          <c:dPt>
            <c:idx val="0"/>
            <c:bubble3D val="0"/>
            <c:spPr>
              <a:solidFill>
                <a:srgbClr val="4F81BD"/>
              </a:solidFill>
              <a:ln w="19050">
                <a:solidFill>
                  <a:srgbClr val="FFFFFF"/>
                </a:solidFill>
              </a:ln>
              <a:effectLst/>
            </c:spPr>
            <c:extLst>
              <c:ext xmlns:c16="http://schemas.microsoft.com/office/drawing/2014/chart" uri="{C3380CC4-5D6E-409C-BE32-E72D297353CC}">
                <c16:uniqueId val="{00000001-F47A-430E-9940-D02075E43065}"/>
              </c:ext>
            </c:extLst>
          </c:dPt>
          <c:dPt>
            <c:idx val="1"/>
            <c:bubble3D val="0"/>
            <c:spPr>
              <a:solidFill>
                <a:srgbClr val="C0504D"/>
              </a:solidFill>
              <a:ln w="19050">
                <a:solidFill>
                  <a:srgbClr val="FFFFFF"/>
                </a:solidFill>
              </a:ln>
              <a:effectLst/>
            </c:spPr>
            <c:extLst>
              <c:ext xmlns:c16="http://schemas.microsoft.com/office/drawing/2014/chart" uri="{C3380CC4-5D6E-409C-BE32-E72D297353CC}">
                <c16:uniqueId val="{00000003-F47A-430E-9940-D02075E43065}"/>
              </c:ext>
            </c:extLst>
          </c:dPt>
          <c:dPt>
            <c:idx val="2"/>
            <c:bubble3D val="0"/>
            <c:spPr>
              <a:solidFill>
                <a:srgbClr val="9BBB59"/>
              </a:solidFill>
              <a:ln w="19050">
                <a:solidFill>
                  <a:srgbClr val="FFFFFF"/>
                </a:solidFill>
              </a:ln>
              <a:effectLst/>
            </c:spPr>
            <c:extLst>
              <c:ext xmlns:c16="http://schemas.microsoft.com/office/drawing/2014/chart" uri="{C3380CC4-5D6E-409C-BE32-E72D297353CC}">
                <c16:uniqueId val="{00000005-F47A-430E-9940-D02075E43065}"/>
              </c:ext>
            </c:extLst>
          </c:dPt>
          <c:dPt>
            <c:idx val="3"/>
            <c:bubble3D val="0"/>
            <c:spPr>
              <a:solidFill>
                <a:srgbClr val="8064A2"/>
              </a:solidFill>
              <a:ln w="19050">
                <a:solidFill>
                  <a:srgbClr val="FFFFFF"/>
                </a:solidFill>
              </a:ln>
              <a:effectLst/>
            </c:spPr>
            <c:extLst>
              <c:ext xmlns:c16="http://schemas.microsoft.com/office/drawing/2014/chart" uri="{C3380CC4-5D6E-409C-BE32-E72D297353CC}">
                <c16:uniqueId val="{00000007-F47A-430E-9940-D02075E43065}"/>
              </c:ext>
            </c:extLst>
          </c:dPt>
          <c:dPt>
            <c:idx val="4"/>
            <c:bubble3D val="0"/>
            <c:spPr>
              <a:solidFill>
                <a:srgbClr val="4BACC6"/>
              </a:solidFill>
              <a:ln w="19050">
                <a:solidFill>
                  <a:srgbClr val="FFFFFF"/>
                </a:solidFill>
              </a:ln>
              <a:effectLst/>
            </c:spPr>
            <c:extLst>
              <c:ext xmlns:c16="http://schemas.microsoft.com/office/drawing/2014/chart" uri="{C3380CC4-5D6E-409C-BE32-E72D297353CC}">
                <c16:uniqueId val="{00000009-F47A-430E-9940-D02075E43065}"/>
              </c:ext>
            </c:extLst>
          </c:dPt>
          <c:dLbls>
            <c:dLbl>
              <c:idx val="2"/>
              <c:layout>
                <c:manualLayout>
                  <c:x val="-3.9003729401150003E-2"/>
                  <c:y val="3.2827143610787798E-2"/>
                </c:manualLayout>
              </c:layout>
              <c:dLblPos val="bestFi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5-F47A-430E-9940-D02075E43065}"/>
                </c:ext>
              </c:extLst>
            </c:dLbl>
            <c:dLbl>
              <c:idx val="4"/>
              <c:layout>
                <c:manualLayout>
                  <c:x val="3.8988769358610197E-2"/>
                  <c:y val="1.05112295100623E-2"/>
                </c:manualLayout>
              </c:layout>
              <c:dLblPos val="bestFi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9-F47A-430E-9940-D02075E43065}"/>
                </c:ext>
              </c:extLst>
            </c:dLbl>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endParaRPr lang="zh-CN"/>
              </a:p>
            </c:txPr>
            <c:dLblPos val="bestFit"/>
            <c:showLegendKey val="0"/>
            <c:showVal val="0"/>
            <c:showCatName val="0"/>
            <c:showSerName val="0"/>
            <c:showPercent val="1"/>
            <c:showBubbleSize val="0"/>
            <c:showLeaderLines val="1"/>
            <c:leaderLines>
              <c:spPr>
                <a:ln w="9525" cap="flat" cmpd="sng" algn="ctr">
                  <a:solidFill>
                    <a:srgbClr val="A6A6A6">
                      <a:lumMod val="35000"/>
                      <a:lumOff val="65000"/>
                    </a:srgbClr>
                  </a:solidFill>
                  <a:prstDash val="solid"/>
                  <a:round/>
                </a:ln>
                <a:effectLst/>
              </c:spPr>
            </c:leaderLines>
            <c:extLst>
              <c:ext xmlns:c15="http://schemas.microsoft.com/office/drawing/2012/chart" uri="{CE6537A1-D6FC-4f65-9D91-7224C49458BB}"/>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2535.64</c:v>
                </c:pt>
                <c:pt idx="1">
                  <c:v>230.42</c:v>
                </c:pt>
                <c:pt idx="2">
                  <c:v>0</c:v>
                </c:pt>
                <c:pt idx="3">
                  <c:v>0</c:v>
                </c:pt>
                <c:pt idx="4">
                  <c:v>0</c:v>
                </c:pt>
              </c:numCache>
            </c:numRef>
          </c:val>
          <c:extLst>
            <c:ext xmlns:c16="http://schemas.microsoft.com/office/drawing/2014/chart" uri="{C3380CC4-5D6E-409C-BE32-E72D297353CC}">
              <c16:uniqueId val="{0000000A-F47A-430E-9940-D02075E43065}"/>
            </c:ext>
          </c:extLst>
        </c:ser>
        <c:dLbls>
          <c:showLegendKey val="0"/>
          <c:showVal val="0"/>
          <c:showCatName val="0"/>
          <c:showSerName val="0"/>
          <c:showPercent val="1"/>
          <c:showBubbleSize val="0"/>
          <c:showLeaderLines val="1"/>
        </c:dLbls>
        <c:firstSliceAng val="0"/>
      </c:pieChart>
      <c:spPr>
        <a:noFill/>
        <a:ln>
          <a:noFill/>
        </a:ln>
        <a:effectLst/>
      </c:spPr>
    </c:plotArea>
    <c:legend>
      <c:legendPos val="b"/>
      <c:legendEntry>
        <c:idx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legendEntry>
        <c:idx val="1"/>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legendEntry>
        <c:idx val="2"/>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legendEntry>
        <c:idx val="3"/>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legendEntry>
        <c:idx val="4"/>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overlay val="0"/>
      <c:spPr>
        <a:noFill/>
        <a:ln>
          <a:noFill/>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
    <c:plotVisOnly val="1"/>
    <c:dispBlanksAs val="gap"/>
    <c:showDLblsOverMax val="0"/>
    <c:extLst>
      <c:ext uri="{0b15fc19-7d7d-44ad-8c2d-2c3a37ce22c3}">
        <chartProps xmlns="https://web.wps.cn/et/2018/main" chartId="{bb105a3c-d236-418c-9227-6b384e4e1d5a}"/>
      </c:ext>
    </c:extLst>
  </c:chart>
  <c:spPr>
    <a:ln w="9525" cap="flat" cmpd="sng" algn="ctr">
      <a:solidFill>
        <a:srgbClr val="D9D9D9">
          <a:lumMod val="15000"/>
          <a:lumOff val="85000"/>
        </a:srgbClr>
      </a:solidFill>
      <a:prstDash val="solid"/>
      <a:round/>
    </a:ln>
    <a:effectLst/>
  </c:spPr>
  <c:txPr>
    <a:bodyPr/>
    <a:lstStyle/>
    <a:p>
      <a:pPr>
        <a:defRPr lang="zh-CN"/>
      </a:pPr>
      <a:endParaRPr lang="zh-CN"/>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12</Pages>
  <Words>654</Words>
  <Characters>3729</Characters>
  <Application>Microsoft Office Word</Application>
  <DocSecurity>0</DocSecurity>
  <Lines>31</Lines>
  <Paragraphs>8</Paragraphs>
  <ScaleCrop>false</ScaleCrop>
  <Company/>
  <LinksUpToDate>false</LinksUpToDate>
  <CharactersWithSpaces>4375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北京市财政局关于做好向市人大常委会报送2015年度市级部门决算（草案）</dc:title>
  <dc:creator>常程</dc:creator>
  <cp:lastModifiedBy>asus</cp:lastModifiedBy>
  <cp:revision>28</cp:revision>
  <cp:lastPrinted>2020-08-09T03:39:00Z</cp:lastPrinted>
  <dcterms:created xsi:type="dcterms:W3CDTF">2017-07-13T07:16:00Z</dcterms:created>
  <dcterms:modified xsi:type="dcterms:W3CDTF">2025-09-26T03:45:00Z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A7F78878FB63AC2F75B4B7682BD79272</vt:lpwstr>
  </property>
  <property fmtid="{D5CDD505-2E9C-101B-9397-08002B2CF9AE}" pid="4" name="KSOTemplateDocerSaveRecord">
    <vt:lpwstr>eyJoZGlkIjoiMTdlNmE0ZTQ2NzJmMDYyMTBlNTM1Zjk4MmRlZjA1ZDgifQ==</vt:lpwstr>
  </property>
</Properties>
</file>