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BE5" w:rsidRDefault="00812BE5">
      <w:pPr>
        <w:jc w:val="center"/>
        <w:rPr>
          <w:rFonts w:ascii="仿宋_GB2312" w:eastAsia="仿宋_GB2312"/>
          <w:b/>
          <w:sz w:val="32"/>
          <w:szCs w:val="32"/>
        </w:rPr>
      </w:pPr>
    </w:p>
    <w:p w:rsidR="00812BE5" w:rsidRDefault="00812BE5">
      <w:pPr>
        <w:jc w:val="center"/>
        <w:rPr>
          <w:rFonts w:ascii="黑体" w:eastAsia="黑体"/>
          <w:sz w:val="72"/>
          <w:szCs w:val="72"/>
        </w:rPr>
      </w:pPr>
    </w:p>
    <w:p w:rsidR="00812BE5" w:rsidRDefault="00812BE5">
      <w:pPr>
        <w:jc w:val="center"/>
        <w:rPr>
          <w:rFonts w:ascii="黑体" w:eastAsia="黑体"/>
          <w:sz w:val="72"/>
          <w:szCs w:val="72"/>
        </w:rPr>
      </w:pPr>
    </w:p>
    <w:p w:rsidR="00812BE5" w:rsidRDefault="00812BE5">
      <w:pPr>
        <w:jc w:val="center"/>
        <w:rPr>
          <w:rFonts w:ascii="黑体" w:eastAsia="黑体"/>
          <w:sz w:val="72"/>
          <w:szCs w:val="72"/>
        </w:rPr>
      </w:pPr>
    </w:p>
    <w:p w:rsidR="00812BE5" w:rsidRDefault="00812BE5">
      <w:pPr>
        <w:jc w:val="center"/>
        <w:rPr>
          <w:rFonts w:ascii="黑体" w:eastAsia="黑体"/>
          <w:sz w:val="72"/>
          <w:szCs w:val="72"/>
        </w:rPr>
      </w:pPr>
    </w:p>
    <w:p w:rsidR="00812BE5" w:rsidRDefault="007825ED">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812BE5" w:rsidRDefault="00812BE5">
      <w:pPr>
        <w:jc w:val="center"/>
        <w:rPr>
          <w:rFonts w:ascii="黑体" w:eastAsia="黑体"/>
          <w:sz w:val="52"/>
          <w:szCs w:val="52"/>
        </w:rPr>
      </w:pPr>
    </w:p>
    <w:p w:rsidR="00812BE5" w:rsidRDefault="00812BE5">
      <w:pPr>
        <w:jc w:val="center"/>
        <w:rPr>
          <w:rFonts w:ascii="黑体" w:eastAsia="黑体"/>
          <w:sz w:val="52"/>
          <w:szCs w:val="52"/>
        </w:rPr>
      </w:pPr>
    </w:p>
    <w:p w:rsidR="00812BE5" w:rsidRDefault="00812BE5">
      <w:pPr>
        <w:jc w:val="center"/>
        <w:rPr>
          <w:rFonts w:ascii="黑体" w:eastAsia="黑体"/>
          <w:sz w:val="52"/>
          <w:szCs w:val="52"/>
        </w:rPr>
      </w:pPr>
    </w:p>
    <w:p w:rsidR="00812BE5" w:rsidRDefault="00812BE5">
      <w:pPr>
        <w:jc w:val="center"/>
        <w:rPr>
          <w:rFonts w:ascii="黑体" w:eastAsia="黑体"/>
          <w:sz w:val="52"/>
          <w:szCs w:val="52"/>
        </w:rPr>
      </w:pPr>
    </w:p>
    <w:p w:rsidR="00812BE5" w:rsidRDefault="00812BE5">
      <w:pPr>
        <w:jc w:val="center"/>
        <w:rPr>
          <w:rFonts w:ascii="黑体" w:eastAsia="黑体"/>
          <w:sz w:val="32"/>
          <w:szCs w:val="32"/>
        </w:rPr>
      </w:pPr>
    </w:p>
    <w:p w:rsidR="00812BE5" w:rsidRDefault="007825E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812BE5" w:rsidRDefault="00812BE5">
      <w:pPr>
        <w:spacing w:line="500" w:lineRule="exact"/>
        <w:ind w:firstLine="645"/>
        <w:jc w:val="center"/>
        <w:rPr>
          <w:rFonts w:ascii="宋体" w:hAnsi="宋体" w:cs="宋体"/>
          <w:b/>
          <w:bCs/>
          <w:kern w:val="0"/>
          <w:sz w:val="36"/>
          <w:szCs w:val="36"/>
        </w:rPr>
      </w:pPr>
    </w:p>
    <w:p w:rsidR="00812BE5" w:rsidRDefault="007825E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812BE5" w:rsidRDefault="007825E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812BE5" w:rsidRDefault="007825E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812BE5" w:rsidRDefault="007825E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812BE5" w:rsidRDefault="007825E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812BE5" w:rsidRDefault="007825E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812BE5" w:rsidRDefault="00812BE5">
      <w:pPr>
        <w:tabs>
          <w:tab w:val="center" w:pos="6979"/>
        </w:tabs>
        <w:spacing w:beforeLines="50" w:before="156" w:afterLines="50" w:after="156"/>
        <w:jc w:val="center"/>
        <w:rPr>
          <w:rFonts w:ascii="宋体" w:hAnsi="宋体" w:cs="宋体"/>
          <w:b/>
          <w:bCs/>
          <w:spacing w:val="40"/>
          <w:kern w:val="0"/>
          <w:sz w:val="32"/>
          <w:szCs w:val="32"/>
        </w:rPr>
      </w:pPr>
    </w:p>
    <w:p w:rsidR="00812BE5" w:rsidRDefault="00812BE5">
      <w:pPr>
        <w:tabs>
          <w:tab w:val="center" w:pos="6979"/>
        </w:tabs>
        <w:spacing w:beforeLines="50" w:before="156" w:afterLines="50" w:after="156"/>
        <w:jc w:val="center"/>
        <w:rPr>
          <w:rFonts w:ascii="宋体" w:hAnsi="宋体" w:cs="宋体"/>
          <w:b/>
          <w:bCs/>
          <w:spacing w:val="40"/>
          <w:kern w:val="0"/>
          <w:sz w:val="32"/>
          <w:szCs w:val="32"/>
        </w:rPr>
      </w:pPr>
    </w:p>
    <w:p w:rsidR="00812BE5" w:rsidRDefault="00812BE5">
      <w:pPr>
        <w:tabs>
          <w:tab w:val="center" w:pos="6979"/>
        </w:tabs>
        <w:spacing w:beforeLines="50" w:before="156" w:afterLines="50" w:after="156"/>
        <w:jc w:val="center"/>
        <w:rPr>
          <w:rFonts w:ascii="宋体" w:hAnsi="宋体" w:cs="宋体"/>
          <w:b/>
          <w:bCs/>
          <w:spacing w:val="40"/>
          <w:kern w:val="0"/>
          <w:sz w:val="32"/>
          <w:szCs w:val="32"/>
        </w:rPr>
      </w:pPr>
    </w:p>
    <w:p w:rsidR="00812BE5" w:rsidRDefault="00812BE5">
      <w:pPr>
        <w:tabs>
          <w:tab w:val="center" w:pos="6979"/>
        </w:tabs>
        <w:spacing w:beforeLines="50" w:before="156" w:afterLines="50" w:after="156"/>
        <w:jc w:val="center"/>
        <w:rPr>
          <w:rFonts w:ascii="宋体" w:hAnsi="宋体" w:cs="宋体"/>
          <w:b/>
          <w:bCs/>
          <w:spacing w:val="40"/>
          <w:kern w:val="0"/>
          <w:sz w:val="32"/>
          <w:szCs w:val="32"/>
        </w:rPr>
      </w:pPr>
    </w:p>
    <w:p w:rsidR="00812BE5" w:rsidRDefault="00812BE5">
      <w:pPr>
        <w:tabs>
          <w:tab w:val="center" w:pos="6979"/>
        </w:tabs>
        <w:spacing w:beforeLines="50" w:before="156" w:afterLines="50" w:after="156"/>
        <w:jc w:val="center"/>
        <w:rPr>
          <w:rFonts w:ascii="宋体" w:hAnsi="宋体" w:cs="宋体"/>
          <w:b/>
          <w:bCs/>
          <w:spacing w:val="40"/>
          <w:kern w:val="0"/>
          <w:sz w:val="32"/>
          <w:szCs w:val="32"/>
        </w:rPr>
      </w:pPr>
    </w:p>
    <w:p w:rsidR="00812BE5" w:rsidRDefault="007825E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812BE5" w:rsidRDefault="007825ED">
      <w:pPr>
        <w:pStyle w:val="2"/>
        <w:rPr>
          <w:b w:val="0"/>
          <w:bCs w:val="0"/>
        </w:rPr>
        <w:sectPr w:rsidR="00812BE5">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812BE5" w:rsidRDefault="007825E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812BE5" w:rsidRDefault="007825ED" w:rsidP="00E637D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7D233A" w:rsidRDefault="007D233A">
      <w:pPr>
        <w:tabs>
          <w:tab w:val="center" w:pos="6979"/>
        </w:tabs>
        <w:spacing w:line="580" w:lineRule="exact"/>
        <w:ind w:firstLineChars="200" w:firstLine="560"/>
        <w:rPr>
          <w:rFonts w:ascii="仿宋_GB2312" w:eastAsia="仿宋_GB2312" w:hint="eastAsia"/>
          <w:kern w:val="0"/>
          <w:sz w:val="28"/>
          <w:szCs w:val="28"/>
        </w:rPr>
      </w:pPr>
      <w:r>
        <w:rPr>
          <w:rFonts w:ascii="仿宋_GB2312" w:eastAsia="仿宋_GB2312" w:hint="eastAsia"/>
          <w:kern w:val="0"/>
          <w:sz w:val="28"/>
          <w:szCs w:val="28"/>
        </w:rPr>
        <w:t>1.岗位职责：</w:t>
      </w:r>
      <w:r w:rsidR="007825ED">
        <w:rPr>
          <w:rFonts w:ascii="仿宋_GB2312" w:eastAsia="仿宋_GB2312" w:hint="eastAsia"/>
          <w:kern w:val="0"/>
          <w:sz w:val="28"/>
          <w:szCs w:val="28"/>
        </w:rPr>
        <w:t>北京市大兴区长子营学校为九年一贯制学校，单位职责是义务教育阶段的教育教学工作，属于财政全额补助事业单位，二级预算单位。</w:t>
      </w:r>
    </w:p>
    <w:p w:rsidR="00812BE5" w:rsidRDefault="007D233A">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2.机构设置：</w:t>
      </w:r>
      <w:r w:rsidR="007825ED">
        <w:rPr>
          <w:rFonts w:ascii="仿宋_GB2312" w:eastAsia="仿宋_GB2312" w:hint="eastAsia"/>
          <w:kern w:val="0"/>
          <w:sz w:val="28"/>
          <w:szCs w:val="28"/>
        </w:rPr>
        <w:t>学校下设校长室、副校长室、办公室、总务处、教导处、德育室、信息办、工会、党支部、财会室等10个部门。</w:t>
      </w:r>
    </w:p>
    <w:p w:rsidR="00812BE5" w:rsidRDefault="007825ED">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812BE5" w:rsidRDefault="007825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8668.64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164.56万元</w:t>
      </w:r>
      <w:r>
        <w:rPr>
          <w:rFonts w:ascii="仿宋_GB2312" w:eastAsia="仿宋_GB2312" w:hint="eastAsia"/>
          <w:sz w:val="28"/>
          <w:szCs w:val="28"/>
        </w:rPr>
        <w:t>，增长1.94%。</w:t>
      </w:r>
    </w:p>
    <w:p w:rsidR="00812BE5" w:rsidRDefault="007825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12BE5" w:rsidRDefault="007825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8091.45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245.89万元，增长3.13%。</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8091.45</w:t>
      </w:r>
      <w:r>
        <w:rPr>
          <w:rFonts w:ascii="仿宋_GB2312" w:eastAsia="仿宋_GB2312" w:hint="eastAsia"/>
          <w:sz w:val="28"/>
          <w:szCs w:val="28"/>
        </w:rPr>
        <w:t>万元，占收入合计的100%。其中：一般公共预算财政拨款收入</w:t>
      </w:r>
      <w:r>
        <w:rPr>
          <w:rFonts w:ascii="仿宋_GB2312" w:eastAsia="仿宋_GB2312"/>
          <w:sz w:val="28"/>
          <w:szCs w:val="28"/>
        </w:rPr>
        <w:t>8091.45</w:t>
      </w:r>
      <w:r>
        <w:rPr>
          <w:rFonts w:ascii="仿宋_GB2312" w:eastAsia="仿宋_GB2312" w:hint="eastAsia"/>
          <w:sz w:val="28"/>
          <w:szCs w:val="28"/>
        </w:rPr>
        <w:t>万元，占收入合计的100%；政府性基金预算财政拨款收入0万元，占收入合计的0%；国有资本经营预算财政拨款收入0万元，占收入合计的0%；</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812BE5" w:rsidRDefault="007825ED">
      <w:pPr>
        <w:pStyle w:val="2"/>
        <w:jc w:val="center"/>
      </w:pPr>
      <w:r>
        <w:rPr>
          <w:rFonts w:ascii="仿宋_GB2312" w:eastAsia="仿宋_GB2312" w:hint="eastAsia"/>
          <w:color w:val="000000"/>
          <w:sz w:val="32"/>
        </w:rPr>
        <w:t>图1：收入决算</w:t>
      </w:r>
    </w:p>
    <w:p w:rsidR="00812BE5" w:rsidRDefault="007825ED">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12BE5" w:rsidRDefault="007825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12BE5" w:rsidRDefault="007825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8668.64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164.56万元</w:t>
      </w:r>
      <w:r>
        <w:rPr>
          <w:rFonts w:ascii="仿宋_GB2312" w:eastAsia="仿宋_GB2312" w:hint="eastAsia"/>
          <w:sz w:val="28"/>
          <w:szCs w:val="28"/>
        </w:rPr>
        <w:t>，增长1.94%，其中：基本支出</w:t>
      </w:r>
      <w:r>
        <w:rPr>
          <w:rFonts w:ascii="仿宋_GB2312" w:eastAsia="仿宋_GB2312"/>
          <w:sz w:val="28"/>
          <w:szCs w:val="28"/>
        </w:rPr>
        <w:t>8183.28</w:t>
      </w:r>
      <w:r>
        <w:rPr>
          <w:rFonts w:ascii="仿宋_GB2312" w:eastAsia="仿宋_GB2312" w:hint="eastAsia"/>
          <w:sz w:val="28"/>
          <w:szCs w:val="28"/>
        </w:rPr>
        <w:t>万元，占支出合计的94.4%；项目支出</w:t>
      </w:r>
      <w:r>
        <w:rPr>
          <w:rFonts w:ascii="仿宋_GB2312" w:eastAsia="仿宋_GB2312"/>
          <w:sz w:val="28"/>
          <w:szCs w:val="28"/>
        </w:rPr>
        <w:t>485.35</w:t>
      </w:r>
      <w:r>
        <w:rPr>
          <w:rFonts w:ascii="仿宋_GB2312" w:eastAsia="仿宋_GB2312" w:hint="eastAsia"/>
          <w:sz w:val="28"/>
          <w:szCs w:val="28"/>
        </w:rPr>
        <w:t>万元，占支出合计的5.6%;上缴上级支出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812BE5" w:rsidRDefault="007825E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812BE5" w:rsidRDefault="007825ED">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12BE5" w:rsidRDefault="007825ED" w:rsidP="00E637D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12BE5" w:rsidRDefault="007825E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8668.64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Ansi="仿宋" w:hint="eastAsia"/>
          <w:sz w:val="32"/>
          <w:szCs w:val="32"/>
        </w:rPr>
        <w:t>164.56万元</w:t>
      </w:r>
      <w:r>
        <w:rPr>
          <w:rFonts w:ascii="仿宋_GB2312" w:eastAsia="仿宋_GB2312" w:hint="eastAsia"/>
          <w:sz w:val="28"/>
          <w:szCs w:val="28"/>
        </w:rPr>
        <w:t>，增长1.94%。主要原因：</w:t>
      </w:r>
      <w:r>
        <w:rPr>
          <w:rFonts w:ascii="仿宋_GB2312" w:eastAsia="仿宋_GB2312" w:hAnsi="仿宋" w:hint="eastAsia"/>
          <w:sz w:val="32"/>
          <w:szCs w:val="32"/>
        </w:rPr>
        <w:t>年初发放</w:t>
      </w:r>
      <w:r w:rsidR="007D233A">
        <w:rPr>
          <w:rFonts w:ascii="仿宋_GB2312" w:eastAsia="仿宋_GB2312" w:hAnsi="仿宋" w:hint="eastAsia"/>
          <w:sz w:val="32"/>
          <w:szCs w:val="32"/>
        </w:rPr>
        <w:t>第三批</w:t>
      </w:r>
      <w:r>
        <w:rPr>
          <w:rFonts w:ascii="仿宋_GB2312" w:eastAsia="仿宋_GB2312" w:hAnsi="仿宋" w:hint="eastAsia"/>
          <w:sz w:val="32"/>
          <w:szCs w:val="32"/>
        </w:rPr>
        <w:t>购房补贴</w:t>
      </w:r>
      <w:r w:rsidR="007D233A">
        <w:rPr>
          <w:rFonts w:ascii="仿宋_GB2312" w:eastAsia="仿宋_GB2312" w:hAnsi="仿宋" w:hint="eastAsia"/>
          <w:sz w:val="32"/>
          <w:szCs w:val="32"/>
        </w:rPr>
        <w:t>，</w:t>
      </w:r>
      <w:r>
        <w:rPr>
          <w:rFonts w:ascii="仿宋_GB2312" w:eastAsia="仿宋_GB2312" w:hAnsi="仿宋" w:hint="eastAsia"/>
          <w:sz w:val="32"/>
          <w:szCs w:val="32"/>
        </w:rPr>
        <w:t>比上年</w:t>
      </w:r>
      <w:r>
        <w:rPr>
          <w:rFonts w:ascii="仿宋_GB2312" w:eastAsia="仿宋_GB2312" w:hint="eastAsia"/>
          <w:sz w:val="28"/>
          <w:szCs w:val="28"/>
        </w:rPr>
        <w:t>购房补贴</w:t>
      </w:r>
      <w:r w:rsidR="007D233A">
        <w:rPr>
          <w:rFonts w:ascii="仿宋_GB2312" w:eastAsia="仿宋_GB2312" w:hint="eastAsia"/>
          <w:sz w:val="28"/>
          <w:szCs w:val="28"/>
        </w:rPr>
        <w:t>增加</w:t>
      </w:r>
      <w:r>
        <w:rPr>
          <w:rFonts w:ascii="仿宋_GB2312" w:eastAsia="仿宋_GB2312" w:hint="eastAsia"/>
          <w:sz w:val="28"/>
          <w:szCs w:val="28"/>
        </w:rPr>
        <w:t>。</w:t>
      </w:r>
    </w:p>
    <w:p w:rsidR="00812BE5" w:rsidRDefault="007825ED" w:rsidP="00E637D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812BE5" w:rsidRDefault="007825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8668.64</w:t>
      </w:r>
      <w:r>
        <w:rPr>
          <w:rFonts w:ascii="仿宋_GB2312" w:eastAsia="仿宋_GB2312" w:hint="eastAsia"/>
          <w:sz w:val="28"/>
          <w:szCs w:val="28"/>
        </w:rPr>
        <w:t>万元，主要用于以下方面：教育支出6326.51万元，占本年财政拨款支出72.98%； 社会保障和就业支出1206.61万元，占本年财政拨款支出13.92%；卫生健康支出558.32万元，占本年</w:t>
      </w:r>
      <w:r>
        <w:rPr>
          <w:rFonts w:ascii="仿宋_GB2312" w:eastAsia="仿宋_GB2312" w:hint="eastAsia"/>
          <w:sz w:val="28"/>
          <w:szCs w:val="28"/>
        </w:rPr>
        <w:lastRenderedPageBreak/>
        <w:t>财政拨款支出6.44%；住房保障支出557.20万元，占本年财政拨款支出6.66%。</w:t>
      </w:r>
    </w:p>
    <w:p w:rsidR="00812BE5" w:rsidRDefault="007825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812BE5" w:rsidRDefault="007825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w:t>
      </w:r>
      <w:r w:rsidR="007D233A">
        <w:rPr>
          <w:rFonts w:ascii="仿宋_GB2312" w:eastAsia="仿宋_GB2312" w:hint="eastAsia"/>
          <w:sz w:val="28"/>
          <w:szCs w:val="28"/>
        </w:rPr>
        <w:t xml:space="preserve"> </w:t>
      </w:r>
      <w:r>
        <w:rPr>
          <w:rFonts w:ascii="仿宋_GB2312" w:eastAsia="仿宋_GB2312" w:hint="eastAsia"/>
          <w:sz w:val="28"/>
          <w:szCs w:val="28"/>
        </w:rPr>
        <w:t>2024年度年初预算6395.81万元，2024年度决算6326.51万元，完成年初预算的98.92%。</w:t>
      </w:r>
    </w:p>
    <w:p w:rsidR="00812BE5" w:rsidRDefault="007825ED">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812BE5" w:rsidRDefault="007825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7D233A">
        <w:rPr>
          <w:rFonts w:ascii="仿宋_GB2312" w:eastAsia="仿宋_GB2312" w:hint="eastAsia"/>
          <w:sz w:val="28"/>
          <w:szCs w:val="28"/>
        </w:rPr>
        <w:t>普通教育支出</w:t>
      </w:r>
      <w:r>
        <w:rPr>
          <w:rFonts w:ascii="仿宋_GB2312" w:eastAsia="仿宋_GB2312" w:hint="eastAsia"/>
          <w:sz w:val="28"/>
          <w:szCs w:val="28"/>
        </w:rPr>
        <w:t>”</w:t>
      </w:r>
      <w:r w:rsidR="007D233A">
        <w:rPr>
          <w:rFonts w:ascii="仿宋_GB2312" w:eastAsia="仿宋_GB2312" w:hint="eastAsia"/>
          <w:sz w:val="28"/>
          <w:szCs w:val="28"/>
        </w:rPr>
        <w:t xml:space="preserve"> </w:t>
      </w:r>
      <w:r>
        <w:rPr>
          <w:rFonts w:ascii="仿宋_GB2312" w:eastAsia="仿宋_GB2312" w:hint="eastAsia"/>
          <w:sz w:val="28"/>
          <w:szCs w:val="28"/>
        </w:rPr>
        <w:t>2024年度年初预算</w:t>
      </w:r>
      <w:r w:rsidR="007D233A">
        <w:rPr>
          <w:rFonts w:ascii="仿宋_GB2312" w:eastAsia="仿宋_GB2312" w:hint="eastAsia"/>
          <w:sz w:val="28"/>
          <w:szCs w:val="28"/>
        </w:rPr>
        <w:t>6395.81</w:t>
      </w:r>
      <w:r>
        <w:rPr>
          <w:rFonts w:ascii="仿宋_GB2312" w:eastAsia="仿宋_GB2312" w:hint="eastAsia"/>
          <w:sz w:val="28"/>
          <w:szCs w:val="28"/>
        </w:rPr>
        <w:t>万元，2024年度决算</w:t>
      </w:r>
      <w:r w:rsidR="007D233A">
        <w:rPr>
          <w:rFonts w:ascii="仿宋_GB2312" w:eastAsia="仿宋_GB2312" w:hint="eastAsia"/>
          <w:sz w:val="28"/>
          <w:szCs w:val="28"/>
        </w:rPr>
        <w:t>6316.69</w:t>
      </w:r>
      <w:r>
        <w:rPr>
          <w:rFonts w:ascii="仿宋_GB2312" w:eastAsia="仿宋_GB2312" w:hint="eastAsia"/>
          <w:sz w:val="28"/>
          <w:szCs w:val="28"/>
        </w:rPr>
        <w:t>万元，完成年初预算的9</w:t>
      </w:r>
      <w:r w:rsidR="007D233A">
        <w:rPr>
          <w:rFonts w:ascii="仿宋_GB2312" w:eastAsia="仿宋_GB2312" w:hint="eastAsia"/>
          <w:sz w:val="28"/>
          <w:szCs w:val="28"/>
        </w:rPr>
        <w:t>8.76</w:t>
      </w:r>
      <w:r>
        <w:rPr>
          <w:rFonts w:ascii="仿宋_GB2312" w:eastAsia="仿宋_GB2312" w:hint="eastAsia"/>
          <w:sz w:val="28"/>
          <w:szCs w:val="28"/>
        </w:rPr>
        <w:t>%。主要原因：</w:t>
      </w:r>
      <w:r w:rsidR="007D233A">
        <w:rPr>
          <w:rFonts w:ascii="仿宋_GB2312" w:eastAsia="仿宋_GB2312" w:hint="eastAsia"/>
          <w:sz w:val="28"/>
          <w:szCs w:val="28"/>
        </w:rPr>
        <w:t>人员调出、退休导致人员经费减少及</w:t>
      </w:r>
      <w:r>
        <w:rPr>
          <w:rFonts w:ascii="仿宋_GB2312" w:eastAsia="仿宋_GB2312" w:hint="eastAsia"/>
          <w:sz w:val="28"/>
          <w:szCs w:val="28"/>
        </w:rPr>
        <w:t>在职公用支出减少。</w:t>
      </w:r>
    </w:p>
    <w:p w:rsidR="00812BE5" w:rsidRDefault="007D233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sidR="007825ED">
        <w:rPr>
          <w:rFonts w:ascii="仿宋_GB2312" w:eastAsia="仿宋_GB2312" w:hint="eastAsia"/>
          <w:sz w:val="28"/>
          <w:szCs w:val="28"/>
        </w:rPr>
        <w:t>“</w:t>
      </w:r>
      <w:r w:rsidR="00D3125E">
        <w:rPr>
          <w:rFonts w:ascii="仿宋_GB2312" w:eastAsia="仿宋_GB2312" w:hint="eastAsia"/>
          <w:sz w:val="28"/>
          <w:szCs w:val="28"/>
        </w:rPr>
        <w:t>教育附加安排的支出</w:t>
      </w:r>
      <w:r w:rsidR="007825ED">
        <w:rPr>
          <w:rFonts w:ascii="仿宋_GB2312" w:eastAsia="仿宋_GB2312" w:hint="eastAsia"/>
          <w:sz w:val="28"/>
          <w:szCs w:val="28"/>
        </w:rPr>
        <w:t>”</w:t>
      </w:r>
      <w:r>
        <w:rPr>
          <w:rFonts w:ascii="仿宋_GB2312" w:eastAsia="仿宋_GB2312" w:hint="eastAsia"/>
          <w:sz w:val="28"/>
          <w:szCs w:val="28"/>
        </w:rPr>
        <w:t xml:space="preserve"> </w:t>
      </w:r>
      <w:r w:rsidR="007825ED">
        <w:rPr>
          <w:rFonts w:ascii="仿宋_GB2312" w:eastAsia="仿宋_GB2312" w:hint="eastAsia"/>
          <w:sz w:val="28"/>
          <w:szCs w:val="28"/>
        </w:rPr>
        <w:t>2024年度年初预算0万元，2024年度决算9.82万元。</w:t>
      </w:r>
      <w:r w:rsidR="0080101A">
        <w:rPr>
          <w:rFonts w:ascii="仿宋_GB2312" w:eastAsia="仿宋_GB2312" w:hint="eastAsia"/>
          <w:sz w:val="28"/>
          <w:szCs w:val="28"/>
        </w:rPr>
        <w:t>原因：增扩班</w:t>
      </w:r>
      <w:r w:rsidR="00F5312C">
        <w:rPr>
          <w:rFonts w:ascii="仿宋_GB2312" w:eastAsia="仿宋_GB2312" w:hint="eastAsia"/>
          <w:sz w:val="28"/>
          <w:szCs w:val="28"/>
        </w:rPr>
        <w:t>原因增加</w:t>
      </w:r>
      <w:r w:rsidR="002013D5">
        <w:rPr>
          <w:rFonts w:ascii="仿宋_GB2312" w:eastAsia="仿宋_GB2312" w:hint="eastAsia"/>
          <w:sz w:val="28"/>
          <w:szCs w:val="28"/>
        </w:rPr>
        <w:t>设备</w:t>
      </w:r>
      <w:bookmarkStart w:id="0" w:name="_GoBack"/>
      <w:bookmarkEnd w:id="0"/>
      <w:r w:rsidR="0080101A">
        <w:rPr>
          <w:rFonts w:ascii="仿宋_GB2312" w:eastAsia="仿宋_GB2312" w:hint="eastAsia"/>
          <w:sz w:val="28"/>
          <w:szCs w:val="28"/>
        </w:rPr>
        <w:t>。</w:t>
      </w:r>
    </w:p>
    <w:p w:rsidR="00812BE5" w:rsidRDefault="007825ED">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w:t>
      </w:r>
      <w:r w:rsidR="007D233A">
        <w:rPr>
          <w:rFonts w:ascii="仿宋_GB2312" w:eastAsia="仿宋_GB2312" w:hint="eastAsia"/>
          <w:sz w:val="28"/>
          <w:szCs w:val="28"/>
        </w:rPr>
        <w:t xml:space="preserve"> </w:t>
      </w:r>
      <w:r>
        <w:rPr>
          <w:rFonts w:ascii="仿宋_GB2312" w:eastAsia="仿宋_GB2312" w:hint="eastAsia"/>
          <w:sz w:val="28"/>
          <w:szCs w:val="28"/>
        </w:rPr>
        <w:t>2024年度年初预算1151.65万元，2024年度决算1206.61万元，完成年初预算的10</w:t>
      </w:r>
      <w:r w:rsidR="007D233A">
        <w:rPr>
          <w:rFonts w:ascii="仿宋_GB2312" w:eastAsia="仿宋_GB2312" w:hint="eastAsia"/>
          <w:sz w:val="28"/>
          <w:szCs w:val="28"/>
        </w:rPr>
        <w:t>4.77</w:t>
      </w:r>
      <w:r>
        <w:rPr>
          <w:rFonts w:ascii="仿宋_GB2312" w:eastAsia="仿宋_GB2312" w:hint="eastAsia"/>
          <w:sz w:val="28"/>
          <w:szCs w:val="28"/>
        </w:rPr>
        <w:t>%。其中：</w:t>
      </w:r>
    </w:p>
    <w:p w:rsidR="00812BE5" w:rsidRDefault="007825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7D233A">
        <w:rPr>
          <w:rFonts w:ascii="仿宋_GB2312" w:eastAsia="仿宋_GB2312" w:hint="eastAsia"/>
          <w:sz w:val="28"/>
          <w:szCs w:val="28"/>
        </w:rPr>
        <w:t>行政事业单位养老支出</w:t>
      </w:r>
      <w:r>
        <w:rPr>
          <w:rFonts w:ascii="仿宋_GB2312" w:eastAsia="仿宋_GB2312" w:hint="eastAsia"/>
          <w:sz w:val="28"/>
          <w:szCs w:val="28"/>
        </w:rPr>
        <w:t>”</w:t>
      </w:r>
      <w:r w:rsidR="007D233A">
        <w:rPr>
          <w:rFonts w:ascii="仿宋_GB2312" w:eastAsia="仿宋_GB2312" w:hint="eastAsia"/>
          <w:sz w:val="28"/>
          <w:szCs w:val="28"/>
        </w:rPr>
        <w:t xml:space="preserve"> </w:t>
      </w:r>
      <w:r>
        <w:rPr>
          <w:rFonts w:ascii="仿宋_GB2312" w:eastAsia="仿宋_GB2312" w:hint="eastAsia"/>
          <w:sz w:val="28"/>
          <w:szCs w:val="28"/>
        </w:rPr>
        <w:t>2024年度年初预算</w:t>
      </w:r>
      <w:r w:rsidR="007D233A">
        <w:rPr>
          <w:rFonts w:ascii="仿宋_GB2312" w:eastAsia="仿宋_GB2312" w:hint="eastAsia"/>
          <w:sz w:val="28"/>
          <w:szCs w:val="28"/>
        </w:rPr>
        <w:t>1151.65</w:t>
      </w:r>
      <w:r>
        <w:rPr>
          <w:rFonts w:ascii="仿宋_GB2312" w:eastAsia="仿宋_GB2312" w:hint="eastAsia"/>
          <w:sz w:val="28"/>
          <w:szCs w:val="28"/>
        </w:rPr>
        <w:t>万元，2024年度决算</w:t>
      </w:r>
      <w:r w:rsidR="007D233A">
        <w:rPr>
          <w:rFonts w:ascii="仿宋_GB2312" w:eastAsia="仿宋_GB2312" w:hint="eastAsia"/>
          <w:sz w:val="28"/>
          <w:szCs w:val="28"/>
        </w:rPr>
        <w:t>1206.61</w:t>
      </w:r>
      <w:r>
        <w:rPr>
          <w:rFonts w:ascii="仿宋_GB2312" w:eastAsia="仿宋_GB2312" w:hint="eastAsia"/>
          <w:sz w:val="28"/>
          <w:szCs w:val="28"/>
        </w:rPr>
        <w:t>万元，完成年初预算的</w:t>
      </w:r>
      <w:r w:rsidR="007D233A">
        <w:rPr>
          <w:rFonts w:ascii="仿宋_GB2312" w:eastAsia="仿宋_GB2312" w:hint="eastAsia"/>
          <w:sz w:val="28"/>
          <w:szCs w:val="28"/>
        </w:rPr>
        <w:t>104.77</w:t>
      </w:r>
      <w:r>
        <w:rPr>
          <w:rFonts w:ascii="仿宋_GB2312" w:eastAsia="仿宋_GB2312" w:hint="eastAsia"/>
          <w:sz w:val="28"/>
          <w:szCs w:val="28"/>
        </w:rPr>
        <w:t>%。主要原因：2024年退休去世5人，相应抚恤金丧葬费支出增加。</w:t>
      </w:r>
    </w:p>
    <w:p w:rsidR="00812BE5" w:rsidRDefault="007825ED">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w:t>
      </w:r>
      <w:r w:rsidR="007D233A">
        <w:rPr>
          <w:rFonts w:ascii="仿宋_GB2312" w:eastAsia="仿宋_GB2312" w:hint="eastAsia"/>
          <w:sz w:val="28"/>
          <w:szCs w:val="28"/>
        </w:rPr>
        <w:t xml:space="preserve"> </w:t>
      </w:r>
      <w:r>
        <w:rPr>
          <w:rFonts w:ascii="仿宋_GB2312" w:eastAsia="仿宋_GB2312" w:hint="eastAsia"/>
          <w:sz w:val="28"/>
          <w:szCs w:val="28"/>
        </w:rPr>
        <w:t>2024年度年初预算558.32万元，2024年度决算</w:t>
      </w:r>
      <w:r w:rsidR="0080101A">
        <w:rPr>
          <w:rFonts w:ascii="仿宋_GB2312" w:eastAsia="仿宋_GB2312" w:hint="eastAsia"/>
          <w:sz w:val="28"/>
          <w:szCs w:val="28"/>
        </w:rPr>
        <w:t>558.32</w:t>
      </w:r>
      <w:r>
        <w:rPr>
          <w:rFonts w:ascii="仿宋_GB2312" w:eastAsia="仿宋_GB2312" w:hint="eastAsia"/>
          <w:sz w:val="28"/>
          <w:szCs w:val="28"/>
        </w:rPr>
        <w:t>万元，完成年初预算的100%。其中：</w:t>
      </w:r>
    </w:p>
    <w:p w:rsidR="00812BE5" w:rsidRDefault="007825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80101A">
        <w:rPr>
          <w:rFonts w:ascii="仿宋_GB2312" w:eastAsia="仿宋_GB2312" w:hint="eastAsia"/>
          <w:sz w:val="28"/>
          <w:szCs w:val="28"/>
        </w:rPr>
        <w:t>行政</w:t>
      </w:r>
      <w:r>
        <w:rPr>
          <w:rFonts w:ascii="仿宋_GB2312" w:eastAsia="仿宋_GB2312" w:hint="eastAsia"/>
          <w:sz w:val="28"/>
          <w:szCs w:val="28"/>
        </w:rPr>
        <w:t>事业单位医疗”</w:t>
      </w:r>
      <w:r w:rsidR="0080101A" w:rsidRPr="0080101A">
        <w:rPr>
          <w:rFonts w:ascii="仿宋_GB2312" w:eastAsia="仿宋_GB2312" w:hint="eastAsia"/>
          <w:sz w:val="28"/>
          <w:szCs w:val="28"/>
        </w:rPr>
        <w:t xml:space="preserve"> </w:t>
      </w:r>
      <w:r w:rsidR="0080101A">
        <w:rPr>
          <w:rFonts w:ascii="仿宋_GB2312" w:eastAsia="仿宋_GB2312" w:hint="eastAsia"/>
          <w:sz w:val="28"/>
          <w:szCs w:val="28"/>
        </w:rPr>
        <w:t>2024年度年初预算558.32万元，2024年度决算558.32万元，完成年初预算的100%。</w:t>
      </w:r>
    </w:p>
    <w:p w:rsidR="00812BE5" w:rsidRDefault="0080101A">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sidR="007825ED">
        <w:rPr>
          <w:rFonts w:ascii="仿宋_GB2312" w:eastAsia="仿宋_GB2312" w:hint="eastAsia"/>
          <w:sz w:val="28"/>
          <w:szCs w:val="28"/>
        </w:rPr>
        <w:t>“住房保障支出”</w:t>
      </w:r>
      <w:r w:rsidR="007D233A">
        <w:rPr>
          <w:rFonts w:ascii="仿宋_GB2312" w:eastAsia="仿宋_GB2312" w:hint="eastAsia"/>
          <w:sz w:val="28"/>
          <w:szCs w:val="28"/>
        </w:rPr>
        <w:t xml:space="preserve"> </w:t>
      </w:r>
      <w:r w:rsidR="007825ED">
        <w:rPr>
          <w:rFonts w:ascii="仿宋_GB2312" w:eastAsia="仿宋_GB2312" w:hint="eastAsia"/>
          <w:sz w:val="28"/>
          <w:szCs w:val="28"/>
        </w:rPr>
        <w:t>2024年度年初预算0万元，2024年度决算577.19万元。其中：</w:t>
      </w:r>
    </w:p>
    <w:p w:rsidR="00812BE5" w:rsidRDefault="007825E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80101A">
        <w:rPr>
          <w:rFonts w:ascii="仿宋_GB2312" w:eastAsia="仿宋_GB2312" w:hint="eastAsia"/>
          <w:sz w:val="28"/>
          <w:szCs w:val="28"/>
        </w:rPr>
        <w:t>住房改革支出</w:t>
      </w:r>
      <w:r>
        <w:rPr>
          <w:rFonts w:ascii="仿宋_GB2312" w:eastAsia="仿宋_GB2312" w:hint="eastAsia"/>
          <w:sz w:val="28"/>
          <w:szCs w:val="28"/>
        </w:rPr>
        <w:t>”</w:t>
      </w:r>
      <w:r w:rsidR="007D233A">
        <w:rPr>
          <w:rFonts w:ascii="仿宋_GB2312" w:eastAsia="仿宋_GB2312" w:hint="eastAsia"/>
          <w:sz w:val="28"/>
          <w:szCs w:val="28"/>
        </w:rPr>
        <w:t xml:space="preserve"> </w:t>
      </w:r>
      <w:r>
        <w:rPr>
          <w:rFonts w:ascii="仿宋_GB2312" w:eastAsia="仿宋_GB2312" w:hint="eastAsia"/>
          <w:sz w:val="28"/>
          <w:szCs w:val="28"/>
        </w:rPr>
        <w:t>2024年度年初预算0万元，2024年度决算577.19万元。</w:t>
      </w:r>
      <w:r w:rsidR="0080101A">
        <w:rPr>
          <w:rFonts w:ascii="仿宋_GB2312" w:eastAsia="仿宋_GB2312" w:hint="eastAsia"/>
          <w:sz w:val="28"/>
          <w:szCs w:val="28"/>
        </w:rPr>
        <w:t>原因：补发第三批购房补贴。</w:t>
      </w:r>
    </w:p>
    <w:p w:rsidR="00812BE5" w:rsidRDefault="00812BE5">
      <w:pPr>
        <w:spacing w:line="580" w:lineRule="exact"/>
        <w:rPr>
          <w:rFonts w:ascii="仿宋_GB2312" w:eastAsia="仿宋_GB2312"/>
          <w:sz w:val="28"/>
          <w:szCs w:val="28"/>
        </w:rPr>
      </w:pPr>
    </w:p>
    <w:p w:rsidR="00812BE5" w:rsidRDefault="007825ED" w:rsidP="00E637D5">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812BE5" w:rsidRDefault="007825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812BE5" w:rsidRDefault="007825E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Pr>
          <w:rFonts w:ascii="仿宋_GB2312" w:eastAsia="仿宋_GB2312" w:hint="eastAsia"/>
          <w:sz w:val="28"/>
          <w:szCs w:val="28"/>
        </w:rPr>
        <w:t>万元，主要用于以下方面：城乡社区支出</w:t>
      </w:r>
      <w:r w:rsidR="00E46863">
        <w:rPr>
          <w:rFonts w:ascii="仿宋_GB2312" w:eastAsia="仿宋_GB2312" w:hint="eastAsia"/>
          <w:sz w:val="28"/>
          <w:szCs w:val="28"/>
        </w:rPr>
        <w:t>0</w:t>
      </w:r>
      <w:r>
        <w:rPr>
          <w:rFonts w:ascii="仿宋_GB2312" w:eastAsia="仿宋_GB2312" w:hint="eastAsia"/>
          <w:sz w:val="28"/>
          <w:szCs w:val="28"/>
        </w:rPr>
        <w:t>万元，占本年财政拨款支出0%。</w:t>
      </w:r>
    </w:p>
    <w:p w:rsidR="00812BE5" w:rsidRDefault="007825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812BE5" w:rsidRDefault="007825ED">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1、“城乡社区支出”</w:t>
      </w:r>
      <w:r w:rsidR="00E46863">
        <w:rPr>
          <w:rFonts w:ascii="仿宋_GB2312" w:eastAsia="仿宋_GB2312" w:hint="eastAsia"/>
          <w:sz w:val="28"/>
          <w:szCs w:val="28"/>
        </w:rPr>
        <w:t xml:space="preserve"> </w:t>
      </w:r>
      <w:r>
        <w:rPr>
          <w:rFonts w:ascii="仿宋_GB2312" w:eastAsia="仿宋_GB2312" w:hint="eastAsia"/>
          <w:sz w:val="28"/>
          <w:szCs w:val="28"/>
        </w:rPr>
        <w:t>2024年度年初预算0万元，2024年度决算0万元，完成年初预算的0%。其中：</w:t>
      </w:r>
    </w:p>
    <w:p w:rsidR="00812BE5" w:rsidRDefault="007825ED">
      <w:pPr>
        <w:spacing w:line="580" w:lineRule="exact"/>
        <w:ind w:firstLineChars="200" w:firstLine="560"/>
        <w:rPr>
          <w:rFonts w:ascii="仿宋_GB2312" w:eastAsia="仿宋_GB2312"/>
          <w:sz w:val="28"/>
          <w:szCs w:val="28"/>
        </w:rPr>
      </w:pPr>
      <w:r>
        <w:rPr>
          <w:rFonts w:ascii="仿宋_GB2312" w:eastAsia="仿宋_GB2312" w:hint="eastAsia"/>
          <w:sz w:val="28"/>
          <w:szCs w:val="28"/>
        </w:rPr>
        <w:t>“城市基础设施配套费对应专项债务收入安排的支出”</w:t>
      </w:r>
      <w:r w:rsidR="00E46863">
        <w:rPr>
          <w:rFonts w:ascii="仿宋_GB2312" w:eastAsia="仿宋_GB2312" w:hint="eastAsia"/>
          <w:sz w:val="28"/>
          <w:szCs w:val="28"/>
        </w:rPr>
        <w:t xml:space="preserve"> </w:t>
      </w:r>
      <w:r>
        <w:rPr>
          <w:rFonts w:ascii="仿宋_GB2312" w:eastAsia="仿宋_GB2312" w:hint="eastAsia"/>
          <w:sz w:val="28"/>
          <w:szCs w:val="28"/>
        </w:rPr>
        <w:t>2024年度年初预算0万元，2024年度决算0万元，完成年初预算的0%。</w:t>
      </w:r>
    </w:p>
    <w:p w:rsidR="00812BE5" w:rsidRDefault="007825ED" w:rsidP="00E637D5">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12BE5" w:rsidRDefault="007825ED" w:rsidP="00E637D5">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812BE5" w:rsidRDefault="007825ED" w:rsidP="00E637D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812BE5" w:rsidRDefault="007825ED" w:rsidP="00E637D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8183.28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、津贴补贴、绩效工资、</w:t>
      </w:r>
      <w:r>
        <w:rPr>
          <w:rFonts w:ascii="仿宋_GB2312" w:eastAsia="仿宋_GB2312" w:hint="eastAsia"/>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ascii="仿宋_GB2312" w:eastAsia="仿宋_GB2312" w:hint="eastAsia"/>
          <w:sz w:val="28"/>
          <w:szCs w:val="28"/>
        </w:rPr>
        <w:t>，住房公积金；（2）商品和服务支出，包括</w:t>
      </w:r>
      <w:r>
        <w:rPr>
          <w:rFonts w:ascii="仿宋_GB2312" w:eastAsia="仿宋_GB2312"/>
          <w:sz w:val="28"/>
          <w:szCs w:val="28"/>
        </w:rPr>
        <w:t>办公费、手续费、水费、电费、邮电费、取暖费、物业管理费、差旅费、维修（护）费、培训费、委托业务费、福利费、公务用车运行维护费、其他交通费、其他商品和服务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退休费、抚恤金、奖励金</w:t>
      </w:r>
      <w:r>
        <w:rPr>
          <w:rFonts w:ascii="仿宋_GB2312" w:eastAsia="仿宋_GB2312" w:hint="eastAsia"/>
          <w:sz w:val="28"/>
          <w:szCs w:val="28"/>
        </w:rPr>
        <w:t>。</w:t>
      </w:r>
    </w:p>
    <w:p w:rsidR="00812BE5" w:rsidRDefault="007825ED">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lastRenderedPageBreak/>
        <w:tab/>
      </w:r>
    </w:p>
    <w:p w:rsidR="00812BE5" w:rsidRDefault="007825ED">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812BE5" w:rsidRDefault="007825E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812BE5" w:rsidRDefault="007825ED">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12.6</w:t>
      </w:r>
      <w:r>
        <w:rPr>
          <w:rFonts w:ascii="仿宋_GB2312" w:eastAsia="仿宋_GB2312" w:hint="eastAsia"/>
          <w:sz w:val="28"/>
          <w:szCs w:val="28"/>
        </w:rPr>
        <w:t>万元，比2024年度“三公”经费财政拨款年初预算</w:t>
      </w:r>
      <w:r>
        <w:rPr>
          <w:rFonts w:ascii="仿宋_GB2312" w:eastAsia="仿宋_GB2312"/>
          <w:sz w:val="28"/>
          <w:szCs w:val="28"/>
        </w:rPr>
        <w:t>18.9</w:t>
      </w:r>
      <w:r>
        <w:rPr>
          <w:rFonts w:ascii="仿宋_GB2312" w:eastAsia="仿宋_GB2312" w:hint="eastAsia"/>
          <w:sz w:val="28"/>
          <w:szCs w:val="28"/>
        </w:rPr>
        <w:t>万元减少6.30万元。其中：</w:t>
      </w:r>
    </w:p>
    <w:p w:rsidR="00812BE5" w:rsidRDefault="007825ED">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w:t>
      </w:r>
      <w:r w:rsidR="00E637D5">
        <w:rPr>
          <w:rFonts w:ascii="仿宋_GB2312" w:eastAsia="仿宋_GB2312" w:hint="eastAsia"/>
          <w:sz w:val="28"/>
          <w:szCs w:val="28"/>
        </w:rPr>
        <w:t>减无变化，保持一致</w:t>
      </w:r>
      <w:r>
        <w:rPr>
          <w:rFonts w:ascii="仿宋_GB2312" w:eastAsia="仿宋_GB2312" w:hint="eastAsia"/>
          <w:sz w:val="28"/>
          <w:szCs w:val="28"/>
        </w:rPr>
        <w:t>。</w:t>
      </w:r>
      <w:r w:rsidR="00E637D5">
        <w:rPr>
          <w:rFonts w:ascii="仿宋_GB2312" w:eastAsia="仿宋_GB2312" w:hint="eastAsia"/>
          <w:sz w:val="28"/>
          <w:szCs w:val="28"/>
        </w:rPr>
        <w:t>主要原因：是因公出国（境）费用主要用于出国（境）的会议、培训交流等事项，2024年度组织出国（境）团组0个、0人次。</w:t>
      </w:r>
    </w:p>
    <w:p w:rsidR="00812BE5" w:rsidRDefault="007825ED">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2.公务接待费。2024年度决算数0万元，比2024年度年初预算数0万元增</w:t>
      </w:r>
      <w:r w:rsidR="00E637D5">
        <w:rPr>
          <w:rFonts w:ascii="仿宋_GB2312" w:eastAsia="仿宋_GB2312" w:hint="eastAsia"/>
          <w:sz w:val="28"/>
          <w:szCs w:val="28"/>
        </w:rPr>
        <w:t>减无变化，保持一致</w:t>
      </w:r>
      <w:r>
        <w:rPr>
          <w:rFonts w:ascii="仿宋_GB2312" w:eastAsia="仿宋_GB2312" w:hint="eastAsia"/>
          <w:sz w:val="28"/>
          <w:szCs w:val="28"/>
        </w:rPr>
        <w:t>。</w:t>
      </w:r>
      <w:r w:rsidR="00E637D5">
        <w:rPr>
          <w:rFonts w:ascii="仿宋_GB2312" w:eastAsia="仿宋_GB2312" w:hint="eastAsia"/>
          <w:sz w:val="28"/>
          <w:szCs w:val="28"/>
        </w:rPr>
        <w:t>主要原因：本年度无公务接待支出。2024年度公务接待费用主要用于公务接待事项。公务接待0批次，公务接待0人次。</w:t>
      </w:r>
    </w:p>
    <w:p w:rsidR="00812BE5" w:rsidRDefault="007825ED">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12.60万元，比2024年度年初预算数18.90万元减少6.30万元。其中，公务用车购置费2024年度决算数0万元，2024年度购置（更新）0辆。公务用车运行维护费2024年度决算数12.60万元，主要原因：</w:t>
      </w:r>
      <w:r w:rsidR="00E637D5">
        <w:rPr>
          <w:rFonts w:ascii="仿宋_GB2312" w:eastAsia="仿宋_GB2312" w:hint="eastAsia"/>
          <w:sz w:val="28"/>
          <w:szCs w:val="28"/>
        </w:rPr>
        <w:t>严格落实公务用车使用规定，认真贯彻厉行节约反对浪费的有关要求，本着节俭高效的原则，建议进一步加强公务用车管理，减少费用支出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10</w:t>
      </w:r>
      <w:r>
        <w:rPr>
          <w:rFonts w:ascii="仿宋_GB2312" w:eastAsia="仿宋_GB2312" w:hint="eastAsia"/>
          <w:sz w:val="28"/>
          <w:szCs w:val="28"/>
        </w:rPr>
        <w:t>辆。</w:t>
      </w:r>
    </w:p>
    <w:p w:rsidR="00812BE5" w:rsidRDefault="007825ED">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812BE5" w:rsidRDefault="007825ED" w:rsidP="00E637D5">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2024年度机关运行经费支出合计0万元，比上年增加0万元。</w:t>
      </w:r>
    </w:p>
    <w:p w:rsidR="00812BE5" w:rsidRDefault="007825ED">
      <w:pPr>
        <w:ind w:left="540"/>
        <w:rPr>
          <w:rFonts w:ascii="黑体" w:eastAsia="黑体"/>
          <w:sz w:val="28"/>
          <w:szCs w:val="28"/>
        </w:rPr>
      </w:pPr>
      <w:r>
        <w:rPr>
          <w:rFonts w:ascii="黑体" w:eastAsia="黑体" w:hint="eastAsia"/>
          <w:sz w:val="28"/>
          <w:szCs w:val="28"/>
        </w:rPr>
        <w:t>三、政府采购支出情况</w:t>
      </w:r>
    </w:p>
    <w:p w:rsidR="00812BE5" w:rsidRDefault="007825ED" w:rsidP="00E637D5">
      <w:pPr>
        <w:ind w:firstLineChars="192" w:firstLine="538"/>
        <w:rPr>
          <w:rFonts w:ascii="仿宋_GB2312" w:eastAsia="仿宋_GB2312"/>
          <w:sz w:val="28"/>
          <w:szCs w:val="28"/>
        </w:rPr>
      </w:pPr>
      <w:r>
        <w:rPr>
          <w:rFonts w:ascii="仿宋_GB2312" w:eastAsia="仿宋_GB2312" w:hint="eastAsia"/>
          <w:sz w:val="28"/>
          <w:szCs w:val="28"/>
        </w:rPr>
        <w:lastRenderedPageBreak/>
        <w:t>2024年度政府采购支出总额</w:t>
      </w:r>
      <w:r>
        <w:rPr>
          <w:rFonts w:ascii="仿宋_GB2312" w:eastAsia="仿宋_GB2312"/>
          <w:sz w:val="28"/>
          <w:szCs w:val="28"/>
        </w:rPr>
        <w:t>99.92</w:t>
      </w:r>
      <w:r>
        <w:rPr>
          <w:rFonts w:ascii="仿宋_GB2312" w:eastAsia="仿宋_GB2312" w:hint="eastAsia"/>
          <w:sz w:val="28"/>
          <w:szCs w:val="28"/>
        </w:rPr>
        <w:t>万元，其中：政府采购货物支出1.26万元，政府采购工程支出0万元，政府采购服务支出98.66万元。授予中小企业合同金额</w:t>
      </w:r>
      <w:r>
        <w:rPr>
          <w:rFonts w:ascii="仿宋_GB2312" w:eastAsia="仿宋_GB2312"/>
          <w:sz w:val="28"/>
          <w:szCs w:val="28"/>
        </w:rPr>
        <w:t>93.08</w:t>
      </w:r>
      <w:r>
        <w:rPr>
          <w:rFonts w:ascii="仿宋_GB2312" w:eastAsia="仿宋_GB2312" w:hint="eastAsia"/>
          <w:sz w:val="28"/>
          <w:szCs w:val="28"/>
        </w:rPr>
        <w:t>万元，占政府采购支出总额的93.15%，其中：授予小微企业合同金额</w:t>
      </w:r>
      <w:r>
        <w:rPr>
          <w:rFonts w:ascii="仿宋_GB2312" w:eastAsia="仿宋_GB2312"/>
          <w:sz w:val="28"/>
          <w:szCs w:val="28"/>
        </w:rPr>
        <w:t>93.08</w:t>
      </w:r>
      <w:r>
        <w:rPr>
          <w:rFonts w:ascii="仿宋_GB2312" w:eastAsia="仿宋_GB2312" w:hint="eastAsia"/>
          <w:sz w:val="28"/>
          <w:szCs w:val="28"/>
        </w:rPr>
        <w:t>万元，占政府采购支出总额的</w:t>
      </w:r>
      <w:r>
        <w:rPr>
          <w:rFonts w:ascii="仿宋_GB2312" w:eastAsia="仿宋_GB2312"/>
          <w:sz w:val="28"/>
          <w:szCs w:val="28"/>
        </w:rPr>
        <w:t>93.15</w:t>
      </w:r>
      <w:r>
        <w:rPr>
          <w:rFonts w:ascii="仿宋_GB2312" w:eastAsia="仿宋_GB2312" w:hint="eastAsia"/>
          <w:sz w:val="28"/>
          <w:szCs w:val="28"/>
        </w:rPr>
        <w:t>%。</w:t>
      </w:r>
    </w:p>
    <w:p w:rsidR="00812BE5" w:rsidRDefault="007825ED">
      <w:pPr>
        <w:ind w:firstLineChars="200" w:firstLine="560"/>
        <w:rPr>
          <w:rFonts w:ascii="黑体" w:eastAsia="黑体"/>
          <w:sz w:val="28"/>
          <w:szCs w:val="28"/>
          <w:highlight w:val="yellow"/>
        </w:rPr>
      </w:pPr>
      <w:r>
        <w:rPr>
          <w:rFonts w:ascii="黑体" w:eastAsia="黑体" w:hint="eastAsia"/>
          <w:sz w:val="28"/>
          <w:szCs w:val="28"/>
        </w:rPr>
        <w:t>四、国有资产占用情况</w:t>
      </w:r>
    </w:p>
    <w:p w:rsidR="00812BE5" w:rsidRDefault="007825ED">
      <w:pPr>
        <w:ind w:firstLineChars="200" w:firstLine="560"/>
        <w:rPr>
          <w:rFonts w:ascii="仿宋_GB2312" w:eastAsia="仿宋_GB2312"/>
          <w:sz w:val="32"/>
          <w:szCs w:val="32"/>
        </w:rPr>
      </w:pPr>
      <w:r>
        <w:rPr>
          <w:rFonts w:ascii="仿宋_GB2312" w:eastAsia="仿宋_GB2312" w:hint="eastAsia"/>
          <w:sz w:val="28"/>
          <w:szCs w:val="28"/>
        </w:rPr>
        <w:t>截至12月31日，北京市大兴区长子营学校共有车辆10台；单位价值100万元（含）以上的设备1台（套）。</w:t>
      </w:r>
    </w:p>
    <w:p w:rsidR="00812BE5" w:rsidRDefault="007825ED" w:rsidP="00E637D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12BE5" w:rsidRDefault="007825ED" w:rsidP="00E637D5">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812BE5" w:rsidRDefault="007825E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r w:rsidRPr="00304483">
        <w:rPr>
          <w:rFonts w:ascii="仿宋_GB2312" w:eastAsia="仿宋_GB2312" w:hint="eastAsia"/>
          <w:sz w:val="28"/>
          <w:szCs w:val="28"/>
        </w:rPr>
        <w:t xml:space="preserve"> </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r w:rsidRPr="00304483">
        <w:rPr>
          <w:rFonts w:ascii="仿宋_GB2312" w:eastAsia="仿宋_GB2312" w:hint="eastAsia"/>
          <w:sz w:val="28"/>
          <w:szCs w:val="28"/>
        </w:rPr>
        <w:t xml:space="preserve"> </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3.“三公”经费：</w:t>
      </w:r>
      <w:r w:rsidRPr="00304483">
        <w:rPr>
          <w:rFonts w:ascii="仿宋_GB2312" w:eastAsia="仿宋_GB2312" w:hint="eastAsia"/>
          <w:sz w:val="28"/>
          <w:szCs w:val="28"/>
        </w:rPr>
        <w:t xml:space="preserve">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 </w:t>
      </w:r>
    </w:p>
    <w:p w:rsidR="00304483" w:rsidRP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 xml:space="preserve"> 4.机关运行经费：</w:t>
      </w:r>
      <w:r w:rsidRPr="00304483">
        <w:rPr>
          <w:rFonts w:ascii="仿宋_GB2312" w:eastAsia="仿宋_GB2312"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w:t>
      </w:r>
      <w:r w:rsidRPr="00304483">
        <w:rPr>
          <w:rFonts w:ascii="仿宋_GB2312" w:eastAsia="仿宋_GB2312" w:hint="eastAsia"/>
          <w:sz w:val="28"/>
          <w:szCs w:val="28"/>
        </w:rPr>
        <w:lastRenderedPageBreak/>
        <w:t xml:space="preserve">公用房取暖费、办公用房物业管理费、公务用车运行维护费以及其他费用。 </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r w:rsidRPr="00304483">
        <w:rPr>
          <w:rFonts w:ascii="仿宋_GB2312" w:eastAsia="仿宋_GB2312" w:hint="eastAsia"/>
          <w:sz w:val="28"/>
          <w:szCs w:val="28"/>
        </w:rPr>
        <w:t xml:space="preserve"> </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r w:rsidRPr="00304483">
        <w:rPr>
          <w:rFonts w:ascii="仿宋_GB2312" w:eastAsia="仿宋_GB2312" w:hint="eastAsia"/>
          <w:sz w:val="28"/>
          <w:szCs w:val="28"/>
        </w:rPr>
        <w:t xml:space="preserve"> </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7. 教育支出：反映政府教育事务支出（不包括离退休教师经费支出），主要包括：教育管理事务、普通教育、进修及培训、教育费附加安排的支出、其他教育支出等。</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8.社会保障和就业支出：反映政府在社会保障与就业方面的支出，主要包括：人力资源和社会保障管理事务、民政管理事务、行政事业单位离退休、就业补助、抚恤、退役安置、残疾人事业、最低生活保障、临时救助、其他生活救济、财政对基本养老保险基金的补助、其他社会保障和就业支出等。</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9.小学教育：反映各部门举办的小学教育支出。政府各部门对社会组织举办的小学的资助，如捐赠、补贴等，也在本科目中反映。</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10.初中教育：反映各部门举办的初中教育支出。政府各部门对社会组织举办的初中的资助，如捐赠、补贴等，也在本科目中反映。</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11.其他教育费附加安排的支出：反映上述项目以外的教育费附加支出。</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12.行政事业单位养老支出：反映用于行政事业单位养老方面的支出。</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13.事业单位离退休：反映事业单位开支的离退休经费。</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lastRenderedPageBreak/>
        <w:t>14.机关事业单位基本养老保险缴费支出：反映机关事业单位实施养老保险制度由单位缴纳的基本养老保险费支出。</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15.机关事业单位职业年金缴费支出：反映机关事业单位实施养老保险制度由单位缴纳的职业年金支出（含职业年金补记支出）。</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16.其他行政事业单位养老支出：反映除上述项目以外其他用于行政事业单位养老方面的支出。</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17.事业单位医疗：反映财政部门安排的事业单位基本医疗保险缴费经费，未参加医疗保险的事业单位的公费医疗经费，按国家规定享受离休人员待遇的医疗经费。</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18.公务员医疗补助：反映财政部门安排的公务员医疗补助经费。</w:t>
      </w:r>
    </w:p>
    <w:p w:rsidR="00304483" w:rsidRDefault="00304483" w:rsidP="00304483">
      <w:pPr>
        <w:spacing w:line="560" w:lineRule="exact"/>
        <w:ind w:firstLine="600"/>
        <w:rPr>
          <w:rFonts w:ascii="仿宋_GB2312" w:eastAsia="仿宋_GB2312"/>
          <w:sz w:val="28"/>
          <w:szCs w:val="28"/>
        </w:rPr>
      </w:pPr>
      <w:r>
        <w:rPr>
          <w:rFonts w:ascii="仿宋_GB2312" w:eastAsia="仿宋_GB2312" w:hint="eastAsia"/>
          <w:sz w:val="28"/>
          <w:szCs w:val="28"/>
        </w:rPr>
        <w:t>19.购房补贴：反映按房改政策规定，行政事业单位向符合条件职工（含离退休人员）、军队（含武警）向转役复员离退休人员发放的用于购买住房的补贴。</w:t>
      </w:r>
    </w:p>
    <w:p w:rsidR="00812BE5" w:rsidRDefault="00812BE5" w:rsidP="00304483">
      <w:pPr>
        <w:ind w:firstLineChars="200" w:firstLine="640"/>
        <w:jc w:val="center"/>
        <w:rPr>
          <w:rFonts w:ascii="黑体" w:eastAsia="黑体"/>
          <w:sz w:val="32"/>
          <w:szCs w:val="32"/>
        </w:rPr>
      </w:pPr>
    </w:p>
    <w:p w:rsidR="00812BE5" w:rsidRDefault="007825ED">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812BE5" w:rsidRDefault="00812BE5">
      <w:pPr>
        <w:ind w:firstLineChars="200" w:firstLine="560"/>
        <w:rPr>
          <w:rFonts w:ascii="黑体" w:eastAsia="黑体"/>
          <w:sz w:val="28"/>
          <w:szCs w:val="28"/>
          <w:highlight w:val="yellow"/>
        </w:rPr>
      </w:pPr>
    </w:p>
    <w:p w:rsidR="00812BE5" w:rsidRDefault="007825ED" w:rsidP="00675EE7">
      <w:pPr>
        <w:ind w:left="560"/>
        <w:jc w:val="cente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812BE5" w:rsidRDefault="007825ED">
      <w:pPr>
        <w:spacing w:line="480" w:lineRule="exact"/>
        <w:ind w:firstLine="420"/>
        <w:rPr>
          <w:rFonts w:ascii="黑体" w:eastAsia="黑体"/>
          <w:sz w:val="28"/>
          <w:szCs w:val="28"/>
        </w:rPr>
      </w:pPr>
      <w:r>
        <w:rPr>
          <w:rFonts w:ascii="黑体" w:eastAsia="黑体" w:hint="eastAsia"/>
          <w:sz w:val="28"/>
          <w:szCs w:val="28"/>
        </w:rPr>
        <w:t xml:space="preserve"> </w:t>
      </w:r>
    </w:p>
    <w:p w:rsidR="00812BE5" w:rsidRDefault="00812BE5">
      <w:pPr>
        <w:spacing w:line="480" w:lineRule="exact"/>
        <w:rPr>
          <w:rFonts w:ascii="仿宋_GB2312" w:eastAsia="仿宋_GB2312" w:hAnsi="仿宋_GB2312" w:cs="仿宋_GB2312"/>
          <w:sz w:val="32"/>
          <w:szCs w:val="32"/>
        </w:rPr>
      </w:pPr>
    </w:p>
    <w:p w:rsidR="00812BE5" w:rsidRDefault="00812BE5">
      <w:pPr>
        <w:spacing w:line="480" w:lineRule="exact"/>
      </w:pPr>
    </w:p>
    <w:sectPr w:rsidR="00812BE5">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D25" w:rsidRDefault="00F35D25">
      <w:r>
        <w:separator/>
      </w:r>
    </w:p>
  </w:endnote>
  <w:endnote w:type="continuationSeparator" w:id="0">
    <w:p w:rsidR="00F35D25" w:rsidRDefault="00F3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E5" w:rsidRDefault="007825ED">
    <w:pPr>
      <w:pStyle w:val="a7"/>
      <w:framePr w:wrap="around" w:vAnchor="text" w:hAnchor="margin" w:xAlign="center" w:y="1"/>
      <w:rPr>
        <w:rStyle w:val="ab"/>
      </w:rPr>
    </w:pPr>
    <w:r>
      <w:fldChar w:fldCharType="begin"/>
    </w:r>
    <w:r>
      <w:rPr>
        <w:rStyle w:val="ab"/>
      </w:rPr>
      <w:instrText xml:space="preserve">PAGE  </w:instrText>
    </w:r>
    <w:r>
      <w:fldChar w:fldCharType="separate"/>
    </w:r>
    <w:r w:rsidR="0007739A">
      <w:rPr>
        <w:rStyle w:val="ab"/>
        <w:noProof/>
      </w:rPr>
      <w:t>3</w:t>
    </w:r>
    <w:r>
      <w:fldChar w:fldCharType="end"/>
    </w:r>
  </w:p>
  <w:p w:rsidR="00812BE5" w:rsidRDefault="0081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E5" w:rsidRDefault="007825E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12BE5" w:rsidRDefault="0081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E5" w:rsidRDefault="007825ED">
    <w:pPr>
      <w:pStyle w:val="a7"/>
      <w:framePr w:wrap="around" w:vAnchor="text" w:hAnchor="margin" w:xAlign="center" w:y="1"/>
      <w:rPr>
        <w:rStyle w:val="ab"/>
      </w:rPr>
    </w:pPr>
    <w:r>
      <w:fldChar w:fldCharType="begin"/>
    </w:r>
    <w:r>
      <w:rPr>
        <w:rStyle w:val="ab"/>
      </w:rPr>
      <w:instrText xml:space="preserve">PAGE  </w:instrText>
    </w:r>
    <w:r>
      <w:fldChar w:fldCharType="separate"/>
    </w:r>
    <w:r w:rsidR="002013D5">
      <w:rPr>
        <w:rStyle w:val="ab"/>
        <w:noProof/>
      </w:rPr>
      <w:t>7</w:t>
    </w:r>
    <w:r>
      <w:fldChar w:fldCharType="end"/>
    </w:r>
  </w:p>
  <w:p w:rsidR="00812BE5" w:rsidRDefault="0081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D25" w:rsidRDefault="00F35D25">
      <w:r>
        <w:separator/>
      </w:r>
    </w:p>
  </w:footnote>
  <w:footnote w:type="continuationSeparator" w:id="0">
    <w:p w:rsidR="00F35D25" w:rsidRDefault="00F35D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5B09700D"/>
    <w:multiLevelType w:val="singleLevel"/>
    <w:tmpl w:val="5B09700D"/>
    <w:lvl w:ilvl="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39A"/>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13D5"/>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4483"/>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5EE7"/>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25ED"/>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33A"/>
    <w:rsid w:val="007D2A49"/>
    <w:rsid w:val="007D5E38"/>
    <w:rsid w:val="007D7AC4"/>
    <w:rsid w:val="007E0340"/>
    <w:rsid w:val="007E1D4A"/>
    <w:rsid w:val="007E53C0"/>
    <w:rsid w:val="007E7703"/>
    <w:rsid w:val="007F4558"/>
    <w:rsid w:val="007F64DF"/>
    <w:rsid w:val="0080101A"/>
    <w:rsid w:val="008050EF"/>
    <w:rsid w:val="0080652C"/>
    <w:rsid w:val="0080715F"/>
    <w:rsid w:val="008113D6"/>
    <w:rsid w:val="00812BA7"/>
    <w:rsid w:val="00812BE5"/>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125E"/>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863"/>
    <w:rsid w:val="00E46D22"/>
    <w:rsid w:val="00E4768F"/>
    <w:rsid w:val="00E53C0E"/>
    <w:rsid w:val="00E54F7E"/>
    <w:rsid w:val="00E560CE"/>
    <w:rsid w:val="00E5674E"/>
    <w:rsid w:val="00E63783"/>
    <w:rsid w:val="00E637D5"/>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5D25"/>
    <w:rsid w:val="00F4144F"/>
    <w:rsid w:val="00F433F3"/>
    <w:rsid w:val="00F47F64"/>
    <w:rsid w:val="00F522D9"/>
    <w:rsid w:val="00F52F54"/>
    <w:rsid w:val="00F5312C"/>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8E3199"/>
    <w:rsid w:val="02F120AB"/>
    <w:rsid w:val="032B5196"/>
    <w:rsid w:val="04C3537C"/>
    <w:rsid w:val="079004AC"/>
    <w:rsid w:val="0A037FC9"/>
    <w:rsid w:val="0BA148CA"/>
    <w:rsid w:val="0C1165C4"/>
    <w:rsid w:val="0D6D544B"/>
    <w:rsid w:val="0DD136FE"/>
    <w:rsid w:val="0F542F2C"/>
    <w:rsid w:val="0F6C03BE"/>
    <w:rsid w:val="0F8E2C57"/>
    <w:rsid w:val="0FB029A1"/>
    <w:rsid w:val="1059665E"/>
    <w:rsid w:val="10AC13BA"/>
    <w:rsid w:val="145A6C1B"/>
    <w:rsid w:val="14B73493"/>
    <w:rsid w:val="167A2FF9"/>
    <w:rsid w:val="1764587C"/>
    <w:rsid w:val="18581C69"/>
    <w:rsid w:val="18CE5C46"/>
    <w:rsid w:val="1AEC0734"/>
    <w:rsid w:val="1B9969DF"/>
    <w:rsid w:val="1DEF20B0"/>
    <w:rsid w:val="1FF7AB17"/>
    <w:rsid w:val="20CC6F0F"/>
    <w:rsid w:val="214243FA"/>
    <w:rsid w:val="216B497A"/>
    <w:rsid w:val="21AD613C"/>
    <w:rsid w:val="22467189"/>
    <w:rsid w:val="23052D9A"/>
    <w:rsid w:val="257A14F5"/>
    <w:rsid w:val="27196C26"/>
    <w:rsid w:val="28CA467C"/>
    <w:rsid w:val="29514455"/>
    <w:rsid w:val="298365D8"/>
    <w:rsid w:val="29C4731D"/>
    <w:rsid w:val="29EF086F"/>
    <w:rsid w:val="2B1B11BE"/>
    <w:rsid w:val="2BC34C59"/>
    <w:rsid w:val="2EA339A5"/>
    <w:rsid w:val="2EFFE297"/>
    <w:rsid w:val="301437CA"/>
    <w:rsid w:val="349D1F0A"/>
    <w:rsid w:val="34DD0473"/>
    <w:rsid w:val="39C173D5"/>
    <w:rsid w:val="3A8E35DC"/>
    <w:rsid w:val="3AB6680E"/>
    <w:rsid w:val="3BFA097C"/>
    <w:rsid w:val="3C684897"/>
    <w:rsid w:val="40AF442B"/>
    <w:rsid w:val="4177481D"/>
    <w:rsid w:val="433E495C"/>
    <w:rsid w:val="489F2FD7"/>
    <w:rsid w:val="49AB59AC"/>
    <w:rsid w:val="4AC27CB3"/>
    <w:rsid w:val="4BF72BEF"/>
    <w:rsid w:val="4E06597C"/>
    <w:rsid w:val="4FA90297"/>
    <w:rsid w:val="4FC41A43"/>
    <w:rsid w:val="50F814D6"/>
    <w:rsid w:val="51DB3C59"/>
    <w:rsid w:val="52A01E26"/>
    <w:rsid w:val="546E1AAF"/>
    <w:rsid w:val="5488491F"/>
    <w:rsid w:val="550C0952"/>
    <w:rsid w:val="55762E42"/>
    <w:rsid w:val="57A7B272"/>
    <w:rsid w:val="58470068"/>
    <w:rsid w:val="58747CAC"/>
    <w:rsid w:val="5A1720F9"/>
    <w:rsid w:val="5AD54636"/>
    <w:rsid w:val="5B9C37C2"/>
    <w:rsid w:val="5BA7C654"/>
    <w:rsid w:val="5C4F21C6"/>
    <w:rsid w:val="5DF716AE"/>
    <w:rsid w:val="5E0314BA"/>
    <w:rsid w:val="5F9F507E"/>
    <w:rsid w:val="60A54109"/>
    <w:rsid w:val="61D01CDF"/>
    <w:rsid w:val="64085A7D"/>
    <w:rsid w:val="64C0607C"/>
    <w:rsid w:val="65756C86"/>
    <w:rsid w:val="665E1984"/>
    <w:rsid w:val="674D385B"/>
    <w:rsid w:val="676F09E1"/>
    <w:rsid w:val="69564B94"/>
    <w:rsid w:val="6C9A123C"/>
    <w:rsid w:val="6CEB5F3B"/>
    <w:rsid w:val="6CEF1588"/>
    <w:rsid w:val="6D8F4B19"/>
    <w:rsid w:val="6DAA1953"/>
    <w:rsid w:val="6DC36570"/>
    <w:rsid w:val="6EC9405A"/>
    <w:rsid w:val="70D70CB1"/>
    <w:rsid w:val="71691990"/>
    <w:rsid w:val="71793A80"/>
    <w:rsid w:val="72A746B3"/>
    <w:rsid w:val="7357290B"/>
    <w:rsid w:val="756E3DEA"/>
    <w:rsid w:val="76FB1693"/>
    <w:rsid w:val="77444BC6"/>
    <w:rsid w:val="77B04009"/>
    <w:rsid w:val="798524E4"/>
    <w:rsid w:val="7A7F1C49"/>
    <w:rsid w:val="7B5B7AE6"/>
    <w:rsid w:val="7B7B6628"/>
    <w:rsid w:val="7BA7071E"/>
    <w:rsid w:val="7BDF6DA8"/>
    <w:rsid w:val="7C7EDC1A"/>
    <w:rsid w:val="7CCED98D"/>
    <w:rsid w:val="7D08410F"/>
    <w:rsid w:val="7DB96DED"/>
    <w:rsid w:val="7DD3AD81"/>
    <w:rsid w:val="7DFFF77E"/>
    <w:rsid w:val="7F3E014D"/>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170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1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121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8091.45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8183.28</c:v>
                </c:pt>
                <c:pt idx="1">
                  <c:v>485.35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712</Words>
  <Characters>4063</Characters>
  <Application>Microsoft Office Word</Application>
  <DocSecurity>0</DocSecurity>
  <Lines>33</Lines>
  <Paragraphs>9</Paragraphs>
  <ScaleCrop>false</ScaleCrop>
  <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xb21cn</cp:lastModifiedBy>
  <cp:revision>32</cp:revision>
  <cp:lastPrinted>2020-08-09T03:39:00Z</cp:lastPrinted>
  <dcterms:created xsi:type="dcterms:W3CDTF">2017-07-13T07:16:00Z</dcterms:created>
  <dcterms:modified xsi:type="dcterms:W3CDTF">2025-09-26T00:41:00Z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C9B7B8D9B70749B394458763C7449121_13</vt:lpwstr>
  </property>
  <property fmtid="{D5CDD505-2E9C-101B-9397-08002B2CF9AE}" pid="4" name="KSOTemplateDocerSaveRecord">
    <vt:lpwstr>eyJoZGlkIjoiNzBkMjk4Y2Q5YmEyMjQ0ZDQ3YTNhNzc2ZTJmOTM3NWMiLCJ1c2VySWQiOiIyMzY2ODU4MDAifQ==</vt:lpwstr>
  </property>
</Properties>
</file>