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581" w:rsidRDefault="00B93581">
      <w:pPr>
        <w:jc w:val="center"/>
        <w:rPr>
          <w:rFonts w:ascii="仿宋_GB2312" w:eastAsia="仿宋_GB2312"/>
          <w:b/>
          <w:sz w:val="32"/>
          <w:szCs w:val="32"/>
        </w:rPr>
      </w:pPr>
    </w:p>
    <w:p w:rsidR="00B93581" w:rsidRDefault="00B93581">
      <w:pPr>
        <w:jc w:val="center"/>
        <w:rPr>
          <w:rFonts w:ascii="黑体" w:eastAsia="黑体"/>
          <w:sz w:val="72"/>
          <w:szCs w:val="72"/>
        </w:rPr>
      </w:pPr>
    </w:p>
    <w:p w:rsidR="00B93581" w:rsidRDefault="00B93581">
      <w:pPr>
        <w:jc w:val="center"/>
        <w:rPr>
          <w:rFonts w:ascii="黑体" w:eastAsia="黑体"/>
          <w:sz w:val="72"/>
          <w:szCs w:val="72"/>
        </w:rPr>
      </w:pPr>
    </w:p>
    <w:p w:rsidR="00B93581" w:rsidRDefault="00B93581">
      <w:pPr>
        <w:jc w:val="center"/>
        <w:rPr>
          <w:rFonts w:ascii="黑体" w:eastAsia="黑体"/>
          <w:sz w:val="72"/>
          <w:szCs w:val="72"/>
        </w:rPr>
      </w:pPr>
    </w:p>
    <w:p w:rsidR="00B93581" w:rsidRDefault="00B93581">
      <w:pPr>
        <w:jc w:val="center"/>
        <w:rPr>
          <w:rFonts w:ascii="黑体" w:eastAsia="黑体"/>
          <w:sz w:val="72"/>
          <w:szCs w:val="72"/>
        </w:rPr>
      </w:pPr>
    </w:p>
    <w:p w:rsidR="00B93581" w:rsidRDefault="00856749">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rsidR="00B93581" w:rsidRDefault="00B93581">
      <w:pPr>
        <w:jc w:val="center"/>
        <w:rPr>
          <w:rFonts w:ascii="黑体" w:eastAsia="黑体"/>
          <w:sz w:val="52"/>
          <w:szCs w:val="52"/>
        </w:rPr>
      </w:pPr>
    </w:p>
    <w:p w:rsidR="00B93581" w:rsidRDefault="00B93581">
      <w:pPr>
        <w:jc w:val="center"/>
        <w:rPr>
          <w:rFonts w:ascii="黑体" w:eastAsia="黑体"/>
          <w:sz w:val="52"/>
          <w:szCs w:val="52"/>
        </w:rPr>
      </w:pPr>
    </w:p>
    <w:p w:rsidR="00B93581" w:rsidRDefault="00B93581">
      <w:pPr>
        <w:jc w:val="center"/>
        <w:rPr>
          <w:rFonts w:ascii="黑体" w:eastAsia="黑体"/>
          <w:sz w:val="52"/>
          <w:szCs w:val="52"/>
        </w:rPr>
      </w:pPr>
    </w:p>
    <w:p w:rsidR="00B93581" w:rsidRDefault="00B93581">
      <w:pPr>
        <w:jc w:val="center"/>
        <w:rPr>
          <w:rFonts w:ascii="黑体" w:eastAsia="黑体"/>
          <w:sz w:val="52"/>
          <w:szCs w:val="52"/>
        </w:rPr>
      </w:pPr>
    </w:p>
    <w:p w:rsidR="00B93581" w:rsidRDefault="00B93581">
      <w:pPr>
        <w:jc w:val="center"/>
        <w:rPr>
          <w:rFonts w:ascii="黑体" w:eastAsia="黑体"/>
          <w:sz w:val="32"/>
          <w:szCs w:val="32"/>
        </w:rPr>
      </w:pPr>
    </w:p>
    <w:p w:rsidR="00B93581" w:rsidRDefault="00856749">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B93581" w:rsidRDefault="00B93581">
      <w:pPr>
        <w:spacing w:line="500" w:lineRule="exact"/>
        <w:ind w:firstLine="645"/>
        <w:jc w:val="center"/>
        <w:rPr>
          <w:rFonts w:ascii="宋体" w:hAnsi="宋体" w:cs="宋体"/>
          <w:b/>
          <w:bCs/>
          <w:kern w:val="0"/>
          <w:sz w:val="36"/>
          <w:szCs w:val="36"/>
        </w:rPr>
      </w:pPr>
    </w:p>
    <w:p w:rsidR="00B93581" w:rsidRDefault="00856749">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2024年度部门决算报表</w:t>
      </w:r>
    </w:p>
    <w:p w:rsidR="00B93581" w:rsidRDefault="00856749">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B93581" w:rsidRDefault="0085674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B93581" w:rsidRDefault="0085674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B93581" w:rsidRDefault="0085674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B93581" w:rsidRDefault="0085674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B93581" w:rsidRDefault="0085674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B93581" w:rsidRDefault="0085674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B93581" w:rsidRDefault="0085674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B93581" w:rsidRDefault="0085674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B93581" w:rsidRDefault="0085674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B93581" w:rsidRDefault="0085674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B93581" w:rsidRDefault="0085674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B93581" w:rsidRDefault="00856749">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rsidR="00B93581" w:rsidRDefault="00856749">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rsidR="00B93581" w:rsidRDefault="00856749">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2024年度部门绩效评价情况</w:t>
      </w:r>
    </w:p>
    <w:p w:rsidR="00B93581" w:rsidRDefault="00B93581">
      <w:pPr>
        <w:tabs>
          <w:tab w:val="center" w:pos="6979"/>
        </w:tabs>
        <w:spacing w:beforeLines="50" w:before="156" w:afterLines="50" w:after="156"/>
        <w:jc w:val="center"/>
        <w:rPr>
          <w:rFonts w:ascii="宋体" w:hAnsi="宋体" w:cs="宋体"/>
          <w:b/>
          <w:bCs/>
          <w:spacing w:val="40"/>
          <w:kern w:val="0"/>
          <w:sz w:val="32"/>
          <w:szCs w:val="32"/>
        </w:rPr>
      </w:pPr>
    </w:p>
    <w:p w:rsidR="00B93581" w:rsidRDefault="00B93581">
      <w:pPr>
        <w:tabs>
          <w:tab w:val="center" w:pos="6979"/>
        </w:tabs>
        <w:spacing w:beforeLines="50" w:before="156" w:afterLines="50" w:after="156"/>
        <w:jc w:val="center"/>
        <w:rPr>
          <w:rFonts w:ascii="宋体" w:hAnsi="宋体" w:cs="宋体"/>
          <w:b/>
          <w:bCs/>
          <w:spacing w:val="40"/>
          <w:kern w:val="0"/>
          <w:sz w:val="32"/>
          <w:szCs w:val="32"/>
        </w:rPr>
      </w:pPr>
    </w:p>
    <w:p w:rsidR="00B93581" w:rsidRDefault="00B93581">
      <w:pPr>
        <w:tabs>
          <w:tab w:val="center" w:pos="6979"/>
        </w:tabs>
        <w:spacing w:beforeLines="50" w:before="156" w:afterLines="50" w:after="156"/>
        <w:jc w:val="center"/>
        <w:rPr>
          <w:rFonts w:ascii="宋体" w:hAnsi="宋体" w:cs="宋体"/>
          <w:b/>
          <w:bCs/>
          <w:spacing w:val="40"/>
          <w:kern w:val="0"/>
          <w:sz w:val="32"/>
          <w:szCs w:val="32"/>
        </w:rPr>
      </w:pPr>
    </w:p>
    <w:p w:rsidR="00B93581" w:rsidRDefault="00B93581">
      <w:pPr>
        <w:tabs>
          <w:tab w:val="center" w:pos="6979"/>
        </w:tabs>
        <w:spacing w:beforeLines="50" w:before="156" w:afterLines="50" w:after="156"/>
        <w:jc w:val="center"/>
        <w:rPr>
          <w:rFonts w:ascii="宋体" w:hAnsi="宋体" w:cs="宋体"/>
          <w:b/>
          <w:bCs/>
          <w:spacing w:val="40"/>
          <w:kern w:val="0"/>
          <w:sz w:val="32"/>
          <w:szCs w:val="32"/>
        </w:rPr>
      </w:pPr>
    </w:p>
    <w:p w:rsidR="00B93581" w:rsidRDefault="00B93581">
      <w:pPr>
        <w:tabs>
          <w:tab w:val="center" w:pos="6979"/>
        </w:tabs>
        <w:spacing w:beforeLines="50" w:before="156" w:afterLines="50" w:after="156"/>
        <w:jc w:val="center"/>
        <w:rPr>
          <w:rFonts w:ascii="宋体" w:hAnsi="宋体" w:cs="宋体"/>
          <w:b/>
          <w:bCs/>
          <w:spacing w:val="40"/>
          <w:kern w:val="0"/>
          <w:sz w:val="32"/>
          <w:szCs w:val="32"/>
        </w:rPr>
      </w:pPr>
    </w:p>
    <w:p w:rsidR="00B93581" w:rsidRDefault="00856749">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2024年度部门决算报表</w:t>
      </w:r>
    </w:p>
    <w:p w:rsidR="00B93581" w:rsidRDefault="00856749">
      <w:pPr>
        <w:pStyle w:val="2"/>
        <w:rPr>
          <w:b w:val="0"/>
          <w:bCs w:val="0"/>
        </w:rPr>
        <w:sectPr w:rsidR="00B93581">
          <w:footerReference w:type="default" r:id="rId8"/>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B93581" w:rsidRDefault="00856749">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rsidR="00B93581" w:rsidRDefault="00856749">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B93581" w:rsidRDefault="00856749">
      <w:pPr>
        <w:tabs>
          <w:tab w:val="center" w:pos="6979"/>
        </w:tabs>
        <w:spacing w:line="580" w:lineRule="exact"/>
        <w:ind w:firstLineChars="250" w:firstLine="700"/>
        <w:rPr>
          <w:rFonts w:ascii="仿宋_GB2312" w:eastAsia="仿宋_GB2312"/>
          <w:sz w:val="28"/>
          <w:szCs w:val="28"/>
        </w:rPr>
      </w:pPr>
      <w:r>
        <w:rPr>
          <w:rFonts w:ascii="仿宋_GB2312" w:eastAsia="仿宋_GB2312" w:hint="eastAsia"/>
          <w:sz w:val="28"/>
          <w:szCs w:val="28"/>
        </w:rPr>
        <w:t>机构设置情况：设有教导处、德育处、总务处、办公室、少先队等部门。</w:t>
      </w:r>
    </w:p>
    <w:p w:rsidR="00B93581" w:rsidRDefault="00856749">
      <w:pPr>
        <w:tabs>
          <w:tab w:val="center" w:pos="6979"/>
        </w:tabs>
        <w:spacing w:line="580" w:lineRule="exact"/>
        <w:ind w:firstLineChars="250" w:firstLine="700"/>
        <w:rPr>
          <w:rFonts w:ascii="仿宋_GB2312" w:eastAsia="仿宋_GB2312"/>
          <w:sz w:val="28"/>
          <w:szCs w:val="28"/>
        </w:rPr>
      </w:pPr>
      <w:r>
        <w:rPr>
          <w:rFonts w:ascii="仿宋_GB2312" w:eastAsia="仿宋_GB2312" w:hint="eastAsia"/>
          <w:sz w:val="28"/>
          <w:szCs w:val="28"/>
        </w:rPr>
        <w:t>本单位职责：北京市大兴区长子营镇第二中心小学位于北京市大兴区长子营镇朱庄村，是一所普通的农村小学，本单位为义务教育学校，学校始终坚持党的教育方针，面向全体学生，教书育人，为人师表，确立“创办适合孩子的教育”的办学理念，构建以“适合孩子的课堂”为中心的教育思想，重视学生的个性发展。</w:t>
      </w:r>
    </w:p>
    <w:p w:rsidR="00B93581" w:rsidRDefault="00856749">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B93581" w:rsidRDefault="0085674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2215.95</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196.46万元，增长9.73%。</w:t>
      </w:r>
    </w:p>
    <w:p w:rsidR="00B93581" w:rsidRDefault="0085674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B93581" w:rsidRDefault="0085674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2024年度本年收入合计2215.95万元，</w:t>
      </w:r>
      <w:r>
        <w:rPr>
          <w:rFonts w:ascii="仿宋_GB2312" w:eastAsia="仿宋_GB2312"/>
          <w:sz w:val="28"/>
          <w:szCs w:val="28"/>
        </w:rPr>
        <w:t>比上年增加</w:t>
      </w:r>
      <w:r>
        <w:rPr>
          <w:rFonts w:ascii="仿宋_GB2312" w:eastAsia="仿宋_GB2312" w:hint="eastAsia"/>
          <w:sz w:val="28"/>
          <w:szCs w:val="28"/>
        </w:rPr>
        <w:t>196.46万元，增长9.73%。</w:t>
      </w:r>
    </w:p>
    <w:p w:rsidR="00B93581" w:rsidRDefault="00856749">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2215.95万元，占收入合计的100%。其中：一般公共预算财政拨款收入2215.95万元，占收入合计的100%；政府性基金预算财政拨款收入0.00万元，占收入合计的0%；国有资本经营预算财政拨款收入0.00万元，占收入合计的0%；</w:t>
      </w:r>
    </w:p>
    <w:p w:rsidR="00B93581" w:rsidRDefault="00856749">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rsidR="00B93581" w:rsidRDefault="00856749">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rsidR="00B93581" w:rsidRDefault="00856749">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rsidR="00B93581" w:rsidRDefault="00856749">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5.附属单位上缴收入</w:t>
      </w:r>
      <w:r>
        <w:rPr>
          <w:rFonts w:ascii="仿宋_GB2312" w:eastAsia="仿宋_GB2312"/>
          <w:sz w:val="28"/>
          <w:szCs w:val="28"/>
        </w:rPr>
        <w:t>0</w:t>
      </w:r>
      <w:r>
        <w:rPr>
          <w:rFonts w:ascii="仿宋_GB2312" w:eastAsia="仿宋_GB2312" w:hint="eastAsia"/>
          <w:sz w:val="28"/>
          <w:szCs w:val="28"/>
        </w:rPr>
        <w:t>万元，占收入合计的0%；</w:t>
      </w:r>
    </w:p>
    <w:p w:rsidR="00B93581" w:rsidRDefault="00856749">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rsidR="00B93581" w:rsidRDefault="00856749">
      <w:pPr>
        <w:pStyle w:val="2"/>
        <w:jc w:val="center"/>
      </w:pPr>
      <w:r>
        <w:rPr>
          <w:rFonts w:ascii="仿宋_GB2312" w:eastAsia="仿宋_GB2312" w:hint="eastAsia"/>
          <w:color w:val="000000"/>
          <w:sz w:val="32"/>
        </w:rPr>
        <w:t>图1：收入决算</w:t>
      </w:r>
    </w:p>
    <w:p w:rsidR="00B93581" w:rsidRDefault="00856749">
      <w:pPr>
        <w:pStyle w:val="a3"/>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93581" w:rsidRDefault="0085674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B93581" w:rsidRDefault="0085674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2215.95</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196.46万元，增长9.73%，其中：基本支出</w:t>
      </w:r>
      <w:r>
        <w:rPr>
          <w:rFonts w:ascii="仿宋_GB2312" w:eastAsia="仿宋_GB2312"/>
          <w:sz w:val="28"/>
          <w:szCs w:val="28"/>
        </w:rPr>
        <w:t>1690.84</w:t>
      </w:r>
      <w:r>
        <w:rPr>
          <w:rFonts w:ascii="仿宋_GB2312" w:eastAsia="仿宋_GB2312" w:hint="eastAsia"/>
          <w:sz w:val="28"/>
          <w:szCs w:val="28"/>
        </w:rPr>
        <w:t>万元，占支出合计的76.3%；项目支出</w:t>
      </w:r>
      <w:r>
        <w:rPr>
          <w:rFonts w:ascii="仿宋_GB2312" w:eastAsia="仿宋_GB2312"/>
          <w:sz w:val="28"/>
          <w:szCs w:val="28"/>
        </w:rPr>
        <w:t>525.11</w:t>
      </w:r>
      <w:r>
        <w:rPr>
          <w:rFonts w:ascii="仿宋_GB2312" w:eastAsia="仿宋_GB2312" w:hint="eastAsia"/>
          <w:sz w:val="28"/>
          <w:szCs w:val="28"/>
        </w:rPr>
        <w:t>万元，占支出合计的23.7%;上缴上级支出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rsidR="00B93581" w:rsidRDefault="00856749">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rsidR="00B93581" w:rsidRDefault="00856749">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93581" w:rsidRDefault="00856749">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B93581" w:rsidRDefault="0085674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2215.95</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196.46万元，增长9.73%。主要原因：基本支出增加123.07万元、项目支出增加73.39万元。</w:t>
      </w:r>
    </w:p>
    <w:p w:rsidR="00B93581" w:rsidRDefault="00856749">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B93581" w:rsidRDefault="00856749">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B93581" w:rsidRPr="00303054" w:rsidRDefault="00856749">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2215.95</w:t>
      </w:r>
      <w:r>
        <w:rPr>
          <w:rFonts w:ascii="仿宋_GB2312" w:eastAsia="仿宋_GB2312" w:hint="eastAsia"/>
          <w:sz w:val="28"/>
          <w:szCs w:val="28"/>
        </w:rPr>
        <w:t>万元，主要用于以下方面（按大类）：教育支出1797.76万元，占本年</w:t>
      </w:r>
      <w:r w:rsidRPr="00303054">
        <w:rPr>
          <w:rFonts w:ascii="仿宋_GB2312" w:eastAsia="仿宋_GB2312" w:hint="eastAsia"/>
          <w:sz w:val="28"/>
          <w:szCs w:val="28"/>
        </w:rPr>
        <w:t>财政拨款支出81.13%；社会保障和就业支出217.50万元，占本年财政拨款支出9.82%；卫生健康支出117.09万元，</w:t>
      </w:r>
      <w:r w:rsidRPr="00303054">
        <w:rPr>
          <w:rFonts w:ascii="仿宋_GB2312" w:eastAsia="仿宋_GB2312" w:hint="eastAsia"/>
          <w:sz w:val="28"/>
          <w:szCs w:val="28"/>
        </w:rPr>
        <w:lastRenderedPageBreak/>
        <w:t>占本年财政拨款支出5.28%；住房保障支出83.60万元，占本年财政拨款支出3.77%。</w:t>
      </w:r>
    </w:p>
    <w:p w:rsidR="00B93581" w:rsidRPr="00303054" w:rsidRDefault="00856749">
      <w:pPr>
        <w:autoSpaceDE w:val="0"/>
        <w:autoSpaceDN w:val="0"/>
        <w:adjustRightInd w:val="0"/>
        <w:spacing w:line="580" w:lineRule="exact"/>
        <w:ind w:firstLineChars="200" w:firstLine="560"/>
        <w:jc w:val="left"/>
        <w:rPr>
          <w:rFonts w:ascii="仿宋_GB2312" w:eastAsia="仿宋_GB2312"/>
          <w:sz w:val="28"/>
          <w:szCs w:val="28"/>
        </w:rPr>
      </w:pPr>
      <w:r w:rsidRPr="00303054">
        <w:rPr>
          <w:rFonts w:ascii="仿宋_GB2312" w:eastAsia="仿宋_GB2312" w:hint="eastAsia"/>
          <w:sz w:val="28"/>
          <w:szCs w:val="28"/>
        </w:rPr>
        <w:t>（二）一般公共预算财政拨款支出决算具体情况</w:t>
      </w:r>
    </w:p>
    <w:p w:rsidR="00B93581" w:rsidRPr="00303054" w:rsidRDefault="00856749" w:rsidP="00EE6641">
      <w:pPr>
        <w:spacing w:line="580" w:lineRule="exact"/>
        <w:ind w:firstLineChars="200" w:firstLine="560"/>
        <w:rPr>
          <w:rFonts w:ascii="仿宋_GB2312" w:eastAsia="仿宋_GB2312"/>
          <w:sz w:val="28"/>
          <w:szCs w:val="28"/>
        </w:rPr>
      </w:pPr>
      <w:r w:rsidRPr="00303054">
        <w:rPr>
          <w:rFonts w:ascii="仿宋_GB2312" w:eastAsia="仿宋_GB2312" w:hint="eastAsia"/>
          <w:sz w:val="28"/>
          <w:szCs w:val="28"/>
        </w:rPr>
        <w:t>1.“教育支出”（类）</w:t>
      </w:r>
      <w:r w:rsidR="00EE6641" w:rsidRPr="00303054">
        <w:rPr>
          <w:rFonts w:ascii="仿宋_GB2312" w:eastAsia="仿宋_GB2312" w:hint="eastAsia"/>
          <w:sz w:val="28"/>
          <w:szCs w:val="28"/>
        </w:rPr>
        <w:t>2024年度年初预算</w:t>
      </w:r>
      <w:r w:rsidR="00EE6641" w:rsidRPr="00303054">
        <w:rPr>
          <w:rFonts w:ascii="仿宋_GB2312" w:eastAsia="仿宋_GB2312"/>
          <w:sz w:val="28"/>
          <w:szCs w:val="28"/>
        </w:rPr>
        <w:t>1704.43</w:t>
      </w:r>
      <w:r w:rsidR="00EE6641" w:rsidRPr="00303054">
        <w:rPr>
          <w:rFonts w:ascii="仿宋_GB2312" w:eastAsia="仿宋_GB2312" w:hint="eastAsia"/>
          <w:sz w:val="28"/>
          <w:szCs w:val="28"/>
        </w:rPr>
        <w:t>万元，2024年度决算</w:t>
      </w:r>
      <w:r w:rsidR="00EE6641" w:rsidRPr="00303054">
        <w:rPr>
          <w:rFonts w:ascii="仿宋_GB2312" w:eastAsia="仿宋_GB2312"/>
          <w:sz w:val="28"/>
          <w:szCs w:val="28"/>
        </w:rPr>
        <w:t>1797.76</w:t>
      </w:r>
      <w:r w:rsidR="00EE6641" w:rsidRPr="00303054">
        <w:rPr>
          <w:rFonts w:ascii="仿宋_GB2312" w:eastAsia="仿宋_GB2312" w:hint="eastAsia"/>
          <w:sz w:val="28"/>
          <w:szCs w:val="28"/>
        </w:rPr>
        <w:t>万元，完成年初预算的</w:t>
      </w:r>
      <w:r w:rsidR="00EE6641" w:rsidRPr="00303054">
        <w:rPr>
          <w:rFonts w:ascii="仿宋_GB2312" w:eastAsia="仿宋_GB2312" w:hint="eastAsia"/>
          <w:sz w:val="28"/>
          <w:szCs w:val="28"/>
        </w:rPr>
        <w:t>105.48</w:t>
      </w:r>
      <w:r w:rsidR="00EE6641" w:rsidRPr="00303054">
        <w:rPr>
          <w:rFonts w:ascii="仿宋_GB2312" w:eastAsia="仿宋_GB2312" w:hint="eastAsia"/>
          <w:sz w:val="28"/>
          <w:szCs w:val="28"/>
        </w:rPr>
        <w:t>%。其中：</w:t>
      </w:r>
    </w:p>
    <w:p w:rsidR="00B93581" w:rsidRPr="00303054" w:rsidRDefault="00856749">
      <w:pPr>
        <w:spacing w:line="580" w:lineRule="exact"/>
        <w:ind w:firstLineChars="200" w:firstLine="560"/>
        <w:rPr>
          <w:rFonts w:ascii="仿宋_GB2312" w:eastAsia="仿宋_GB2312"/>
          <w:sz w:val="28"/>
          <w:szCs w:val="28"/>
        </w:rPr>
      </w:pPr>
      <w:r w:rsidRPr="00303054">
        <w:rPr>
          <w:rFonts w:ascii="仿宋_GB2312" w:eastAsia="仿宋_GB2312" w:hint="eastAsia"/>
          <w:sz w:val="28"/>
          <w:szCs w:val="28"/>
        </w:rPr>
        <w:t>“普通教育”（款）</w:t>
      </w:r>
      <w:r w:rsidR="00EE6641" w:rsidRPr="00303054">
        <w:rPr>
          <w:rFonts w:ascii="仿宋_GB2312" w:eastAsia="仿宋_GB2312" w:hint="eastAsia"/>
          <w:sz w:val="28"/>
          <w:szCs w:val="28"/>
        </w:rPr>
        <w:t>2024年度年初预算</w:t>
      </w:r>
      <w:r w:rsidR="00EE6641" w:rsidRPr="00303054">
        <w:rPr>
          <w:rFonts w:ascii="仿宋_GB2312" w:eastAsia="仿宋_GB2312"/>
          <w:sz w:val="28"/>
          <w:szCs w:val="28"/>
        </w:rPr>
        <w:t>1704.43</w:t>
      </w:r>
      <w:r w:rsidR="00EE6641" w:rsidRPr="00303054">
        <w:rPr>
          <w:rFonts w:ascii="仿宋_GB2312" w:eastAsia="仿宋_GB2312" w:hint="eastAsia"/>
          <w:sz w:val="28"/>
          <w:szCs w:val="28"/>
        </w:rPr>
        <w:t>万元，2024年度决算</w:t>
      </w:r>
      <w:r w:rsidR="00EE6641" w:rsidRPr="00303054">
        <w:rPr>
          <w:rFonts w:ascii="仿宋_GB2312" w:eastAsia="仿宋_GB2312"/>
          <w:sz w:val="28"/>
          <w:szCs w:val="28"/>
        </w:rPr>
        <w:t>1797.76</w:t>
      </w:r>
      <w:r w:rsidR="00EE6641" w:rsidRPr="00303054">
        <w:rPr>
          <w:rFonts w:ascii="仿宋_GB2312" w:eastAsia="仿宋_GB2312" w:hint="eastAsia"/>
          <w:sz w:val="28"/>
          <w:szCs w:val="28"/>
        </w:rPr>
        <w:t>万元，完成年初预算的</w:t>
      </w:r>
      <w:r w:rsidR="00EE6641" w:rsidRPr="00303054">
        <w:rPr>
          <w:rFonts w:ascii="仿宋_GB2312" w:eastAsia="仿宋_GB2312"/>
          <w:sz w:val="28"/>
          <w:szCs w:val="28"/>
        </w:rPr>
        <w:t>105.48</w:t>
      </w:r>
      <w:r w:rsidR="00EE6641" w:rsidRPr="00303054">
        <w:rPr>
          <w:rFonts w:ascii="仿宋_GB2312" w:eastAsia="仿宋_GB2312" w:hint="eastAsia"/>
          <w:sz w:val="28"/>
          <w:szCs w:val="28"/>
        </w:rPr>
        <w:t>%。主要原因：</w:t>
      </w:r>
      <w:r w:rsidRPr="00303054">
        <w:rPr>
          <w:rFonts w:ascii="仿宋_GB2312" w:eastAsia="仿宋_GB2312" w:hint="eastAsia"/>
          <w:sz w:val="28"/>
          <w:szCs w:val="28"/>
        </w:rPr>
        <w:t xml:space="preserve">人员调入工资增加40.84万元,追加屋面维修工程31.67万元，追加手拉手项目20万元。 </w:t>
      </w:r>
    </w:p>
    <w:p w:rsidR="00B93581" w:rsidRPr="00303054" w:rsidRDefault="00856749">
      <w:pPr>
        <w:spacing w:line="580" w:lineRule="exact"/>
        <w:ind w:firstLineChars="200" w:firstLine="560"/>
        <w:rPr>
          <w:rFonts w:ascii="仿宋_GB2312" w:eastAsia="仿宋_GB2312"/>
          <w:sz w:val="28"/>
          <w:szCs w:val="28"/>
        </w:rPr>
      </w:pPr>
      <w:r w:rsidRPr="00303054">
        <w:rPr>
          <w:rFonts w:ascii="仿宋_GB2312" w:eastAsia="仿宋_GB2312" w:hint="eastAsia"/>
          <w:sz w:val="28"/>
          <w:szCs w:val="28"/>
        </w:rPr>
        <w:t>2.“社会保障和就业支出”（类）</w:t>
      </w:r>
      <w:r w:rsidR="00EE6641" w:rsidRPr="00303054">
        <w:rPr>
          <w:rFonts w:ascii="仿宋_GB2312" w:eastAsia="仿宋_GB2312" w:hint="eastAsia"/>
          <w:sz w:val="28"/>
          <w:szCs w:val="28"/>
        </w:rPr>
        <w:t>2024年度年初预算215.39万元，2024年度决算</w:t>
      </w:r>
      <w:r w:rsidR="00EE6641" w:rsidRPr="00303054">
        <w:rPr>
          <w:rFonts w:ascii="仿宋_GB2312" w:eastAsia="仿宋_GB2312"/>
          <w:sz w:val="28"/>
          <w:szCs w:val="28"/>
        </w:rPr>
        <w:t>217.50</w:t>
      </w:r>
      <w:r w:rsidR="00EE6641" w:rsidRPr="00303054">
        <w:rPr>
          <w:rFonts w:ascii="仿宋_GB2312" w:eastAsia="仿宋_GB2312" w:hint="eastAsia"/>
          <w:sz w:val="28"/>
          <w:szCs w:val="28"/>
        </w:rPr>
        <w:t>万元，完成年初预算的</w:t>
      </w:r>
      <w:r w:rsidR="00303054" w:rsidRPr="00303054">
        <w:rPr>
          <w:rFonts w:ascii="仿宋_GB2312" w:eastAsia="仿宋_GB2312" w:hint="eastAsia"/>
          <w:sz w:val="28"/>
          <w:szCs w:val="28"/>
        </w:rPr>
        <w:t>100</w:t>
      </w:r>
      <w:r w:rsidR="00EE6641" w:rsidRPr="00303054">
        <w:rPr>
          <w:rFonts w:ascii="仿宋_GB2312" w:eastAsia="仿宋_GB2312" w:hint="eastAsia"/>
          <w:sz w:val="28"/>
          <w:szCs w:val="28"/>
        </w:rPr>
        <w:t>.</w:t>
      </w:r>
      <w:r w:rsidR="00303054" w:rsidRPr="00303054">
        <w:rPr>
          <w:rFonts w:ascii="仿宋_GB2312" w:eastAsia="仿宋_GB2312" w:hint="eastAsia"/>
          <w:sz w:val="28"/>
          <w:szCs w:val="28"/>
        </w:rPr>
        <w:t>98</w:t>
      </w:r>
      <w:r w:rsidR="00EE6641" w:rsidRPr="00303054">
        <w:rPr>
          <w:rFonts w:ascii="仿宋_GB2312" w:eastAsia="仿宋_GB2312" w:hint="eastAsia"/>
          <w:sz w:val="28"/>
          <w:szCs w:val="28"/>
        </w:rPr>
        <w:t>%。其中：</w:t>
      </w:r>
    </w:p>
    <w:p w:rsidR="00B93581" w:rsidRPr="00303054" w:rsidRDefault="00856749">
      <w:pPr>
        <w:spacing w:line="580" w:lineRule="exact"/>
        <w:ind w:firstLineChars="200" w:firstLine="560"/>
        <w:rPr>
          <w:rFonts w:ascii="仿宋_GB2312" w:eastAsia="仿宋_GB2312"/>
          <w:sz w:val="28"/>
          <w:szCs w:val="28"/>
        </w:rPr>
      </w:pPr>
      <w:r w:rsidRPr="00303054">
        <w:rPr>
          <w:rFonts w:ascii="仿宋_GB2312" w:eastAsia="仿宋_GB2312" w:hint="eastAsia"/>
          <w:sz w:val="28"/>
          <w:szCs w:val="28"/>
        </w:rPr>
        <w:t>“行政事业单位养老支出”（款）</w:t>
      </w:r>
      <w:r w:rsidR="00EE6641" w:rsidRPr="00303054">
        <w:rPr>
          <w:rFonts w:ascii="仿宋_GB2312" w:eastAsia="仿宋_GB2312" w:hint="eastAsia"/>
          <w:sz w:val="28"/>
          <w:szCs w:val="28"/>
        </w:rPr>
        <w:t>2024年度年初预算215.39万元，2024年度决算</w:t>
      </w:r>
      <w:r w:rsidR="00EE6641" w:rsidRPr="00303054">
        <w:rPr>
          <w:rFonts w:ascii="仿宋_GB2312" w:eastAsia="仿宋_GB2312"/>
          <w:sz w:val="28"/>
          <w:szCs w:val="28"/>
        </w:rPr>
        <w:t>217.50</w:t>
      </w:r>
      <w:r w:rsidR="00EE6641" w:rsidRPr="00303054">
        <w:rPr>
          <w:rFonts w:ascii="仿宋_GB2312" w:eastAsia="仿宋_GB2312" w:hint="eastAsia"/>
          <w:sz w:val="28"/>
          <w:szCs w:val="28"/>
        </w:rPr>
        <w:t>万元，完成年初预算的</w:t>
      </w:r>
      <w:r w:rsidR="00303054" w:rsidRPr="00303054">
        <w:rPr>
          <w:rFonts w:ascii="仿宋_GB2312" w:eastAsia="仿宋_GB2312" w:hint="eastAsia"/>
          <w:sz w:val="28"/>
          <w:szCs w:val="28"/>
        </w:rPr>
        <w:t>100.98</w:t>
      </w:r>
      <w:r w:rsidR="00EE6641" w:rsidRPr="00303054">
        <w:rPr>
          <w:rFonts w:ascii="仿宋_GB2312" w:eastAsia="仿宋_GB2312" w:hint="eastAsia"/>
          <w:sz w:val="28"/>
          <w:szCs w:val="28"/>
        </w:rPr>
        <w:t>%</w:t>
      </w:r>
      <w:r w:rsidR="00303054" w:rsidRPr="00303054">
        <w:rPr>
          <w:rFonts w:ascii="仿宋_GB2312" w:eastAsia="仿宋_GB2312" w:hint="eastAsia"/>
          <w:sz w:val="28"/>
          <w:szCs w:val="28"/>
        </w:rPr>
        <w:t>。主要原因</w:t>
      </w:r>
      <w:r w:rsidRPr="00303054">
        <w:rPr>
          <w:rFonts w:ascii="仿宋_GB2312" w:eastAsia="仿宋_GB2312" w:hint="eastAsia"/>
          <w:sz w:val="28"/>
          <w:szCs w:val="28"/>
        </w:rPr>
        <w:t>：人员调入</w:t>
      </w:r>
      <w:bookmarkStart w:id="0" w:name="_GoBack"/>
      <w:bookmarkEnd w:id="0"/>
      <w:r w:rsidRPr="00303054">
        <w:rPr>
          <w:rFonts w:ascii="仿宋_GB2312" w:eastAsia="仿宋_GB2312" w:hint="eastAsia"/>
          <w:sz w:val="28"/>
          <w:szCs w:val="28"/>
        </w:rPr>
        <w:t>增加的社保费支出；</w:t>
      </w:r>
    </w:p>
    <w:p w:rsidR="00B93581" w:rsidRPr="00303054" w:rsidRDefault="00856749">
      <w:pPr>
        <w:spacing w:line="580" w:lineRule="exact"/>
        <w:ind w:firstLineChars="200" w:firstLine="560"/>
        <w:rPr>
          <w:rFonts w:ascii="仿宋_GB2312" w:eastAsia="仿宋_GB2312"/>
          <w:sz w:val="28"/>
          <w:szCs w:val="28"/>
        </w:rPr>
      </w:pPr>
      <w:r w:rsidRPr="00303054">
        <w:rPr>
          <w:rFonts w:ascii="仿宋_GB2312" w:eastAsia="仿宋_GB2312" w:hint="eastAsia"/>
          <w:sz w:val="28"/>
          <w:szCs w:val="28"/>
        </w:rPr>
        <w:t>3.“卫生健康支出”（类）</w:t>
      </w:r>
      <w:r w:rsidR="00EE6641" w:rsidRPr="00303054">
        <w:rPr>
          <w:rFonts w:ascii="仿宋_GB2312" w:eastAsia="仿宋_GB2312" w:hint="eastAsia"/>
          <w:sz w:val="28"/>
          <w:szCs w:val="28"/>
        </w:rPr>
        <w:t>2024年度年初预算</w:t>
      </w:r>
      <w:r w:rsidR="00303054" w:rsidRPr="00303054">
        <w:rPr>
          <w:rFonts w:ascii="仿宋_GB2312" w:eastAsia="仿宋_GB2312" w:hint="eastAsia"/>
          <w:sz w:val="28"/>
          <w:szCs w:val="28"/>
        </w:rPr>
        <w:t>115.14</w:t>
      </w:r>
      <w:r w:rsidR="00EE6641" w:rsidRPr="00303054">
        <w:rPr>
          <w:rFonts w:ascii="仿宋_GB2312" w:eastAsia="仿宋_GB2312" w:hint="eastAsia"/>
          <w:sz w:val="28"/>
          <w:szCs w:val="28"/>
        </w:rPr>
        <w:t>万元，2024年度决算</w:t>
      </w:r>
      <w:r w:rsidR="00303054" w:rsidRPr="00303054">
        <w:rPr>
          <w:rFonts w:ascii="仿宋_GB2312" w:eastAsia="仿宋_GB2312"/>
          <w:sz w:val="28"/>
          <w:szCs w:val="28"/>
        </w:rPr>
        <w:t>117.09</w:t>
      </w:r>
      <w:r w:rsidR="00EE6641" w:rsidRPr="00303054">
        <w:rPr>
          <w:rFonts w:ascii="仿宋_GB2312" w:eastAsia="仿宋_GB2312" w:hint="eastAsia"/>
          <w:sz w:val="28"/>
          <w:szCs w:val="28"/>
        </w:rPr>
        <w:t>万元，完成年初预算的</w:t>
      </w:r>
      <w:r w:rsidR="00303054" w:rsidRPr="00303054">
        <w:rPr>
          <w:rFonts w:ascii="仿宋_GB2312" w:eastAsia="仿宋_GB2312" w:hint="eastAsia"/>
          <w:sz w:val="28"/>
          <w:szCs w:val="28"/>
        </w:rPr>
        <w:t>101.69</w:t>
      </w:r>
      <w:r w:rsidR="00EE6641" w:rsidRPr="00303054">
        <w:rPr>
          <w:rFonts w:ascii="仿宋_GB2312" w:eastAsia="仿宋_GB2312" w:hint="eastAsia"/>
          <w:sz w:val="28"/>
          <w:szCs w:val="28"/>
        </w:rPr>
        <w:t>%。其中：</w:t>
      </w:r>
    </w:p>
    <w:p w:rsidR="00B93581" w:rsidRPr="00303054" w:rsidRDefault="00856749">
      <w:pPr>
        <w:spacing w:line="580" w:lineRule="exact"/>
        <w:ind w:firstLineChars="200" w:firstLine="560"/>
        <w:rPr>
          <w:rFonts w:ascii="仿宋_GB2312" w:eastAsia="仿宋_GB2312"/>
          <w:sz w:val="28"/>
          <w:szCs w:val="28"/>
        </w:rPr>
      </w:pPr>
      <w:r w:rsidRPr="00303054">
        <w:rPr>
          <w:rFonts w:ascii="仿宋_GB2312" w:eastAsia="仿宋_GB2312" w:hint="eastAsia"/>
          <w:sz w:val="28"/>
          <w:szCs w:val="28"/>
        </w:rPr>
        <w:t>“行政事业单位医疗”（款）</w:t>
      </w:r>
      <w:r w:rsidR="00EE6641" w:rsidRPr="00303054">
        <w:rPr>
          <w:rFonts w:ascii="仿宋_GB2312" w:eastAsia="仿宋_GB2312" w:hint="eastAsia"/>
          <w:sz w:val="28"/>
          <w:szCs w:val="28"/>
        </w:rPr>
        <w:t>2024年度年初预算</w:t>
      </w:r>
      <w:r w:rsidR="00303054" w:rsidRPr="00303054">
        <w:rPr>
          <w:rFonts w:ascii="仿宋_GB2312" w:eastAsia="仿宋_GB2312" w:hint="eastAsia"/>
          <w:sz w:val="28"/>
          <w:szCs w:val="28"/>
        </w:rPr>
        <w:t>115.14</w:t>
      </w:r>
      <w:r w:rsidR="00EE6641" w:rsidRPr="00303054">
        <w:rPr>
          <w:rFonts w:ascii="仿宋_GB2312" w:eastAsia="仿宋_GB2312" w:hint="eastAsia"/>
          <w:sz w:val="28"/>
          <w:szCs w:val="28"/>
        </w:rPr>
        <w:t>万元，2024年度决算</w:t>
      </w:r>
      <w:r w:rsidR="00303054" w:rsidRPr="00303054">
        <w:rPr>
          <w:rFonts w:ascii="仿宋_GB2312" w:eastAsia="仿宋_GB2312"/>
          <w:sz w:val="28"/>
          <w:szCs w:val="28"/>
        </w:rPr>
        <w:t>117.09</w:t>
      </w:r>
      <w:r w:rsidR="00EE6641" w:rsidRPr="00303054">
        <w:rPr>
          <w:rFonts w:ascii="仿宋_GB2312" w:eastAsia="仿宋_GB2312" w:hint="eastAsia"/>
          <w:sz w:val="28"/>
          <w:szCs w:val="28"/>
        </w:rPr>
        <w:t>万元，完成年初预算的</w:t>
      </w:r>
      <w:r w:rsidR="00303054" w:rsidRPr="00303054">
        <w:rPr>
          <w:rFonts w:ascii="仿宋_GB2312" w:eastAsia="仿宋_GB2312" w:hint="eastAsia"/>
          <w:sz w:val="28"/>
          <w:szCs w:val="28"/>
        </w:rPr>
        <w:t>101.69</w:t>
      </w:r>
      <w:r w:rsidR="00EE6641" w:rsidRPr="00303054">
        <w:rPr>
          <w:rFonts w:ascii="仿宋_GB2312" w:eastAsia="仿宋_GB2312" w:hint="eastAsia"/>
          <w:sz w:val="28"/>
          <w:szCs w:val="28"/>
        </w:rPr>
        <w:t>%</w:t>
      </w:r>
      <w:r w:rsidR="00303054" w:rsidRPr="00303054">
        <w:rPr>
          <w:rFonts w:ascii="仿宋_GB2312" w:eastAsia="仿宋_GB2312" w:hint="eastAsia"/>
          <w:sz w:val="28"/>
          <w:szCs w:val="28"/>
        </w:rPr>
        <w:t>。主要原因</w:t>
      </w:r>
      <w:r w:rsidRPr="00303054">
        <w:rPr>
          <w:rFonts w:ascii="仿宋_GB2312" w:eastAsia="仿宋_GB2312" w:hint="eastAsia"/>
          <w:sz w:val="28"/>
          <w:szCs w:val="28"/>
        </w:rPr>
        <w:t>：人员调入增加的社保费支出。</w:t>
      </w:r>
    </w:p>
    <w:p w:rsidR="00303054" w:rsidRPr="00303054" w:rsidRDefault="00856749">
      <w:pPr>
        <w:spacing w:line="580" w:lineRule="exact"/>
        <w:ind w:firstLineChars="200" w:firstLine="560"/>
        <w:rPr>
          <w:rFonts w:ascii="仿宋_GB2312" w:eastAsia="仿宋_GB2312" w:hint="eastAsia"/>
          <w:sz w:val="28"/>
          <w:szCs w:val="28"/>
        </w:rPr>
      </w:pPr>
      <w:r w:rsidRPr="00303054">
        <w:rPr>
          <w:rFonts w:ascii="仿宋_GB2312" w:eastAsia="仿宋_GB2312" w:hint="eastAsia"/>
          <w:sz w:val="28"/>
          <w:szCs w:val="28"/>
        </w:rPr>
        <w:t>4.“住房保障支出”（类）</w:t>
      </w:r>
      <w:r w:rsidR="00EE6641" w:rsidRPr="00303054">
        <w:rPr>
          <w:rFonts w:ascii="仿宋_GB2312" w:eastAsia="仿宋_GB2312" w:hint="eastAsia"/>
          <w:sz w:val="28"/>
          <w:szCs w:val="28"/>
        </w:rPr>
        <w:t>2024年度年初预算</w:t>
      </w:r>
      <w:r w:rsidR="00303054" w:rsidRPr="00303054">
        <w:rPr>
          <w:rFonts w:ascii="仿宋_GB2312" w:eastAsia="仿宋_GB2312" w:hint="eastAsia"/>
          <w:sz w:val="28"/>
          <w:szCs w:val="28"/>
        </w:rPr>
        <w:t>0.00</w:t>
      </w:r>
      <w:r w:rsidR="00EE6641" w:rsidRPr="00303054">
        <w:rPr>
          <w:rFonts w:ascii="仿宋_GB2312" w:eastAsia="仿宋_GB2312" w:hint="eastAsia"/>
          <w:sz w:val="28"/>
          <w:szCs w:val="28"/>
        </w:rPr>
        <w:t>万元，2024年度决算</w:t>
      </w:r>
      <w:r w:rsidR="00303054" w:rsidRPr="00303054">
        <w:rPr>
          <w:rFonts w:ascii="仿宋_GB2312" w:eastAsia="仿宋_GB2312" w:hint="eastAsia"/>
          <w:sz w:val="28"/>
          <w:szCs w:val="28"/>
        </w:rPr>
        <w:t>83.6</w:t>
      </w:r>
      <w:r w:rsidR="00303054" w:rsidRPr="00303054">
        <w:rPr>
          <w:rFonts w:ascii="仿宋_GB2312" w:eastAsia="仿宋_GB2312" w:hint="eastAsia"/>
          <w:sz w:val="28"/>
          <w:szCs w:val="28"/>
        </w:rPr>
        <w:t>0</w:t>
      </w:r>
      <w:r w:rsidR="00EE6641" w:rsidRPr="00303054">
        <w:rPr>
          <w:rFonts w:ascii="仿宋_GB2312" w:eastAsia="仿宋_GB2312" w:hint="eastAsia"/>
          <w:sz w:val="28"/>
          <w:szCs w:val="28"/>
        </w:rPr>
        <w:t>万元。其中：</w:t>
      </w:r>
    </w:p>
    <w:p w:rsidR="00B93581" w:rsidRDefault="00856749">
      <w:pPr>
        <w:spacing w:line="580" w:lineRule="exact"/>
        <w:ind w:firstLineChars="200" w:firstLine="560"/>
        <w:rPr>
          <w:rFonts w:ascii="仿宋_GB2312" w:eastAsia="仿宋_GB2312"/>
          <w:sz w:val="28"/>
          <w:szCs w:val="28"/>
        </w:rPr>
      </w:pPr>
      <w:r w:rsidRPr="00303054">
        <w:rPr>
          <w:rFonts w:ascii="仿宋_GB2312" w:eastAsia="仿宋_GB2312" w:hint="eastAsia"/>
          <w:sz w:val="28"/>
          <w:szCs w:val="28"/>
        </w:rPr>
        <w:t>“住房改革支出”（款）</w:t>
      </w:r>
      <w:r w:rsidR="00EE6641" w:rsidRPr="00303054">
        <w:rPr>
          <w:rFonts w:ascii="仿宋_GB2312" w:eastAsia="仿宋_GB2312" w:hint="eastAsia"/>
          <w:sz w:val="28"/>
          <w:szCs w:val="28"/>
        </w:rPr>
        <w:t>2024年度年初预算</w:t>
      </w:r>
      <w:r w:rsidR="00303054" w:rsidRPr="00303054">
        <w:rPr>
          <w:rFonts w:ascii="仿宋_GB2312" w:eastAsia="仿宋_GB2312" w:hint="eastAsia"/>
          <w:sz w:val="28"/>
          <w:szCs w:val="28"/>
        </w:rPr>
        <w:t>0.00</w:t>
      </w:r>
      <w:r w:rsidR="00EE6641" w:rsidRPr="00303054">
        <w:rPr>
          <w:rFonts w:ascii="仿宋_GB2312" w:eastAsia="仿宋_GB2312" w:hint="eastAsia"/>
          <w:sz w:val="28"/>
          <w:szCs w:val="28"/>
        </w:rPr>
        <w:t>万元，2024年度决算</w:t>
      </w:r>
      <w:r w:rsidR="00303054" w:rsidRPr="00303054">
        <w:rPr>
          <w:rFonts w:ascii="仿宋_GB2312" w:eastAsia="仿宋_GB2312" w:hint="eastAsia"/>
          <w:sz w:val="28"/>
          <w:szCs w:val="28"/>
        </w:rPr>
        <w:t>83.60</w:t>
      </w:r>
      <w:r w:rsidR="00303054" w:rsidRPr="00303054">
        <w:rPr>
          <w:rFonts w:ascii="仿宋_GB2312" w:eastAsia="仿宋_GB2312" w:hint="eastAsia"/>
          <w:sz w:val="28"/>
          <w:szCs w:val="28"/>
        </w:rPr>
        <w:t>万元。主要原因</w:t>
      </w:r>
      <w:r w:rsidRPr="00303054">
        <w:rPr>
          <w:rFonts w:ascii="仿宋_GB2312" w:eastAsia="仿宋_GB2312" w:hint="eastAsia"/>
          <w:sz w:val="28"/>
          <w:szCs w:val="28"/>
        </w:rPr>
        <w:t>：全部为追加的第四</w:t>
      </w:r>
      <w:r w:rsidRPr="00303054">
        <w:rPr>
          <w:rFonts w:ascii="仿宋_GB2312" w:eastAsia="仿宋_GB2312" w:hint="eastAsia"/>
          <w:sz w:val="28"/>
          <w:szCs w:val="28"/>
        </w:rPr>
        <w:lastRenderedPageBreak/>
        <w:t>批住房补贴。</w:t>
      </w:r>
    </w:p>
    <w:p w:rsidR="00B93581" w:rsidRDefault="00856749">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B93581" w:rsidRDefault="00856749">
      <w:pPr>
        <w:spacing w:line="580" w:lineRule="exact"/>
        <w:ind w:firstLineChars="200" w:firstLine="560"/>
        <w:rPr>
          <w:rFonts w:ascii="仿宋_GB2312" w:eastAsia="仿宋_GB2312"/>
          <w:sz w:val="28"/>
          <w:szCs w:val="28"/>
        </w:rPr>
      </w:pPr>
      <w:r>
        <w:rPr>
          <w:rFonts w:ascii="仿宋_GB2312" w:eastAsia="仿宋_GB2312" w:hint="eastAsia"/>
          <w:sz w:val="28"/>
          <w:szCs w:val="28"/>
        </w:rPr>
        <w:t>本单位2024年度无政府性基金预算财政拨款安排的支出。</w:t>
      </w:r>
    </w:p>
    <w:p w:rsidR="00B93581" w:rsidRDefault="00856749">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B93581" w:rsidRDefault="00856749">
      <w:pPr>
        <w:ind w:firstLineChars="192" w:firstLine="538"/>
        <w:rPr>
          <w:rFonts w:ascii="仿宋_GB2312" w:eastAsia="仿宋_GB2312"/>
          <w:sz w:val="28"/>
          <w:szCs w:val="28"/>
        </w:rPr>
      </w:pPr>
      <w:r>
        <w:rPr>
          <w:rFonts w:ascii="仿宋_GB2312" w:eastAsia="仿宋_GB2312" w:hint="eastAsia"/>
          <w:sz w:val="28"/>
          <w:szCs w:val="28"/>
        </w:rPr>
        <w:t>本单位2024年度无国有资本经营预算财政拨款安排的支出。</w:t>
      </w:r>
    </w:p>
    <w:p w:rsidR="00B93581" w:rsidRDefault="00856749">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B93581" w:rsidRDefault="00856749">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1690.84</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w:t>
      </w:r>
      <w:r w:rsidR="00EE6641" w:rsidRPr="00EE6641">
        <w:rPr>
          <w:rFonts w:ascii="仿宋_GB2312" w:eastAsia="仿宋_GB2312" w:hint="eastAsia"/>
          <w:sz w:val="28"/>
          <w:szCs w:val="28"/>
        </w:rPr>
        <w:t>（1）工资福利支出包括基本工资、津贴补贴、奖金、伙食补助费、绩效工资、其他社会保障缴费、其他工资福利等支出；（2）商品和服务支出包括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等支出；（3）对个人和家庭补助支出包括离休费、退休费、抚恤金、生活补助、救济费、医疗费补助、助学金、奖励金、其他对个人和家庭的补助等支出。（4）其他资本性支出包括办公设备购置、专用设备购置等。</w:t>
      </w:r>
    </w:p>
    <w:p w:rsidR="00B93581" w:rsidRDefault="00856749">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rsidR="00B93581" w:rsidRDefault="00856749">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rsidR="00B93581" w:rsidRDefault="00856749">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B93581" w:rsidRDefault="00856749">
      <w:pPr>
        <w:spacing w:line="560" w:lineRule="exact"/>
        <w:ind w:firstLine="600"/>
        <w:rPr>
          <w:rFonts w:ascii="仿宋_GB2312" w:eastAsia="仿宋_GB2312"/>
          <w:sz w:val="28"/>
          <w:szCs w:val="28"/>
        </w:rPr>
      </w:pPr>
      <w:r>
        <w:rPr>
          <w:rFonts w:ascii="仿宋_GB2312" w:eastAsia="仿宋_GB2312" w:hint="eastAsia"/>
          <w:sz w:val="28"/>
          <w:szCs w:val="28"/>
        </w:rPr>
        <w:lastRenderedPageBreak/>
        <w:t>2024年度“三公”经费财政拨款决算数</w:t>
      </w:r>
      <w:r>
        <w:rPr>
          <w:rFonts w:ascii="仿宋_GB2312" w:eastAsia="仿宋_GB2312"/>
          <w:sz w:val="28"/>
          <w:szCs w:val="28"/>
        </w:rPr>
        <w:t>3.6</w:t>
      </w:r>
      <w:r>
        <w:rPr>
          <w:rFonts w:ascii="仿宋_GB2312" w:eastAsia="仿宋_GB2312" w:hint="eastAsia"/>
          <w:sz w:val="28"/>
          <w:szCs w:val="28"/>
        </w:rPr>
        <w:t>万元，比2024年度“三公”经费财政拨款年初预算</w:t>
      </w:r>
      <w:r>
        <w:rPr>
          <w:rFonts w:ascii="仿宋_GB2312" w:eastAsia="仿宋_GB2312"/>
          <w:sz w:val="28"/>
          <w:szCs w:val="28"/>
        </w:rPr>
        <w:t>5.41</w:t>
      </w:r>
      <w:r>
        <w:rPr>
          <w:rFonts w:ascii="仿宋_GB2312" w:eastAsia="仿宋_GB2312" w:hint="eastAsia"/>
          <w:sz w:val="28"/>
          <w:szCs w:val="28"/>
        </w:rPr>
        <w:t>万元减少1.81万元。其中：</w:t>
      </w:r>
    </w:p>
    <w:p w:rsidR="00B93581" w:rsidRDefault="00856749">
      <w:pPr>
        <w:spacing w:line="560" w:lineRule="exact"/>
        <w:ind w:firstLine="600"/>
        <w:rPr>
          <w:rFonts w:ascii="仿宋_GB2312" w:eastAsia="仿宋_GB2312"/>
          <w:sz w:val="28"/>
          <w:szCs w:val="28"/>
        </w:rPr>
      </w:pPr>
      <w:r>
        <w:rPr>
          <w:rFonts w:ascii="仿宋_GB2312" w:eastAsia="仿宋_GB2312" w:hint="eastAsia"/>
          <w:sz w:val="28"/>
          <w:szCs w:val="28"/>
        </w:rPr>
        <w:t>1.因公出国（境）费用。2024年度决算数0.00万元，比2024年度年初预算数0.00万元增加0.00万元。主要原因：：因公出国(境)费用根据年度出国审批情况作为追加项目管理，单位不做年初预算，本年也没有出国审批项目发生；2024年度因公出国（境）费用主要用于出国的会议、培训等事项，2024年度组织因公出国（境）团组0个、0人次。</w:t>
      </w:r>
    </w:p>
    <w:p w:rsidR="00B93581" w:rsidRDefault="00856749">
      <w:pPr>
        <w:spacing w:line="560" w:lineRule="exact"/>
        <w:ind w:firstLine="600"/>
        <w:rPr>
          <w:rFonts w:ascii="仿宋_GB2312" w:eastAsia="仿宋_GB2312"/>
          <w:sz w:val="28"/>
          <w:szCs w:val="28"/>
        </w:rPr>
      </w:pPr>
      <w:r>
        <w:rPr>
          <w:rFonts w:ascii="仿宋_GB2312" w:eastAsia="仿宋_GB2312" w:hint="eastAsia"/>
          <w:sz w:val="28"/>
          <w:szCs w:val="28"/>
        </w:rPr>
        <w:t>2.公务接待费。2024年度决算数0.00万元，比2024年度年初预算数0.01万元减少0.01万元。主要原因：本单位无公务接待发生。2024年度公务接待0批次，公务接待0人次。</w:t>
      </w:r>
    </w:p>
    <w:p w:rsidR="00B93581" w:rsidRDefault="00856749">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3.60万元，比2024年度年初预算数5.40万元减少1.80万元。其中，公务用车购置费2024年度决算数0.00万元，主要原因：本单位无公务车购置，2024年度购置（更新）0辆。公务用车运行维护费2024年度决算数3.60万元，比2024年度年初预算数5.40万元减少1.80万元，主要原因：厉行节约，节能减排，减少公务用车使用频率。2024年度公务用车保有量</w:t>
      </w:r>
      <w:r>
        <w:rPr>
          <w:rFonts w:ascii="仿宋_GB2312" w:eastAsia="仿宋_GB2312"/>
          <w:sz w:val="28"/>
          <w:szCs w:val="28"/>
        </w:rPr>
        <w:t>3</w:t>
      </w:r>
      <w:r>
        <w:rPr>
          <w:rFonts w:ascii="仿宋_GB2312" w:eastAsia="仿宋_GB2312" w:hint="eastAsia"/>
          <w:sz w:val="28"/>
          <w:szCs w:val="28"/>
        </w:rPr>
        <w:t>辆。</w:t>
      </w:r>
    </w:p>
    <w:p w:rsidR="00B93581" w:rsidRDefault="00856749">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B93581" w:rsidRDefault="00856749">
      <w:pPr>
        <w:ind w:firstLineChars="192" w:firstLine="538"/>
        <w:rPr>
          <w:rFonts w:ascii="仿宋_GB2312" w:eastAsia="仿宋_GB2312"/>
          <w:sz w:val="28"/>
          <w:szCs w:val="28"/>
        </w:rPr>
      </w:pPr>
      <w:r>
        <w:rPr>
          <w:rFonts w:ascii="仿宋_GB2312" w:eastAsia="仿宋_GB2312" w:hint="eastAsia"/>
          <w:sz w:val="28"/>
          <w:szCs w:val="28"/>
        </w:rPr>
        <w:t>本单位不在机关运行经费统计范围之内。</w:t>
      </w:r>
    </w:p>
    <w:p w:rsidR="00B93581" w:rsidRDefault="00856749">
      <w:pPr>
        <w:ind w:left="540"/>
        <w:rPr>
          <w:rFonts w:ascii="黑体" w:eastAsia="黑体"/>
          <w:sz w:val="28"/>
          <w:szCs w:val="28"/>
        </w:rPr>
      </w:pPr>
      <w:r>
        <w:rPr>
          <w:rFonts w:ascii="黑体" w:eastAsia="黑体" w:hint="eastAsia"/>
          <w:sz w:val="28"/>
          <w:szCs w:val="28"/>
        </w:rPr>
        <w:t>三、政府采购支出情况</w:t>
      </w:r>
    </w:p>
    <w:p w:rsidR="00B93581" w:rsidRDefault="00856749">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62.14</w:t>
      </w:r>
      <w:r>
        <w:rPr>
          <w:rFonts w:ascii="仿宋_GB2312" w:eastAsia="仿宋_GB2312" w:hint="eastAsia"/>
          <w:sz w:val="28"/>
          <w:szCs w:val="28"/>
        </w:rPr>
        <w:t>万元，其中：政府采购货物支出1.02万元，政府采购工程支出0.00万元，政府采购服务支出61.12万元。授予中小企业合同金额</w:t>
      </w:r>
      <w:r>
        <w:rPr>
          <w:rFonts w:ascii="仿宋_GB2312" w:eastAsia="仿宋_GB2312"/>
          <w:sz w:val="28"/>
          <w:szCs w:val="28"/>
        </w:rPr>
        <w:t>61.73</w:t>
      </w:r>
      <w:r>
        <w:rPr>
          <w:rFonts w:ascii="仿宋_GB2312" w:eastAsia="仿宋_GB2312" w:hint="eastAsia"/>
          <w:sz w:val="28"/>
          <w:szCs w:val="28"/>
        </w:rPr>
        <w:t>万元，占政府采购支出总额的99.34%，其中：授予小微企业合</w:t>
      </w:r>
      <w:r>
        <w:rPr>
          <w:rFonts w:ascii="仿宋_GB2312" w:eastAsia="仿宋_GB2312" w:hint="eastAsia"/>
          <w:sz w:val="28"/>
          <w:szCs w:val="28"/>
        </w:rPr>
        <w:lastRenderedPageBreak/>
        <w:t>同金额</w:t>
      </w:r>
      <w:r>
        <w:rPr>
          <w:rFonts w:ascii="仿宋_GB2312" w:eastAsia="仿宋_GB2312"/>
          <w:sz w:val="28"/>
          <w:szCs w:val="28"/>
        </w:rPr>
        <w:t>61.73</w:t>
      </w:r>
      <w:r>
        <w:rPr>
          <w:rFonts w:ascii="仿宋_GB2312" w:eastAsia="仿宋_GB2312" w:hint="eastAsia"/>
          <w:sz w:val="28"/>
          <w:szCs w:val="28"/>
        </w:rPr>
        <w:t>万元，占政府采购支出总额的</w:t>
      </w:r>
      <w:r>
        <w:rPr>
          <w:rFonts w:ascii="仿宋_GB2312" w:eastAsia="仿宋_GB2312"/>
          <w:sz w:val="28"/>
          <w:szCs w:val="28"/>
        </w:rPr>
        <w:t>99.34</w:t>
      </w:r>
      <w:r>
        <w:rPr>
          <w:rFonts w:ascii="仿宋_GB2312" w:eastAsia="仿宋_GB2312" w:hint="eastAsia"/>
          <w:sz w:val="28"/>
          <w:szCs w:val="28"/>
        </w:rPr>
        <w:t>%。</w:t>
      </w:r>
    </w:p>
    <w:p w:rsidR="00B93581" w:rsidRDefault="00856749">
      <w:pPr>
        <w:ind w:firstLineChars="200" w:firstLine="560"/>
        <w:rPr>
          <w:rFonts w:ascii="黑体" w:eastAsia="黑体"/>
          <w:sz w:val="28"/>
          <w:szCs w:val="28"/>
          <w:highlight w:val="yellow"/>
        </w:rPr>
      </w:pPr>
      <w:r>
        <w:rPr>
          <w:rFonts w:ascii="黑体" w:eastAsia="黑体" w:hint="eastAsia"/>
          <w:sz w:val="28"/>
          <w:szCs w:val="28"/>
        </w:rPr>
        <w:t>四、国有资产占用情况</w:t>
      </w:r>
    </w:p>
    <w:p w:rsidR="00B93581" w:rsidRDefault="00856749">
      <w:pPr>
        <w:ind w:firstLineChars="200" w:firstLine="560"/>
        <w:rPr>
          <w:rFonts w:ascii="仿宋_GB2312" w:eastAsia="仿宋_GB2312"/>
          <w:sz w:val="32"/>
          <w:szCs w:val="32"/>
        </w:rPr>
      </w:pPr>
      <w:r>
        <w:rPr>
          <w:rFonts w:ascii="仿宋_GB2312" w:eastAsia="仿宋_GB2312" w:hint="eastAsia"/>
          <w:sz w:val="28"/>
          <w:szCs w:val="28"/>
        </w:rPr>
        <w:t>截至12月31日，北京市大兴区长子营镇第二中心小学共有车辆3台；单位价值100万元（含）以上的设备0台（套）。</w:t>
      </w:r>
    </w:p>
    <w:p w:rsidR="00B93581" w:rsidRDefault="00856749">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B93581" w:rsidRDefault="00856749">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rsidR="00B93581" w:rsidRDefault="00856749">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B93581" w:rsidRDefault="00856749">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B93581" w:rsidRDefault="00856749">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B93581" w:rsidRDefault="00856749">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B93581" w:rsidRDefault="00856749">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B93581" w:rsidRDefault="00856749">
      <w:pPr>
        <w:ind w:firstLineChars="150" w:firstLine="420"/>
        <w:rPr>
          <w:rFonts w:ascii="仿宋_GB2312" w:eastAsia="仿宋_GB2312"/>
          <w:sz w:val="28"/>
          <w:szCs w:val="28"/>
        </w:rPr>
      </w:pPr>
      <w:r>
        <w:rPr>
          <w:rFonts w:ascii="仿宋_GB2312" w:eastAsia="仿宋_GB2312" w:hint="eastAsia"/>
          <w:sz w:val="28"/>
          <w:szCs w:val="28"/>
        </w:rPr>
        <w:lastRenderedPageBreak/>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B93581" w:rsidRDefault="00856749">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B93581" w:rsidRDefault="00856749">
      <w:pPr>
        <w:ind w:firstLineChars="150" w:firstLine="420"/>
        <w:rPr>
          <w:rFonts w:ascii="仿宋_GB2312" w:eastAsia="仿宋_GB2312"/>
          <w:sz w:val="28"/>
          <w:szCs w:val="28"/>
        </w:rPr>
      </w:pPr>
      <w:r>
        <w:rPr>
          <w:rFonts w:ascii="仿宋_GB2312" w:eastAsia="仿宋_GB2312" w:hint="eastAsia"/>
          <w:sz w:val="28"/>
          <w:szCs w:val="28"/>
        </w:rPr>
        <w:t>7.教育支出(类)普通教育(款)学前教育(项)：反映各部门举办的学前教育支出。政府各部门对社会组织等举办的幼儿园的资助，如捐赠、补贴等，也在本科目中反映。</w:t>
      </w:r>
    </w:p>
    <w:p w:rsidR="00B93581" w:rsidRDefault="00856749">
      <w:pPr>
        <w:ind w:firstLineChars="150" w:firstLine="420"/>
        <w:rPr>
          <w:rFonts w:ascii="仿宋_GB2312" w:eastAsia="仿宋_GB2312"/>
          <w:sz w:val="28"/>
          <w:szCs w:val="28"/>
        </w:rPr>
      </w:pPr>
      <w:r>
        <w:rPr>
          <w:rFonts w:ascii="仿宋_GB2312" w:eastAsia="仿宋_GB2312" w:hint="eastAsia"/>
          <w:sz w:val="28"/>
          <w:szCs w:val="28"/>
        </w:rPr>
        <w:t>8.教育支出(类)普通教育(款)小学教育(项)：反映各部门举办的小学教育支出。政府各部门对社会组织等举办的小学的资助，如捐赠、补贴等，也在本科目中反映。</w:t>
      </w:r>
    </w:p>
    <w:p w:rsidR="00B93581" w:rsidRDefault="00856749">
      <w:pPr>
        <w:ind w:firstLineChars="150" w:firstLine="420"/>
        <w:rPr>
          <w:rFonts w:ascii="仿宋_GB2312" w:eastAsia="仿宋_GB2312"/>
          <w:sz w:val="28"/>
          <w:szCs w:val="28"/>
        </w:rPr>
      </w:pPr>
      <w:r>
        <w:rPr>
          <w:rFonts w:ascii="仿宋_GB2312" w:eastAsia="仿宋_GB2312" w:hint="eastAsia"/>
          <w:sz w:val="28"/>
          <w:szCs w:val="28"/>
        </w:rPr>
        <w:t>9.社会保障和就业支出(类)行政事业单位养老支出(款)事业单位离退休(项)：反映事业单位开支的离退休经费。</w:t>
      </w:r>
    </w:p>
    <w:p w:rsidR="00B93581" w:rsidRDefault="00856749">
      <w:pPr>
        <w:ind w:firstLineChars="150" w:firstLine="420"/>
        <w:rPr>
          <w:rFonts w:ascii="仿宋_GB2312" w:eastAsia="仿宋_GB2312"/>
          <w:sz w:val="28"/>
          <w:szCs w:val="28"/>
        </w:rPr>
      </w:pPr>
      <w:r>
        <w:rPr>
          <w:rFonts w:ascii="仿宋_GB2312" w:eastAsia="仿宋_GB2312" w:hint="eastAsia"/>
          <w:sz w:val="28"/>
          <w:szCs w:val="28"/>
        </w:rPr>
        <w:t>10.社会保障和就业支出(类)行政事业单位养老支出(款)机关事业单位基本养老保险缴费支出(项)：反映机关事业单位实施养老保险制度由单位缴纳的基本养老保险支出。</w:t>
      </w:r>
    </w:p>
    <w:p w:rsidR="00B93581" w:rsidRDefault="00856749">
      <w:pPr>
        <w:ind w:firstLineChars="150" w:firstLine="420"/>
        <w:rPr>
          <w:rFonts w:ascii="仿宋_GB2312" w:eastAsia="仿宋_GB2312"/>
          <w:sz w:val="28"/>
          <w:szCs w:val="28"/>
        </w:rPr>
      </w:pPr>
      <w:r>
        <w:rPr>
          <w:rFonts w:ascii="仿宋_GB2312" w:eastAsia="仿宋_GB2312" w:hint="eastAsia"/>
          <w:sz w:val="28"/>
          <w:szCs w:val="28"/>
        </w:rPr>
        <w:t>11.社会保障和就业支出(类)行政事业单位养老支出(款)机关事业单位职业年金缴费支出(项)：反映机关事业单位实施养老保险制度由单位实际缴纳的职业年金支出。</w:t>
      </w:r>
    </w:p>
    <w:p w:rsidR="00B93581" w:rsidRDefault="00856749">
      <w:pPr>
        <w:ind w:firstLineChars="150" w:firstLine="420"/>
        <w:rPr>
          <w:rFonts w:ascii="仿宋_GB2312" w:eastAsia="仿宋_GB2312"/>
          <w:sz w:val="28"/>
          <w:szCs w:val="28"/>
        </w:rPr>
      </w:pPr>
      <w:r>
        <w:rPr>
          <w:rFonts w:ascii="仿宋_GB2312" w:eastAsia="仿宋_GB2312" w:hint="eastAsia"/>
          <w:sz w:val="28"/>
          <w:szCs w:val="28"/>
        </w:rPr>
        <w:t>12.社会保障和就业支出(类)行政事业单位养老支出(款)其他行政事业单位养老支出(项)：反映除上述项目以外其他用于行政事业单位养老方面的支出。</w:t>
      </w:r>
    </w:p>
    <w:p w:rsidR="00B93581" w:rsidRDefault="00856749">
      <w:pPr>
        <w:ind w:firstLineChars="150" w:firstLine="420"/>
        <w:rPr>
          <w:rFonts w:ascii="仿宋_GB2312" w:eastAsia="仿宋_GB2312"/>
          <w:sz w:val="28"/>
          <w:szCs w:val="28"/>
        </w:rPr>
      </w:pPr>
      <w:r>
        <w:rPr>
          <w:rFonts w:ascii="仿宋_GB2312" w:eastAsia="仿宋_GB2312" w:hint="eastAsia"/>
          <w:sz w:val="28"/>
          <w:szCs w:val="28"/>
        </w:rPr>
        <w:lastRenderedPageBreak/>
        <w:t>13.卫生健康支出(类)行政事业单位医疗(款)事业单位医疗(项)：反映财政部门安排的事业单位基本医疗保险缴费经费，未参加医疗保险的事业单位的公费医疗经费，按国家规定享受离休人员待遇的医疗经费。</w:t>
      </w:r>
    </w:p>
    <w:p w:rsidR="00B93581" w:rsidRDefault="00856749">
      <w:pPr>
        <w:ind w:firstLineChars="150" w:firstLine="420"/>
        <w:rPr>
          <w:rFonts w:ascii="仿宋_GB2312" w:eastAsia="仿宋_GB2312"/>
          <w:sz w:val="28"/>
          <w:szCs w:val="28"/>
        </w:rPr>
      </w:pPr>
      <w:r>
        <w:rPr>
          <w:rFonts w:ascii="仿宋_GB2312" w:eastAsia="仿宋_GB2312" w:hint="eastAsia"/>
          <w:sz w:val="28"/>
          <w:szCs w:val="28"/>
        </w:rPr>
        <w:t>14.卫生健康支出(类)行政事业单位医疗(款)公务员医疗补助(项)：反映财政部门安排的公务员医疗补助经费。</w:t>
      </w:r>
    </w:p>
    <w:p w:rsidR="00B93581" w:rsidRDefault="00856749">
      <w:pPr>
        <w:ind w:firstLineChars="150" w:firstLine="420"/>
        <w:rPr>
          <w:rFonts w:ascii="黑体" w:eastAsia="黑体"/>
          <w:sz w:val="32"/>
          <w:szCs w:val="32"/>
        </w:rPr>
      </w:pPr>
      <w:r>
        <w:rPr>
          <w:rFonts w:ascii="仿宋_GB2312" w:eastAsia="仿宋_GB2312" w:hint="eastAsia"/>
          <w:sz w:val="28"/>
          <w:szCs w:val="28"/>
        </w:rPr>
        <w:t>15. 住房保障支出(类) 住房改革支出(款) 购房补贴(项)：反映按房改政策规定，行政事业单位向符合条件职工（含退休人员）、军队（含武警）向转役复员离退休人员发放的用于购买住房的补贴。</w:t>
      </w:r>
    </w:p>
    <w:p w:rsidR="00B93581" w:rsidRDefault="00B93581">
      <w:pPr>
        <w:tabs>
          <w:tab w:val="center" w:pos="6979"/>
        </w:tabs>
        <w:spacing w:line="380" w:lineRule="exact"/>
        <w:jc w:val="center"/>
        <w:rPr>
          <w:rFonts w:ascii="宋体" w:hAnsi="宋体" w:cs="宋体"/>
          <w:b/>
          <w:bCs/>
          <w:kern w:val="0"/>
          <w:sz w:val="28"/>
          <w:szCs w:val="28"/>
        </w:rPr>
      </w:pPr>
    </w:p>
    <w:p w:rsidR="00B93581" w:rsidRDefault="00B93581">
      <w:pPr>
        <w:rPr>
          <w:rFonts w:ascii="黑体" w:eastAsia="黑体"/>
          <w:sz w:val="32"/>
          <w:szCs w:val="32"/>
        </w:rPr>
      </w:pPr>
    </w:p>
    <w:p w:rsidR="00B93581" w:rsidRDefault="00B93581">
      <w:pPr>
        <w:ind w:firstLineChars="200" w:firstLine="640"/>
        <w:jc w:val="center"/>
        <w:rPr>
          <w:rFonts w:ascii="黑体" w:eastAsia="黑体"/>
          <w:sz w:val="32"/>
          <w:szCs w:val="32"/>
        </w:rPr>
      </w:pPr>
    </w:p>
    <w:p w:rsidR="00B93581" w:rsidRDefault="00856749">
      <w:pPr>
        <w:ind w:firstLineChars="200" w:firstLine="640"/>
        <w:jc w:val="center"/>
        <w:rPr>
          <w:rFonts w:ascii="黑体" w:eastAsia="黑体"/>
          <w:sz w:val="32"/>
          <w:szCs w:val="32"/>
        </w:rPr>
      </w:pPr>
      <w:r>
        <w:rPr>
          <w:rFonts w:ascii="黑体" w:eastAsia="黑体" w:hint="eastAsia"/>
          <w:sz w:val="32"/>
          <w:szCs w:val="32"/>
        </w:rPr>
        <w:t>第四部分  2024年度部门绩效评价情况</w:t>
      </w:r>
    </w:p>
    <w:p w:rsidR="00B93581" w:rsidRDefault="00856749" w:rsidP="00EE6641">
      <w:pPr>
        <w:numPr>
          <w:ilvl w:val="0"/>
          <w:numId w:val="1"/>
        </w:numPr>
        <w:spacing w:line="480" w:lineRule="exact"/>
        <w:ind w:firstLineChars="200" w:firstLine="560"/>
      </w:pPr>
      <w:r w:rsidRPr="00EE6641">
        <w:rPr>
          <w:rFonts w:ascii="黑体" w:eastAsia="黑体" w:hint="eastAsia"/>
          <w:sz w:val="28"/>
          <w:szCs w:val="28"/>
        </w:rPr>
        <w:t>项目</w:t>
      </w:r>
      <w:r w:rsidRPr="00EE6641">
        <w:rPr>
          <w:rFonts w:ascii="黑体" w:eastAsia="黑体"/>
          <w:sz w:val="28"/>
          <w:szCs w:val="28"/>
        </w:rPr>
        <w:t>支出绩效自评表</w:t>
      </w:r>
      <w:r w:rsidRPr="00EE6641">
        <w:rPr>
          <w:rFonts w:ascii="黑体" w:eastAsia="黑体" w:hint="eastAsia"/>
          <w:sz w:val="28"/>
          <w:szCs w:val="28"/>
        </w:rPr>
        <w:t>（详见附件）</w:t>
      </w:r>
    </w:p>
    <w:sectPr w:rsidR="00B93581">
      <w:footerReference w:type="even" r:id="rId11"/>
      <w:footerReference w:type="default" r:id="rId12"/>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3358" w:rsidRDefault="00B53358">
      <w:r>
        <w:separator/>
      </w:r>
    </w:p>
  </w:endnote>
  <w:endnote w:type="continuationSeparator" w:id="0">
    <w:p w:rsidR="00B53358" w:rsidRDefault="00B53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581" w:rsidRDefault="00856749">
    <w:pPr>
      <w:pStyle w:val="a7"/>
      <w:framePr w:wrap="around" w:vAnchor="text" w:hAnchor="margin" w:xAlign="center" w:y="1"/>
      <w:rPr>
        <w:rStyle w:val="ab"/>
      </w:rPr>
    </w:pPr>
    <w:r>
      <w:fldChar w:fldCharType="begin"/>
    </w:r>
    <w:r>
      <w:rPr>
        <w:rStyle w:val="ab"/>
      </w:rPr>
      <w:instrText xml:space="preserve">PAGE  </w:instrText>
    </w:r>
    <w:r>
      <w:fldChar w:fldCharType="separate"/>
    </w:r>
    <w:r w:rsidR="00EE6641">
      <w:rPr>
        <w:rStyle w:val="ab"/>
        <w:noProof/>
      </w:rPr>
      <w:t>3</w:t>
    </w:r>
    <w:r>
      <w:fldChar w:fldCharType="end"/>
    </w:r>
  </w:p>
  <w:p w:rsidR="00B93581" w:rsidRDefault="00B9358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581" w:rsidRDefault="00856749">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B93581" w:rsidRDefault="00B93581">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581" w:rsidRDefault="00856749">
    <w:pPr>
      <w:pStyle w:val="a7"/>
      <w:framePr w:wrap="around" w:vAnchor="text" w:hAnchor="margin" w:xAlign="center" w:y="1"/>
      <w:rPr>
        <w:rStyle w:val="ab"/>
      </w:rPr>
    </w:pPr>
    <w:r>
      <w:fldChar w:fldCharType="begin"/>
    </w:r>
    <w:r>
      <w:rPr>
        <w:rStyle w:val="ab"/>
      </w:rPr>
      <w:instrText xml:space="preserve">PAGE  </w:instrText>
    </w:r>
    <w:r>
      <w:fldChar w:fldCharType="separate"/>
    </w:r>
    <w:r w:rsidR="00303054">
      <w:rPr>
        <w:rStyle w:val="ab"/>
        <w:noProof/>
      </w:rPr>
      <w:t>12</w:t>
    </w:r>
    <w:r>
      <w:fldChar w:fldCharType="end"/>
    </w:r>
  </w:p>
  <w:p w:rsidR="00B93581" w:rsidRDefault="00B9358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3358" w:rsidRDefault="00B53358">
      <w:r>
        <w:separator/>
      </w:r>
    </w:p>
  </w:footnote>
  <w:footnote w:type="continuationSeparator" w:id="0">
    <w:p w:rsidR="00B53358" w:rsidRDefault="00B533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4150"/>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054"/>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6523"/>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56749"/>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3358"/>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3581"/>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6641"/>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57A14F5"/>
    <w:rsid w:val="27196C26"/>
    <w:rsid w:val="29EF086F"/>
    <w:rsid w:val="2BC34C59"/>
    <w:rsid w:val="2EFFE297"/>
    <w:rsid w:val="301437CA"/>
    <w:rsid w:val="349D1F0A"/>
    <w:rsid w:val="34DD0473"/>
    <w:rsid w:val="3A8E35DC"/>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5DF716AE"/>
    <w:rsid w:val="5F9F507E"/>
    <w:rsid w:val="60A54109"/>
    <w:rsid w:val="61D01CDF"/>
    <w:rsid w:val="64C0607C"/>
    <w:rsid w:val="65756C86"/>
    <w:rsid w:val="65F46A0B"/>
    <w:rsid w:val="674D385B"/>
    <w:rsid w:val="676F09E1"/>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1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xmlns:c16r2="http://schemas.microsoft.com/office/drawing/2015/06/chart">
              <c:ext xmlns:c16="http://schemas.microsoft.com/office/drawing/2014/chart" uri="{C3380CC4-5D6E-409C-BE32-E72D297353CC}">
                <c16:uniqueId val="{00000000-351F-4894-9A15-30F85770DBB3}"/>
              </c:ext>
            </c:extLst>
          </c:dPt>
          <c:dPt>
            <c:idx val="1"/>
            <c:bubble3D val="0"/>
            <c:extLst xmlns:c16r2="http://schemas.microsoft.com/office/drawing/2015/06/chart">
              <c:ext xmlns:c16="http://schemas.microsoft.com/office/drawing/2014/chart" uri="{C3380CC4-5D6E-409C-BE32-E72D297353CC}">
                <c16:uniqueId val="{00000001-351F-4894-9A15-30F85770DBB3}"/>
              </c:ext>
            </c:extLst>
          </c:dPt>
          <c:dPt>
            <c:idx val="2"/>
            <c:bubble3D val="0"/>
            <c:extLst xmlns:c16r2="http://schemas.microsoft.com/office/drawing/2015/06/chart">
              <c:ext xmlns:c16="http://schemas.microsoft.com/office/drawing/2014/chart" uri="{C3380CC4-5D6E-409C-BE32-E72D297353CC}">
                <c16:uniqueId val="{00000002-351F-4894-9A15-30F85770DBB3}"/>
              </c:ext>
            </c:extLst>
          </c:dPt>
          <c:dPt>
            <c:idx val="3"/>
            <c:bubble3D val="0"/>
            <c:extLst xmlns:c16r2="http://schemas.microsoft.com/office/drawing/2015/06/chart">
              <c:ext xmlns:c16="http://schemas.microsoft.com/office/drawing/2014/chart" uri="{C3380CC4-5D6E-409C-BE32-E72D297353CC}">
                <c16:uniqueId val="{00000003-351F-4894-9A15-30F85770DBB3}"/>
              </c:ext>
            </c:extLst>
          </c:dPt>
          <c:dPt>
            <c:idx val="4"/>
            <c:bubble3D val="0"/>
            <c:extLst xmlns:c16r2="http://schemas.microsoft.com/office/drawing/2015/06/chart">
              <c:ext xmlns:c16="http://schemas.microsoft.com/office/drawing/2014/chart" uri="{C3380CC4-5D6E-409C-BE32-E72D297353CC}">
                <c16:uniqueId val="{00000004-351F-4894-9A15-30F85770DBB3}"/>
              </c:ext>
            </c:extLst>
          </c:dPt>
          <c:dPt>
            <c:idx val="5"/>
            <c:bubble3D val="0"/>
            <c:extLst xmlns:c16r2="http://schemas.microsoft.com/office/drawing/2015/06/chart">
              <c:ext xmlns:c16="http://schemas.microsoft.com/office/drawing/2014/chart" uri="{C3380CC4-5D6E-409C-BE32-E72D297353CC}">
                <c16:uniqueId val="{00000005-351F-4894-9A15-30F85770DBB3}"/>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2132.35</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6-351F-4894-9A15-30F85770DBB3}"/>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xmlns:c16r2="http://schemas.microsoft.com/office/drawing/2015/06/chart">
      <c:ext uri="{0b15fc19-7d7d-44ad-8c2d-2c3a37ce22c3}">
        <chartProps xmlns="https://web.wps.cn/et/2018/main" chartId="{ea31a22d-92a3-4dc5-a9a5-5bf3a0305c21}"/>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xmlns:c16r2="http://schemas.microsoft.com/office/drawing/2015/06/chart">
              <c:ext xmlns:c16="http://schemas.microsoft.com/office/drawing/2014/chart" uri="{C3380CC4-5D6E-409C-BE32-E72D297353CC}">
                <c16:uniqueId val="{00000001-87DE-4964-8043-BD7957386C60}"/>
              </c:ext>
            </c:extLst>
          </c:dPt>
          <c:dPt>
            <c:idx val="1"/>
            <c:bubble3D val="0"/>
            <c:spPr>
              <a:solidFill>
                <a:srgbClr val="C0504D"/>
              </a:solidFill>
              <a:ln w="19050">
                <a:solidFill>
                  <a:srgbClr val="FFFFFF"/>
                </a:solidFill>
              </a:ln>
              <a:effectLst/>
            </c:spPr>
            <c:extLst xmlns:c16r2="http://schemas.microsoft.com/office/drawing/2015/06/chart">
              <c:ext xmlns:c16="http://schemas.microsoft.com/office/drawing/2014/chart" uri="{C3380CC4-5D6E-409C-BE32-E72D297353CC}">
                <c16:uniqueId val="{00000003-87DE-4964-8043-BD7957386C60}"/>
              </c:ext>
            </c:extLst>
          </c:dPt>
          <c:dPt>
            <c:idx val="2"/>
            <c:bubble3D val="0"/>
            <c:spPr>
              <a:solidFill>
                <a:srgbClr val="9BBB59"/>
              </a:solidFill>
              <a:ln w="19050">
                <a:solidFill>
                  <a:srgbClr val="FFFFFF"/>
                </a:solidFill>
              </a:ln>
              <a:effectLst/>
            </c:spPr>
            <c:extLst xmlns:c16r2="http://schemas.microsoft.com/office/drawing/2015/06/chart">
              <c:ext xmlns:c16="http://schemas.microsoft.com/office/drawing/2014/chart" uri="{C3380CC4-5D6E-409C-BE32-E72D297353CC}">
                <c16:uniqueId val="{00000005-87DE-4964-8043-BD7957386C60}"/>
              </c:ext>
            </c:extLst>
          </c:dPt>
          <c:dPt>
            <c:idx val="3"/>
            <c:bubble3D val="0"/>
            <c:spPr>
              <a:solidFill>
                <a:srgbClr val="8064A2"/>
              </a:solidFill>
              <a:ln w="19050">
                <a:solidFill>
                  <a:srgbClr val="FFFFFF"/>
                </a:solidFill>
              </a:ln>
              <a:effectLst/>
            </c:spPr>
            <c:extLst xmlns:c16r2="http://schemas.microsoft.com/office/drawing/2015/06/chart">
              <c:ext xmlns:c16="http://schemas.microsoft.com/office/drawing/2014/chart" uri="{C3380CC4-5D6E-409C-BE32-E72D297353CC}">
                <c16:uniqueId val="{00000007-87DE-4964-8043-BD7957386C60}"/>
              </c:ext>
            </c:extLst>
          </c:dPt>
          <c:dPt>
            <c:idx val="4"/>
            <c:bubble3D val="0"/>
            <c:spPr>
              <a:solidFill>
                <a:srgbClr val="4BACC6"/>
              </a:solidFill>
              <a:ln w="19050">
                <a:solidFill>
                  <a:srgbClr val="FFFFFF"/>
                </a:solidFill>
              </a:ln>
              <a:effectLst/>
            </c:spPr>
            <c:extLst xmlns:c16r2="http://schemas.microsoft.com/office/drawing/2015/06/chart">
              <c:ext xmlns:c16="http://schemas.microsoft.com/office/drawing/2014/chart" uri="{C3380CC4-5D6E-409C-BE32-E72D297353CC}">
                <c16:uniqueId val="{00000009-87DE-4964-8043-BD7957386C60}"/>
              </c:ext>
            </c:extLst>
          </c:dPt>
          <c:dLbls>
            <c:dLbl>
              <c:idx val="2"/>
              <c:layout>
                <c:manualLayout>
                  <c:x val="-3.9003729401150003E-2"/>
                  <c:y val="3.2827143610787798E-2"/>
                </c:manualLayout>
              </c:layout>
              <c:dLblPos val="bestFit"/>
              <c:showLegendKey val="0"/>
              <c:showVal val="0"/>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87DE-4964-8043-BD7957386C60}"/>
                </c:ext>
              </c:extLst>
            </c:dLbl>
            <c:dLbl>
              <c:idx val="4"/>
              <c:layout>
                <c:manualLayout>
                  <c:x val="3.8988769358610197E-2"/>
                  <c:y val="1.05112295100623E-2"/>
                </c:manualLayout>
              </c:layout>
              <c:dLblPos val="bestFit"/>
              <c:showLegendKey val="0"/>
              <c:showVal val="0"/>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87DE-4964-8043-BD7957386C60}"/>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xmlns:c16r2="http://schemas.microsoft.com/office/drawing/2015/06/char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1690.84</c:v>
                </c:pt>
                <c:pt idx="1">
                  <c:v>525.11</c:v>
                </c:pt>
                <c:pt idx="2">
                  <c:v>0</c:v>
                </c:pt>
                <c:pt idx="3">
                  <c:v>0</c:v>
                </c:pt>
                <c:pt idx="4">
                  <c:v>0</c:v>
                </c:pt>
              </c:numCache>
            </c:numRef>
          </c:val>
          <c:extLst xmlns:c16r2="http://schemas.microsoft.com/office/drawing/2015/06/chart">
            <c:ext xmlns:c16="http://schemas.microsoft.com/office/drawing/2014/chart" uri="{C3380CC4-5D6E-409C-BE32-E72D297353CC}">
              <c16:uniqueId val="{0000000A-87DE-4964-8043-BD7957386C60}"/>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xmlns:c16r2="http://schemas.microsoft.com/office/drawing/2015/06/char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12</Pages>
  <Words>697</Words>
  <Characters>3973</Characters>
  <Application>Microsoft Office Word</Application>
  <DocSecurity>0</DocSecurity>
  <Lines>33</Lines>
  <Paragraphs>9</Paragraphs>
  <ScaleCrop>false</ScaleCrop>
  <Company/>
  <LinksUpToDate>false</LinksUpToDate>
  <CharactersWithSpaces>4661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xb21cn</cp:lastModifiedBy>
  <cp:revision>25</cp:revision>
  <cp:lastPrinted>2020-08-09T03:39:00Z</cp:lastPrinted>
  <dcterms:created xsi:type="dcterms:W3CDTF">2017-07-13T07:16:00Z</dcterms:created>
  <dcterms:modified xsi:type="dcterms:W3CDTF">2025-09-26T03:27:00Z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A7F78878FB63AC2F75B4B7682BD79272</vt:lpwstr>
  </property>
  <property fmtid="{D5CDD505-2E9C-101B-9397-08002B2CF9AE}" pid="4" name="KSOTemplateDocerSaveRecord">
    <vt:lpwstr>eyJoZGlkIjoiNWI0ZTI4NjJhODk2ZWI1MjFlMGIyOTEwZDNkMzA3ODYifQ==</vt:lpwstr>
  </property>
</Properties>
</file>