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1、机构</w:t>
      </w:r>
      <w:r>
        <w:rPr>
          <w:rFonts w:ascii="仿宋_GB2312" w:eastAsia="仿宋_GB2312"/>
          <w:sz w:val="28"/>
          <w:szCs w:val="28"/>
        </w:rPr>
        <w:t>设置</w:t>
      </w:r>
      <w:r>
        <w:rPr>
          <w:rFonts w:hint="eastAsia" w:ascii="仿宋_GB2312" w:eastAsia="仿宋_GB2312"/>
          <w:sz w:val="28"/>
          <w:szCs w:val="28"/>
        </w:rPr>
        <w:t>：学校设有校长室、教务处、后勤处、财务室等机</w:t>
      </w:r>
      <w:bookmarkStart w:id="0" w:name="_GoBack"/>
      <w:bookmarkEnd w:id="0"/>
      <w:r>
        <w:rPr>
          <w:rFonts w:hint="eastAsia" w:ascii="仿宋_GB2312" w:eastAsia="仿宋_GB2312"/>
          <w:sz w:val="28"/>
          <w:szCs w:val="28"/>
        </w:rPr>
        <w:t>构。</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2、职责：开展成人教育和各层次成人培训工作。</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总计477.38万元，</w:t>
      </w:r>
      <w:r>
        <w:rPr>
          <w:rFonts w:ascii="仿宋_GB2312" w:eastAsia="仿宋_GB2312"/>
          <w:sz w:val="28"/>
          <w:szCs w:val="28"/>
        </w:rPr>
        <w:t>比上年增加</w:t>
      </w:r>
      <w:r>
        <w:rPr>
          <w:rFonts w:hint="eastAsia" w:ascii="仿宋_GB2312" w:eastAsia="仿宋_GB2312"/>
          <w:sz w:val="28"/>
          <w:szCs w:val="28"/>
        </w:rPr>
        <w:t>24.42万元，增长4.9%。</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2024年度本年收入合计442.37万元，</w:t>
      </w:r>
      <w:r>
        <w:rPr>
          <w:rFonts w:ascii="仿宋_GB2312" w:eastAsia="仿宋_GB2312"/>
          <w:sz w:val="28"/>
          <w:szCs w:val="28"/>
        </w:rPr>
        <w:t>比上年增加</w:t>
      </w:r>
      <w:r>
        <w:rPr>
          <w:rFonts w:hint="eastAsia" w:ascii="仿宋_GB2312" w:eastAsia="仿宋_GB2312"/>
          <w:sz w:val="28"/>
          <w:szCs w:val="28"/>
        </w:rPr>
        <w:t>13.18万元，增长3%。</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442.37万元，占收入合计的100%。其中：一般公共预算财政拨款收入442.37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spacing w:line="560" w:lineRule="exact"/>
        <w:ind w:firstLine="640"/>
        <w:rPr>
          <w:rFonts w:ascii="仿宋_GB2312" w:eastAsia="仿宋_GB2312" w:cs="Droid Sans"/>
          <w:color w:val="000000"/>
          <w:sz w:val="32"/>
          <w:szCs w:val="32"/>
        </w:rPr>
      </w:pPr>
    </w:p>
    <w:p>
      <w:pPr>
        <w:pStyle w:val="3"/>
        <w:jc w:val="center"/>
      </w:pPr>
      <w:r>
        <w:rPr>
          <w:rFonts w:hint="eastAsia" w:ascii="仿宋_GB2312" w:eastAsia="仿宋_GB2312"/>
          <w:color w:val="000000"/>
          <w:sz w:val="32"/>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477.38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24.42万元，增长4.9%，其中：基本支出</w:t>
      </w:r>
      <w:r>
        <w:rPr>
          <w:rFonts w:ascii="仿宋_GB2312" w:eastAsia="仿宋_GB2312"/>
          <w:sz w:val="28"/>
          <w:szCs w:val="28"/>
        </w:rPr>
        <w:t>472.39</w:t>
      </w:r>
      <w:r>
        <w:rPr>
          <w:rFonts w:hint="eastAsia" w:ascii="仿宋_GB2312" w:eastAsia="仿宋_GB2312"/>
          <w:sz w:val="28"/>
          <w:szCs w:val="28"/>
        </w:rPr>
        <w:t>万元，占支出合计的98.95%；项目支出</w:t>
      </w:r>
      <w:r>
        <w:rPr>
          <w:rFonts w:ascii="仿宋_GB2312" w:eastAsia="仿宋_GB2312"/>
          <w:sz w:val="28"/>
          <w:szCs w:val="28"/>
        </w:rPr>
        <w:t>4.99</w:t>
      </w:r>
      <w:r>
        <w:rPr>
          <w:rFonts w:hint="eastAsia" w:ascii="仿宋_GB2312" w:eastAsia="仿宋_GB2312"/>
          <w:sz w:val="28"/>
          <w:szCs w:val="28"/>
        </w:rPr>
        <w:t>万元，占支出合计的1.05%;上缴上级支出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477.38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24.42万元，增长4.9%。主要原因：人员变动</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477.38</w:t>
      </w:r>
      <w:r>
        <w:rPr>
          <w:rFonts w:hint="eastAsia" w:ascii="仿宋_GB2312" w:eastAsia="仿宋_GB2312"/>
          <w:sz w:val="28"/>
          <w:szCs w:val="28"/>
        </w:rPr>
        <w:t>万元，主要用于以下方面：教育支出362.28万元，占本年度财政拨款支出75.90%；社会保障和就业支出45.99万元，占本年度财政拨款支出9.63%；卫生健康支出34.10万元，占本年度财政拨款支出7.14%；住房保障支出35万元，占本年度财政拨款支出7.33%。</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1、“教育支出”2024年度年初预算375.65万元，2024年度决算362.28万元，完成年初预算的96.44%。</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eastAsia="仿宋_GB2312"/>
        </w:rPr>
      </w:pPr>
      <w:r>
        <w:rPr>
          <w:rFonts w:hint="eastAsia" w:ascii="仿宋_GB2312" w:eastAsia="仿宋_GB2312"/>
          <w:sz w:val="28"/>
          <w:szCs w:val="28"/>
        </w:rPr>
        <w:t>“成人教育”2024年度年初预算375.65万元，2024年度决算362.28万元，完成年初预算的96.44%。主要原因：人员减少。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2024年度年初预算44.62万元，2024年度决算45.99万元，完成年初预算的103.07%。其中：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2024年度年初预算44.62万元，2024年度决45.99万元，完成年初预算的103.07%。主要原因：社保基数调整。</w:t>
      </w:r>
    </w:p>
    <w:p>
      <w:pPr>
        <w:pStyle w:val="3"/>
        <w:rPr>
          <w:rFonts w:ascii="仿宋_GB2312" w:eastAsia="仿宋_GB2312"/>
          <w:b w:val="0"/>
          <w:bCs w:val="0"/>
          <w:sz w:val="28"/>
          <w:szCs w:val="28"/>
        </w:rPr>
      </w:pPr>
      <w:r>
        <w:rPr>
          <w:rFonts w:hint="eastAsia" w:ascii="仿宋_GB2312" w:hAnsi="Times New Roman" w:eastAsia="仿宋_GB2312"/>
          <w:b w:val="0"/>
          <w:bCs w:val="0"/>
          <w:kern w:val="2"/>
          <w:sz w:val="28"/>
          <w:szCs w:val="28"/>
        </w:rPr>
        <w:t>“卫生健康支出”</w:t>
      </w:r>
      <w:r>
        <w:rPr>
          <w:rFonts w:hint="eastAsia" w:ascii="仿宋_GB2312" w:eastAsia="仿宋_GB2312"/>
          <w:b w:val="0"/>
          <w:bCs w:val="0"/>
          <w:sz w:val="28"/>
          <w:szCs w:val="28"/>
        </w:rPr>
        <w:t>2024年度年初预算31.43万元，2024年度决算34.10万元，完成年初预算的</w:t>
      </w:r>
      <w:r>
        <w:rPr>
          <w:rFonts w:hint="eastAsia" w:ascii="仿宋_GB2312" w:eastAsia="仿宋_GB2312"/>
          <w:sz w:val="28"/>
          <w:szCs w:val="28"/>
        </w:rPr>
        <w:t>108.5</w:t>
      </w:r>
      <w:r>
        <w:rPr>
          <w:rFonts w:hint="eastAsia" w:ascii="仿宋_GB2312" w:eastAsia="仿宋_GB2312"/>
          <w:b w:val="0"/>
          <w:bCs w:val="0"/>
          <w:sz w:val="28"/>
          <w:szCs w:val="28"/>
        </w:rPr>
        <w:t>%。其中：</w:t>
      </w:r>
    </w:p>
    <w:p>
      <w:pPr>
        <w:rPr>
          <w:rFonts w:ascii="仿宋_GB2312" w:eastAsia="仿宋_GB2312"/>
          <w:sz w:val="28"/>
          <w:szCs w:val="28"/>
        </w:rPr>
      </w:pPr>
      <w:r>
        <w:rPr>
          <w:rFonts w:hint="eastAsia" w:ascii="仿宋_GB2312" w:eastAsia="仿宋_GB2312"/>
          <w:sz w:val="28"/>
          <w:szCs w:val="28"/>
        </w:rPr>
        <w:t xml:space="preserve">     “卫生健康支出”2024年度年初预算31.43万元，2024年度决算34.10万元，完成年初预算的108.5%。主要原因：社保基数调整。</w:t>
      </w:r>
    </w:p>
    <w:p>
      <w:pPr>
        <w:pStyle w:val="3"/>
      </w:pPr>
      <w:r>
        <w:rPr>
          <w:rFonts w:hint="eastAsia" w:ascii="仿宋_GB2312" w:eastAsia="仿宋_GB2312"/>
          <w:b w:val="0"/>
          <w:bCs w:val="0"/>
          <w:sz w:val="28"/>
          <w:szCs w:val="28"/>
        </w:rPr>
        <w:t xml:space="preserve">    “住房保障支出”2024年年初预算0万元，2024年度决算35万元，完成年初预算的0%。其中：“住房改造支出”2024年年初预算0万元，2024年度决算35万元，完成年初预算的0%。主要原因：未纳入年初预算，调整年初预算结转和结余。</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本单位2024年度无国有资本经营预算财政拨款安排的支出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472.39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2.7</w:t>
      </w:r>
      <w:r>
        <w:rPr>
          <w:rFonts w:hint="eastAsia" w:ascii="仿宋_GB2312" w:eastAsia="仿宋_GB2312"/>
          <w:sz w:val="28"/>
          <w:szCs w:val="28"/>
        </w:rPr>
        <w:t>万元，减少2.7万元。其中：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保持一致。主要原因：因公出国（境）费用根据年度出国审批情况作为追加项目管理，单位不做年初预算，本单位本年度没有因公出国审批项目发生。2024年度因公出国（境）费用主要用于出国（境）的会议，培训交流等事项，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2.公务接待费。2024年度决算数0万元，比2024年度年初预算数0万元，保持一致。主要原因：本年度无公务接待支出。2024年度公务接待主要用于公务接待事项。2024年度公务接待0批次，公务接待0人次。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0万元，比2024年度年初预算数2.7万元，减少2.7万元。其中，公务用车购置费2024年度决算数0万元，主要原因：本年度没有公务车购置支出，2024年度购置（更新）0辆。公务用车运行维护费2024年度决算数0万元，主要原因：严格落实公务用车使用规定，认真贯彻厉行节约反对浪费的有关要求，本着节俭高效的原则，进一步加强公务用车管理，减少费用支出。2024年度公务用车保有量1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16.57万元，其中：政府采购货物支出16.57万元，政府采购工程支出0万元，政府采购服务支出16.57万元。授予中小企业合同金额15.97万元，占政府采购支出总额的96.38%，其中：授予小微企业合同金额15.96万元，占政府采购支出总额的96.38%。</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截至12月31日，北京市大兴区北臧村镇成人学校共有车辆1台；单位价值100万元（含）以上的设备0台（套）。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黑体" w:eastAsia="黑体"/>
          <w:sz w:val="28"/>
          <w:szCs w:val="28"/>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80" w:lineRule="exact"/>
        <w:ind w:left="138" w:leftChars="66" w:firstLine="560" w:firstLineChars="200"/>
        <w:jc w:val="left"/>
        <w:rPr>
          <w:rFonts w:ascii="仿宋_GB2312" w:eastAsia="仿宋_GB2312"/>
          <w:sz w:val="28"/>
          <w:szCs w:val="28"/>
        </w:rPr>
      </w:pPr>
      <w:r>
        <w:rPr>
          <w:rFonts w:hint="eastAsia" w:ascii="仿宋_GB2312" w:eastAsia="仿宋_GB2312"/>
          <w:sz w:val="28"/>
          <w:szCs w:val="28"/>
        </w:rPr>
        <w:t>7.教育支出（类）成人教育（款）成人初等教育支出（项）：是指反映各部门举办各类成人初等教育的支出。</w:t>
      </w:r>
    </w:p>
    <w:p>
      <w:pPr>
        <w:spacing w:line="580" w:lineRule="exact"/>
        <w:ind w:firstLine="700" w:firstLineChars="250"/>
        <w:rPr>
          <w:rFonts w:ascii="仿宋_GB2312" w:eastAsia="仿宋_GB2312"/>
          <w:sz w:val="28"/>
          <w:szCs w:val="28"/>
        </w:rPr>
      </w:pPr>
      <w:r>
        <w:rPr>
          <w:rFonts w:hint="eastAsia" w:ascii="仿宋_GB2312" w:eastAsia="仿宋_GB2312"/>
          <w:sz w:val="28"/>
          <w:szCs w:val="28"/>
        </w:rPr>
        <w:t>8.教育支出（类）成人教育（款）其他成人教育支出（项）：是指反映除成人初等教育、成人中等教育、成人高等教育、成人广播电视教育以外其他用于成人教育方面的支出。</w:t>
      </w:r>
    </w:p>
    <w:p>
      <w:pPr>
        <w:spacing w:line="580" w:lineRule="exact"/>
        <w:ind w:firstLine="700" w:firstLineChars="25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9.社会保障和就业支出（类）行政事业单位养老支出（款）机关事业单位基本养老保险缴费支出（项）：是指反映机关事业单位实施养老保险制度由单位缴纳的基本养老保险费支出。</w:t>
      </w:r>
    </w:p>
    <w:p>
      <w:pPr>
        <w:spacing w:line="580" w:lineRule="exact"/>
        <w:ind w:firstLine="700" w:firstLineChars="2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10.社会保障和就业支出（类）行政事业单位养老支出（款）机关事业单位职业年金缴费支出（项）：是指反映机关事业单位实施养老保险制度由单位实际缴纳的职业年金支出（含职业年金补记支出）。</w:t>
      </w:r>
    </w:p>
    <w:p>
      <w:pPr>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11.卫生健康支出（类）行政事业单位医疗（款）事业单位医疗（项）：是指反映财政部门安排的事业单位基本医疗保险缴费经费，未参加医疗保险的事业单位的公费医疗经费，按国家规定享受离休人员待遇的医疗经费。</w:t>
      </w:r>
    </w:p>
    <w:p>
      <w:pPr>
        <w:tabs>
          <w:tab w:val="center" w:pos="6979"/>
        </w:tabs>
        <w:spacing w:line="580" w:lineRule="exact"/>
        <w:ind w:firstLine="700" w:firstLineChars="250"/>
        <w:jc w:val="left"/>
        <w:rPr>
          <w:rFonts w:ascii="宋体" w:cs="宋体"/>
          <w:b/>
          <w:bCs/>
          <w:spacing w:val="40"/>
          <w:kern w:val="0"/>
          <w:sz w:val="32"/>
          <w:szCs w:val="32"/>
        </w:rPr>
      </w:pPr>
      <w:r>
        <w:rPr>
          <w:rFonts w:hint="eastAsia" w:ascii="仿宋_GB2312" w:eastAsia="仿宋_GB2312"/>
          <w:sz w:val="28"/>
          <w:szCs w:val="28"/>
        </w:rPr>
        <w:t>12.卫生健康支出（类）行政事业单位医疗（款）公务员医疗补助（项）：是指反映财政部门安排的公务员医疗补助经费</w:t>
      </w:r>
    </w:p>
    <w:p>
      <w:pPr>
        <w:ind w:firstLine="640" w:firstLineChars="200"/>
        <w:jc w:val="left"/>
        <w:rPr>
          <w:rFonts w:ascii="仿宋_GB2312" w:eastAsia="仿宋_GB2312"/>
          <w:color w:val="000000"/>
          <w:sz w:val="32"/>
          <w:szCs w:val="32"/>
        </w:rPr>
      </w:pPr>
    </w:p>
    <w:p>
      <w:pPr>
        <w:ind w:firstLine="4480" w:firstLineChars="1400"/>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420"/>
        <w:rPr>
          <w:rFonts w:ascii="黑体" w:eastAsia="黑体"/>
          <w:sz w:val="28"/>
          <w:szCs w:val="28"/>
        </w:rPr>
      </w:pPr>
      <w:r>
        <w:rPr>
          <w:rFonts w:hint="eastAsia" w:ascii="黑体" w:eastAsia="黑体"/>
          <w:sz w:val="28"/>
          <w:szCs w:val="28"/>
        </w:rPr>
        <w:t xml:space="preserve"> </w:t>
      </w:r>
    </w:p>
    <w:p>
      <w:pPr>
        <w:spacing w:line="480" w:lineRule="exact"/>
        <w:ind w:firstLine="420"/>
        <w:rPr>
          <w:rFonts w:ascii="黑体" w:eastAsia="黑体"/>
          <w:sz w:val="28"/>
          <w:szCs w:val="28"/>
        </w:rPr>
      </w:pPr>
    </w:p>
    <w:p>
      <w:pPr>
        <w:spacing w:line="480" w:lineRule="exact"/>
        <w:rPr>
          <w:rFonts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10</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ascii="黑体" w:hAnsi="黑体" w:eastAsia="黑体" w:cs="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522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443"/>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4E64"/>
    <w:rsid w:val="0044571A"/>
    <w:rsid w:val="0044705D"/>
    <w:rsid w:val="0045090E"/>
    <w:rsid w:val="00453E36"/>
    <w:rsid w:val="00457286"/>
    <w:rsid w:val="00461FA5"/>
    <w:rsid w:val="00463566"/>
    <w:rsid w:val="00464182"/>
    <w:rsid w:val="00471C52"/>
    <w:rsid w:val="0047460C"/>
    <w:rsid w:val="00474FF2"/>
    <w:rsid w:val="00480098"/>
    <w:rsid w:val="004844FA"/>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08D4"/>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2C1D"/>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01B2"/>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A1427"/>
    <w:rsid w:val="01C901A1"/>
    <w:rsid w:val="02F120AB"/>
    <w:rsid w:val="032B5196"/>
    <w:rsid w:val="04C3537C"/>
    <w:rsid w:val="06A92350"/>
    <w:rsid w:val="079004AC"/>
    <w:rsid w:val="08A96637"/>
    <w:rsid w:val="0B3D750A"/>
    <w:rsid w:val="0BA148CA"/>
    <w:rsid w:val="0C1165C4"/>
    <w:rsid w:val="0CA76D52"/>
    <w:rsid w:val="0D6D544B"/>
    <w:rsid w:val="0DD136FE"/>
    <w:rsid w:val="0F542F2C"/>
    <w:rsid w:val="0F8E2C57"/>
    <w:rsid w:val="1059665E"/>
    <w:rsid w:val="10AC13BA"/>
    <w:rsid w:val="124B075F"/>
    <w:rsid w:val="12A8795F"/>
    <w:rsid w:val="141352AC"/>
    <w:rsid w:val="145A6C1B"/>
    <w:rsid w:val="14B73493"/>
    <w:rsid w:val="154D47EE"/>
    <w:rsid w:val="167A2FF9"/>
    <w:rsid w:val="1764587C"/>
    <w:rsid w:val="18581C69"/>
    <w:rsid w:val="185F6D12"/>
    <w:rsid w:val="18861CE4"/>
    <w:rsid w:val="189D5A8C"/>
    <w:rsid w:val="18D254B2"/>
    <w:rsid w:val="18F12AB6"/>
    <w:rsid w:val="19706CFD"/>
    <w:rsid w:val="19D159ED"/>
    <w:rsid w:val="1A053685"/>
    <w:rsid w:val="1AEC0734"/>
    <w:rsid w:val="1DEF20B0"/>
    <w:rsid w:val="1EEA4581"/>
    <w:rsid w:val="1FF7AB17"/>
    <w:rsid w:val="20211190"/>
    <w:rsid w:val="202820DF"/>
    <w:rsid w:val="214243FA"/>
    <w:rsid w:val="21AD613C"/>
    <w:rsid w:val="22467189"/>
    <w:rsid w:val="257A14F5"/>
    <w:rsid w:val="27196C26"/>
    <w:rsid w:val="297233CA"/>
    <w:rsid w:val="29EF086F"/>
    <w:rsid w:val="2AE93556"/>
    <w:rsid w:val="2B4F0E68"/>
    <w:rsid w:val="2B8E1990"/>
    <w:rsid w:val="2BC34C59"/>
    <w:rsid w:val="2D687FBF"/>
    <w:rsid w:val="2E00469C"/>
    <w:rsid w:val="2E89643F"/>
    <w:rsid w:val="2E9516FA"/>
    <w:rsid w:val="2EFFE297"/>
    <w:rsid w:val="300D4E4E"/>
    <w:rsid w:val="301437CA"/>
    <w:rsid w:val="32171FB4"/>
    <w:rsid w:val="348A4CBF"/>
    <w:rsid w:val="349D1F0A"/>
    <w:rsid w:val="34DD0473"/>
    <w:rsid w:val="359202CF"/>
    <w:rsid w:val="36A06A70"/>
    <w:rsid w:val="3736112E"/>
    <w:rsid w:val="39382F3B"/>
    <w:rsid w:val="39F350B4"/>
    <w:rsid w:val="3A8E35DC"/>
    <w:rsid w:val="3B5536C7"/>
    <w:rsid w:val="3C1732DC"/>
    <w:rsid w:val="3C684897"/>
    <w:rsid w:val="3CF278A5"/>
    <w:rsid w:val="433E495C"/>
    <w:rsid w:val="46FD57C4"/>
    <w:rsid w:val="489F2FD7"/>
    <w:rsid w:val="4AC27CB3"/>
    <w:rsid w:val="4BF72BEF"/>
    <w:rsid w:val="4CA50490"/>
    <w:rsid w:val="4D16313C"/>
    <w:rsid w:val="4FA90297"/>
    <w:rsid w:val="4FC41A43"/>
    <w:rsid w:val="50AF18DD"/>
    <w:rsid w:val="51DB3C59"/>
    <w:rsid w:val="550C0952"/>
    <w:rsid w:val="55762E42"/>
    <w:rsid w:val="57A7B272"/>
    <w:rsid w:val="58413A4D"/>
    <w:rsid w:val="58470068"/>
    <w:rsid w:val="58747CAC"/>
    <w:rsid w:val="5A1720F9"/>
    <w:rsid w:val="5B9C37C2"/>
    <w:rsid w:val="5BA7C654"/>
    <w:rsid w:val="5DF716AE"/>
    <w:rsid w:val="5F9F507E"/>
    <w:rsid w:val="60A54109"/>
    <w:rsid w:val="61D01CDF"/>
    <w:rsid w:val="62B334AF"/>
    <w:rsid w:val="62EA2C49"/>
    <w:rsid w:val="62F15D85"/>
    <w:rsid w:val="63AC7EFE"/>
    <w:rsid w:val="64C0607C"/>
    <w:rsid w:val="652A557F"/>
    <w:rsid w:val="65756C86"/>
    <w:rsid w:val="66D6776C"/>
    <w:rsid w:val="674D385B"/>
    <w:rsid w:val="676F09E1"/>
    <w:rsid w:val="67D41B4B"/>
    <w:rsid w:val="69CC4E56"/>
    <w:rsid w:val="6B715CB5"/>
    <w:rsid w:val="6C661592"/>
    <w:rsid w:val="704A2F79"/>
    <w:rsid w:val="71691990"/>
    <w:rsid w:val="71793A80"/>
    <w:rsid w:val="7357290B"/>
    <w:rsid w:val="756E3DEA"/>
    <w:rsid w:val="76FB1693"/>
    <w:rsid w:val="78C93005"/>
    <w:rsid w:val="798524E4"/>
    <w:rsid w:val="7A7F1C49"/>
    <w:rsid w:val="7B5B7AE6"/>
    <w:rsid w:val="7B7B6628"/>
    <w:rsid w:val="7BA7071E"/>
    <w:rsid w:val="7BDF6DA8"/>
    <w:rsid w:val="7C7EDC1A"/>
    <w:rsid w:val="7CCED98D"/>
    <w:rsid w:val="7D08410F"/>
    <w:rsid w:val="7DB96DED"/>
    <w:rsid w:val="7DD3AD81"/>
    <w:rsid w:val="7DFFF77E"/>
    <w:rsid w:val="7E2272E3"/>
    <w:rsid w:val="7E99657A"/>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442.38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472.39</c:v>
                </c:pt>
                <c:pt idx="1">
                  <c:v>4.99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625</Words>
  <Characters>3565</Characters>
  <Lines>29</Lines>
  <Paragraphs>8</Paragraphs>
  <TotalTime>53</TotalTime>
  <ScaleCrop>false</ScaleCrop>
  <LinksUpToDate>false</LinksUpToDate>
  <CharactersWithSpaces>4182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2025-11-06T07:11:44Z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08597C8BED1C41F5A0D3993A0A19EBDC_13</vt:lpwstr>
  </property>
  <property fmtid="{D5CDD505-2E9C-101B-9397-08002B2CF9AE}" pid="4" name="KSOTemplateDocerSaveRecord">
    <vt:lpwstr>eyJoZGlkIjoiNDUzYmI4OTQzMjk3YmY1ZWExOTBlNmQ2NjkyMTMzMWEiLCJ1c2VySWQiOiIxMTcwNDE5MDMyIn0=</vt:lpwstr>
  </property>
</Properties>
</file>