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26E" w:rsidRDefault="00B5326E">
      <w:pPr>
        <w:jc w:val="center"/>
        <w:rPr>
          <w:rFonts w:ascii="仿宋_GB2312" w:eastAsia="仿宋_GB2312"/>
          <w:b/>
          <w:sz w:val="32"/>
          <w:szCs w:val="32"/>
        </w:rPr>
      </w:pPr>
    </w:p>
    <w:p w:rsidR="00B5326E" w:rsidRDefault="00B5326E">
      <w:pPr>
        <w:jc w:val="center"/>
        <w:rPr>
          <w:rFonts w:ascii="黑体" w:eastAsia="黑体"/>
          <w:sz w:val="72"/>
          <w:szCs w:val="72"/>
        </w:rPr>
      </w:pPr>
    </w:p>
    <w:p w:rsidR="00B5326E" w:rsidRDefault="00B5326E">
      <w:pPr>
        <w:jc w:val="center"/>
        <w:rPr>
          <w:rFonts w:ascii="黑体" w:eastAsia="黑体"/>
          <w:sz w:val="72"/>
          <w:szCs w:val="72"/>
        </w:rPr>
      </w:pPr>
    </w:p>
    <w:p w:rsidR="00B5326E" w:rsidRDefault="00B5326E">
      <w:pPr>
        <w:jc w:val="center"/>
        <w:rPr>
          <w:rFonts w:ascii="黑体" w:eastAsia="黑体"/>
          <w:sz w:val="72"/>
          <w:szCs w:val="72"/>
        </w:rPr>
      </w:pPr>
    </w:p>
    <w:p w:rsidR="00B5326E" w:rsidRDefault="00B5326E">
      <w:pPr>
        <w:jc w:val="center"/>
        <w:rPr>
          <w:rFonts w:ascii="黑体" w:eastAsia="黑体"/>
          <w:sz w:val="72"/>
          <w:szCs w:val="72"/>
        </w:rPr>
      </w:pPr>
    </w:p>
    <w:p w:rsidR="00B5326E" w:rsidRDefault="00FE7CD9">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B5326E" w:rsidRDefault="00B5326E">
      <w:pPr>
        <w:jc w:val="center"/>
        <w:rPr>
          <w:rFonts w:ascii="黑体" w:eastAsia="黑体"/>
          <w:sz w:val="52"/>
          <w:szCs w:val="52"/>
        </w:rPr>
      </w:pPr>
    </w:p>
    <w:p w:rsidR="00B5326E" w:rsidRDefault="00B5326E">
      <w:pPr>
        <w:jc w:val="center"/>
        <w:rPr>
          <w:rFonts w:ascii="黑体" w:eastAsia="黑体"/>
          <w:sz w:val="52"/>
          <w:szCs w:val="52"/>
        </w:rPr>
      </w:pPr>
    </w:p>
    <w:p w:rsidR="00B5326E" w:rsidRDefault="00B5326E">
      <w:pPr>
        <w:jc w:val="center"/>
        <w:rPr>
          <w:rFonts w:ascii="黑体" w:eastAsia="黑体"/>
          <w:sz w:val="52"/>
          <w:szCs w:val="52"/>
        </w:rPr>
      </w:pPr>
    </w:p>
    <w:p w:rsidR="00B5326E" w:rsidRDefault="00B5326E">
      <w:pPr>
        <w:jc w:val="center"/>
        <w:rPr>
          <w:rFonts w:ascii="黑体" w:eastAsia="黑体"/>
          <w:sz w:val="52"/>
          <w:szCs w:val="52"/>
        </w:rPr>
      </w:pPr>
    </w:p>
    <w:p w:rsidR="00B5326E" w:rsidRDefault="00B5326E">
      <w:pPr>
        <w:jc w:val="center"/>
        <w:rPr>
          <w:rFonts w:ascii="黑体" w:eastAsia="黑体"/>
          <w:sz w:val="32"/>
          <w:szCs w:val="32"/>
        </w:rPr>
      </w:pPr>
    </w:p>
    <w:p w:rsidR="00B5326E" w:rsidRDefault="00FE7CD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B5326E" w:rsidRDefault="00B5326E">
      <w:pPr>
        <w:spacing w:line="500" w:lineRule="exact"/>
        <w:ind w:firstLine="645"/>
        <w:jc w:val="center"/>
        <w:rPr>
          <w:rFonts w:ascii="宋体" w:hAnsi="宋体" w:cs="宋体"/>
          <w:b/>
          <w:bCs/>
          <w:kern w:val="0"/>
          <w:sz w:val="36"/>
          <w:szCs w:val="36"/>
        </w:rPr>
      </w:pPr>
    </w:p>
    <w:p w:rsidR="00B5326E" w:rsidRDefault="00FE7CD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B5326E" w:rsidRDefault="00FE7CD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5326E" w:rsidRDefault="00FE7CD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B5326E" w:rsidRDefault="00FE7CD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B5326E" w:rsidRDefault="00FE7CD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B5326E" w:rsidRDefault="00FE7CD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B5326E" w:rsidRDefault="00B5326E" w:rsidP="004E242C">
      <w:pPr>
        <w:tabs>
          <w:tab w:val="center" w:pos="6979"/>
        </w:tabs>
        <w:spacing w:beforeLines="50" w:afterLines="50"/>
        <w:jc w:val="center"/>
        <w:rPr>
          <w:rFonts w:ascii="宋体" w:hAnsi="宋体" w:cs="宋体"/>
          <w:b/>
          <w:bCs/>
          <w:spacing w:val="40"/>
          <w:kern w:val="0"/>
          <w:sz w:val="32"/>
          <w:szCs w:val="32"/>
        </w:rPr>
      </w:pPr>
    </w:p>
    <w:p w:rsidR="00B5326E" w:rsidRDefault="00B5326E" w:rsidP="004E242C">
      <w:pPr>
        <w:tabs>
          <w:tab w:val="center" w:pos="6979"/>
        </w:tabs>
        <w:spacing w:beforeLines="50" w:afterLines="50"/>
        <w:jc w:val="center"/>
        <w:rPr>
          <w:rFonts w:ascii="宋体" w:hAnsi="宋体" w:cs="宋体"/>
          <w:b/>
          <w:bCs/>
          <w:spacing w:val="40"/>
          <w:kern w:val="0"/>
          <w:sz w:val="32"/>
          <w:szCs w:val="32"/>
        </w:rPr>
      </w:pPr>
    </w:p>
    <w:p w:rsidR="00B5326E" w:rsidRDefault="00B5326E" w:rsidP="004E242C">
      <w:pPr>
        <w:tabs>
          <w:tab w:val="center" w:pos="6979"/>
        </w:tabs>
        <w:spacing w:beforeLines="50" w:afterLines="50"/>
        <w:jc w:val="center"/>
        <w:rPr>
          <w:rFonts w:ascii="宋体" w:hAnsi="宋体" w:cs="宋体"/>
          <w:b/>
          <w:bCs/>
          <w:spacing w:val="40"/>
          <w:kern w:val="0"/>
          <w:sz w:val="32"/>
          <w:szCs w:val="32"/>
        </w:rPr>
      </w:pPr>
    </w:p>
    <w:p w:rsidR="00B5326E" w:rsidRDefault="00B5326E" w:rsidP="004E242C">
      <w:pPr>
        <w:tabs>
          <w:tab w:val="center" w:pos="6979"/>
        </w:tabs>
        <w:spacing w:beforeLines="50" w:afterLines="50"/>
        <w:jc w:val="center"/>
        <w:rPr>
          <w:rFonts w:ascii="宋体" w:hAnsi="宋体" w:cs="宋体"/>
          <w:b/>
          <w:bCs/>
          <w:spacing w:val="40"/>
          <w:kern w:val="0"/>
          <w:sz w:val="32"/>
          <w:szCs w:val="32"/>
        </w:rPr>
      </w:pPr>
    </w:p>
    <w:p w:rsidR="00B5326E" w:rsidRDefault="00B5326E" w:rsidP="004E242C">
      <w:pPr>
        <w:tabs>
          <w:tab w:val="center" w:pos="6979"/>
        </w:tabs>
        <w:spacing w:beforeLines="50" w:afterLines="50"/>
        <w:jc w:val="center"/>
        <w:rPr>
          <w:rFonts w:ascii="宋体" w:hAnsi="宋体" w:cs="宋体"/>
          <w:b/>
          <w:bCs/>
          <w:spacing w:val="40"/>
          <w:kern w:val="0"/>
          <w:sz w:val="32"/>
          <w:szCs w:val="32"/>
        </w:rPr>
      </w:pPr>
    </w:p>
    <w:p w:rsidR="00B5326E" w:rsidRDefault="00FE7CD9" w:rsidP="004E242C">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B5326E" w:rsidRDefault="00FE7CD9">
      <w:pPr>
        <w:pStyle w:val="2"/>
        <w:rPr>
          <w:b w:val="0"/>
          <w:bCs w:val="0"/>
        </w:rPr>
        <w:sectPr w:rsidR="00B5326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b w:val="0"/>
          <w:bCs w:val="0"/>
          <w:sz w:val="28"/>
          <w:szCs w:val="28"/>
        </w:rPr>
        <w:t>报表详见附件。</w:t>
      </w:r>
    </w:p>
    <w:p w:rsidR="00B5326E" w:rsidRDefault="00FE7CD9" w:rsidP="004E242C">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B5326E" w:rsidRDefault="0076483B" w:rsidP="00764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FE7CD9">
        <w:rPr>
          <w:rFonts w:ascii="黑体" w:eastAsia="黑体" w:hint="eastAsia"/>
          <w:b/>
          <w:sz w:val="28"/>
          <w:szCs w:val="28"/>
        </w:rPr>
        <w:t>单位基本情况</w:t>
      </w:r>
    </w:p>
    <w:p w:rsidR="0076483B" w:rsidRDefault="0076483B" w:rsidP="0076483B">
      <w:pPr>
        <w:snapToGrid w:val="0"/>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（一）单位职责：开展成人教育和各层次成人培训工作。</w:t>
      </w:r>
    </w:p>
    <w:p w:rsidR="0076483B" w:rsidRDefault="0076483B" w:rsidP="0076483B">
      <w:pPr>
        <w:snapToGrid w:val="0"/>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（二）机构设置：本单位为独立编制、独立核算机构，设有校长室、办公室、教务处、总务处、财务室等职能部门。</w:t>
      </w:r>
    </w:p>
    <w:p w:rsidR="00B5326E" w:rsidRDefault="00FE7CD9">
      <w:pPr>
        <w:tabs>
          <w:tab w:val="center" w:pos="6979"/>
        </w:tabs>
        <w:spacing w:line="580" w:lineRule="exact"/>
        <w:rPr>
          <w:rFonts w:ascii="黑体" w:eastAsia="黑体"/>
          <w:b/>
          <w:sz w:val="28"/>
          <w:szCs w:val="28"/>
        </w:rPr>
      </w:pPr>
      <w:r>
        <w:rPr>
          <w:rFonts w:ascii="黑体" w:eastAsia="黑体" w:hint="eastAsia"/>
          <w:b/>
          <w:sz w:val="28"/>
          <w:szCs w:val="28"/>
        </w:rPr>
        <w:t>二、收入支出决算总体情况说明</w:t>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417.64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1A13B4">
        <w:rPr>
          <w:rFonts w:ascii="仿宋_GB2312" w:eastAsia="仿宋_GB2312" w:hint="eastAsia"/>
          <w:sz w:val="28"/>
          <w:szCs w:val="28"/>
        </w:rPr>
        <w:t>9.61</w:t>
      </w:r>
      <w:r>
        <w:rPr>
          <w:rFonts w:ascii="仿宋_GB2312" w:eastAsia="仿宋_GB2312" w:hint="eastAsia"/>
          <w:sz w:val="28"/>
          <w:szCs w:val="28"/>
        </w:rPr>
        <w:t>万元，下降</w:t>
      </w:r>
      <w:r w:rsidR="001A13B4">
        <w:rPr>
          <w:rFonts w:ascii="仿宋_GB2312" w:eastAsia="仿宋_GB2312" w:hint="eastAsia"/>
          <w:sz w:val="28"/>
          <w:szCs w:val="28"/>
        </w:rPr>
        <w:t>2.25</w:t>
      </w:r>
      <w:r>
        <w:rPr>
          <w:rFonts w:ascii="仿宋_GB2312" w:eastAsia="仿宋_GB2312" w:hint="eastAsia"/>
          <w:sz w:val="28"/>
          <w:szCs w:val="28"/>
        </w:rPr>
        <w:t>%。</w:t>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389.64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4B2C17">
        <w:rPr>
          <w:rFonts w:ascii="仿宋_GB2312" w:eastAsia="仿宋_GB2312" w:hint="eastAsia"/>
          <w:sz w:val="28"/>
          <w:szCs w:val="28"/>
        </w:rPr>
        <w:t>29.17</w:t>
      </w:r>
      <w:r>
        <w:rPr>
          <w:rFonts w:ascii="仿宋_GB2312" w:eastAsia="仿宋_GB2312" w:hint="eastAsia"/>
          <w:sz w:val="28"/>
          <w:szCs w:val="28"/>
        </w:rPr>
        <w:t>万元，下降</w:t>
      </w:r>
      <w:r w:rsidR="004B2C17">
        <w:rPr>
          <w:rFonts w:ascii="仿宋_GB2312" w:eastAsia="仿宋_GB2312" w:hint="eastAsia"/>
          <w:sz w:val="28"/>
          <w:szCs w:val="28"/>
        </w:rPr>
        <w:t>6.96</w:t>
      </w:r>
      <w:r>
        <w:rPr>
          <w:rFonts w:ascii="仿宋_GB2312" w:eastAsia="仿宋_GB2312" w:hint="eastAsia"/>
          <w:sz w:val="28"/>
          <w:szCs w:val="28"/>
        </w:rPr>
        <w:t>%。</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389.64</w:t>
      </w:r>
      <w:r>
        <w:rPr>
          <w:rFonts w:ascii="仿宋_GB2312" w:eastAsia="仿宋_GB2312" w:hint="eastAsia"/>
          <w:sz w:val="28"/>
          <w:szCs w:val="28"/>
        </w:rPr>
        <w:t>万元，占收入合计的100%。其中：一般公共预算财政拨款收入</w:t>
      </w:r>
      <w:r w:rsidR="009373E5">
        <w:rPr>
          <w:rFonts w:ascii="仿宋_GB2312" w:eastAsia="仿宋_GB2312" w:hint="eastAsia"/>
          <w:sz w:val="28"/>
          <w:szCs w:val="28"/>
        </w:rPr>
        <w:t>389.64</w:t>
      </w:r>
      <w:r>
        <w:rPr>
          <w:rFonts w:ascii="仿宋_GB2312" w:eastAsia="仿宋_GB2312" w:hint="eastAsia"/>
          <w:sz w:val="28"/>
          <w:szCs w:val="28"/>
        </w:rPr>
        <w:t>万元，占收入合计的</w:t>
      </w:r>
      <w:r w:rsidR="009373E5">
        <w:rPr>
          <w:rFonts w:ascii="仿宋_GB2312" w:eastAsia="仿宋_GB2312" w:hint="eastAsia"/>
          <w:sz w:val="28"/>
          <w:szCs w:val="28"/>
        </w:rPr>
        <w:t>100</w:t>
      </w:r>
      <w:r>
        <w:rPr>
          <w:rFonts w:ascii="仿宋_GB2312" w:eastAsia="仿宋_GB2312" w:hint="eastAsia"/>
          <w:sz w:val="28"/>
          <w:szCs w:val="28"/>
        </w:rPr>
        <w:t>%；政府性基金预算财政拨款收入</w:t>
      </w:r>
      <w:r w:rsidR="0059624A">
        <w:rPr>
          <w:rFonts w:ascii="仿宋_GB2312" w:eastAsia="仿宋_GB2312" w:hint="eastAsia"/>
          <w:sz w:val="28"/>
          <w:szCs w:val="28"/>
        </w:rPr>
        <w:t>0</w:t>
      </w:r>
      <w:r>
        <w:rPr>
          <w:rFonts w:ascii="仿宋_GB2312" w:eastAsia="仿宋_GB2312" w:hint="eastAsia"/>
          <w:sz w:val="28"/>
          <w:szCs w:val="28"/>
        </w:rPr>
        <w:t>万元，占收入合计的</w:t>
      </w:r>
      <w:r w:rsidR="0059624A">
        <w:rPr>
          <w:rFonts w:ascii="仿宋_GB2312" w:eastAsia="仿宋_GB2312" w:hint="eastAsia"/>
          <w:sz w:val="28"/>
          <w:szCs w:val="28"/>
        </w:rPr>
        <w:t>0</w:t>
      </w:r>
      <w:r>
        <w:rPr>
          <w:rFonts w:ascii="仿宋_GB2312" w:eastAsia="仿宋_GB2312" w:hint="eastAsia"/>
          <w:sz w:val="28"/>
          <w:szCs w:val="28"/>
        </w:rPr>
        <w:t>%；国有资本经营预算财政拨款收入</w:t>
      </w:r>
      <w:r w:rsidR="0059624A">
        <w:rPr>
          <w:rFonts w:ascii="仿宋_GB2312" w:eastAsia="仿宋_GB2312" w:hint="eastAsia"/>
          <w:sz w:val="28"/>
          <w:szCs w:val="28"/>
        </w:rPr>
        <w:t>0</w:t>
      </w:r>
      <w:r>
        <w:rPr>
          <w:rFonts w:ascii="仿宋_GB2312" w:eastAsia="仿宋_GB2312" w:hint="eastAsia"/>
          <w:sz w:val="28"/>
          <w:szCs w:val="28"/>
        </w:rPr>
        <w:t>万元，占收入合计的</w:t>
      </w:r>
      <w:r w:rsidR="0059624A">
        <w:rPr>
          <w:rFonts w:ascii="仿宋_GB2312" w:eastAsia="仿宋_GB2312" w:hint="eastAsia"/>
          <w:sz w:val="28"/>
          <w:szCs w:val="28"/>
        </w:rPr>
        <w:t>0</w:t>
      </w:r>
      <w:r>
        <w:rPr>
          <w:rFonts w:ascii="仿宋_GB2312" w:eastAsia="仿宋_GB2312" w:hint="eastAsia"/>
          <w:sz w:val="28"/>
          <w:szCs w:val="28"/>
        </w:rPr>
        <w:t>%；</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B5326E" w:rsidRDefault="00FE7CD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B5326E" w:rsidRDefault="00B5326E">
      <w:pPr>
        <w:spacing w:line="560" w:lineRule="exact"/>
        <w:ind w:firstLine="640"/>
        <w:rPr>
          <w:rFonts w:ascii="仿宋_GB2312" w:eastAsia="仿宋_GB2312" w:cs="Droid Sans"/>
          <w:color w:val="000000"/>
          <w:sz w:val="32"/>
          <w:szCs w:val="32"/>
        </w:rPr>
      </w:pPr>
    </w:p>
    <w:p w:rsidR="00B5326E" w:rsidRDefault="00FE7CD9">
      <w:pPr>
        <w:pStyle w:val="2"/>
        <w:jc w:val="center"/>
      </w:pPr>
      <w:r>
        <w:rPr>
          <w:rFonts w:ascii="仿宋_GB2312" w:eastAsia="仿宋_GB2312" w:hint="eastAsia"/>
          <w:color w:val="000000"/>
          <w:sz w:val="32"/>
        </w:rPr>
        <w:t>图1：收入决算</w:t>
      </w:r>
    </w:p>
    <w:p w:rsidR="00B5326E" w:rsidRDefault="00FE7CD9">
      <w:pPr>
        <w:pStyle w:val="a3"/>
        <w:ind w:firstLine="420"/>
        <w:jc w:val="center"/>
      </w:pPr>
      <w:r>
        <w:rPr>
          <w:noProof/>
        </w:rPr>
        <w:drawing>
          <wp:inline distT="0" distB="0" distL="0" distR="0">
            <wp:extent cx="4036695" cy="2328545"/>
            <wp:effectExtent l="0" t="0" r="20955" b="14605"/>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417.64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EF2189">
        <w:rPr>
          <w:rFonts w:ascii="仿宋_GB2312" w:eastAsia="仿宋_GB2312" w:hint="eastAsia"/>
          <w:sz w:val="28"/>
          <w:szCs w:val="28"/>
        </w:rPr>
        <w:t>9.61</w:t>
      </w:r>
      <w:r>
        <w:rPr>
          <w:rFonts w:ascii="仿宋_GB2312" w:eastAsia="仿宋_GB2312" w:hint="eastAsia"/>
          <w:sz w:val="28"/>
          <w:szCs w:val="28"/>
        </w:rPr>
        <w:t>万元，下降</w:t>
      </w:r>
      <w:r w:rsidR="00EF2189">
        <w:rPr>
          <w:rFonts w:ascii="仿宋_GB2312" w:eastAsia="仿宋_GB2312" w:hint="eastAsia"/>
          <w:sz w:val="28"/>
          <w:szCs w:val="28"/>
        </w:rPr>
        <w:t>2.25</w:t>
      </w:r>
      <w:r>
        <w:rPr>
          <w:rFonts w:ascii="仿宋_GB2312" w:eastAsia="仿宋_GB2312" w:hint="eastAsia"/>
          <w:sz w:val="28"/>
          <w:szCs w:val="28"/>
        </w:rPr>
        <w:t>%，其中：基本支出</w:t>
      </w:r>
      <w:r>
        <w:rPr>
          <w:rFonts w:ascii="仿宋_GB2312" w:eastAsia="仿宋_GB2312"/>
          <w:sz w:val="28"/>
          <w:szCs w:val="28"/>
        </w:rPr>
        <w:t>406.35</w:t>
      </w:r>
      <w:r>
        <w:rPr>
          <w:rFonts w:ascii="仿宋_GB2312" w:eastAsia="仿宋_GB2312" w:hint="eastAsia"/>
          <w:sz w:val="28"/>
          <w:szCs w:val="28"/>
        </w:rPr>
        <w:t>万元，占支出合计的97.3%；项目支出</w:t>
      </w:r>
      <w:r>
        <w:rPr>
          <w:rFonts w:ascii="仿宋_GB2312" w:eastAsia="仿宋_GB2312"/>
          <w:sz w:val="28"/>
          <w:szCs w:val="28"/>
        </w:rPr>
        <w:t>11.29</w:t>
      </w:r>
      <w:r>
        <w:rPr>
          <w:rFonts w:ascii="仿宋_GB2312" w:eastAsia="仿宋_GB2312" w:hint="eastAsia"/>
          <w:sz w:val="28"/>
          <w:szCs w:val="28"/>
        </w:rPr>
        <w:t>万元，占支出合计的2.7%;上缴上级支出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B5326E" w:rsidRDefault="00FE7CD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B5326E" w:rsidRDefault="00FE7CD9">
      <w:pPr>
        <w:jc w:val="center"/>
        <w:rPr>
          <w:rFonts w:ascii="黑体" w:eastAsia="黑体"/>
          <w:b/>
          <w:sz w:val="28"/>
          <w:szCs w:val="28"/>
        </w:rPr>
      </w:pPr>
      <w:r>
        <w:rPr>
          <w:noProof/>
        </w:rPr>
        <w:drawing>
          <wp:inline distT="0" distB="0" distL="114300" distR="114300">
            <wp:extent cx="4572000" cy="2743200"/>
            <wp:effectExtent l="4445" t="4445" r="14605" b="14605"/>
            <wp:docPr id="2"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326E" w:rsidRDefault="00FE7CD9" w:rsidP="00764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5326E" w:rsidRDefault="00FE7CD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417.64</w:t>
      </w:r>
      <w:r>
        <w:rPr>
          <w:rFonts w:ascii="仿宋_GB2312" w:eastAsia="仿宋_GB2312" w:hint="eastAsia"/>
          <w:sz w:val="28"/>
          <w:szCs w:val="28"/>
        </w:rPr>
        <w:t>万元，比上年减少</w:t>
      </w:r>
      <w:r w:rsidR="00091C5C">
        <w:rPr>
          <w:rFonts w:ascii="仿宋_GB2312" w:eastAsia="仿宋_GB2312" w:hint="eastAsia"/>
          <w:sz w:val="28"/>
          <w:szCs w:val="28"/>
        </w:rPr>
        <w:t>9.61</w:t>
      </w:r>
      <w:r>
        <w:rPr>
          <w:rFonts w:ascii="仿宋_GB2312" w:eastAsia="仿宋_GB2312" w:hint="eastAsia"/>
          <w:sz w:val="28"/>
          <w:szCs w:val="28"/>
        </w:rPr>
        <w:t>万元，下降</w:t>
      </w:r>
      <w:r w:rsidR="00091C5C">
        <w:rPr>
          <w:rFonts w:ascii="仿宋_GB2312" w:eastAsia="仿宋_GB2312" w:hint="eastAsia"/>
          <w:sz w:val="28"/>
          <w:szCs w:val="28"/>
        </w:rPr>
        <w:t>2.25</w:t>
      </w:r>
      <w:r>
        <w:rPr>
          <w:rFonts w:ascii="仿宋_GB2312" w:eastAsia="仿宋_GB2312" w:hint="eastAsia"/>
          <w:sz w:val="28"/>
          <w:szCs w:val="28"/>
        </w:rPr>
        <w:t>%。主要原因：</w:t>
      </w:r>
      <w:r w:rsidR="00091C5C">
        <w:rPr>
          <w:rFonts w:ascii="仿宋_GB2312" w:eastAsia="仿宋_GB2312" w:hint="eastAsia"/>
          <w:sz w:val="28"/>
          <w:szCs w:val="28"/>
        </w:rPr>
        <w:t>2024年度项目经费减少</w:t>
      </w:r>
      <w:r>
        <w:rPr>
          <w:rFonts w:ascii="仿宋_GB2312" w:eastAsia="仿宋_GB2312" w:hint="eastAsia"/>
          <w:sz w:val="28"/>
          <w:szCs w:val="28"/>
        </w:rPr>
        <w:t>。</w:t>
      </w:r>
    </w:p>
    <w:p w:rsidR="00B5326E" w:rsidRDefault="00FE7CD9" w:rsidP="0076483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5326E" w:rsidRDefault="00FE7CD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DB715F" w:rsidRDefault="00FE7CD9" w:rsidP="00DB715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417.64</w:t>
      </w:r>
      <w:r>
        <w:rPr>
          <w:rFonts w:ascii="仿宋_GB2312" w:eastAsia="仿宋_GB2312" w:hint="eastAsia"/>
          <w:sz w:val="28"/>
          <w:szCs w:val="28"/>
        </w:rPr>
        <w:t>万元，主要用于以下方面：</w:t>
      </w:r>
      <w:r w:rsidR="00DB715F">
        <w:rPr>
          <w:rFonts w:ascii="仿宋_GB2312" w:eastAsia="仿宋_GB2312" w:hint="eastAsia"/>
          <w:sz w:val="28"/>
          <w:szCs w:val="28"/>
        </w:rPr>
        <w:t>教育支出313.96万元，占本年财政拨款支出75.17%。社会保障和就业支出42.68万元，</w:t>
      </w:r>
      <w:bookmarkStart w:id="0" w:name="_Hlk143870682"/>
      <w:r w:rsidR="00DB715F">
        <w:rPr>
          <w:rFonts w:ascii="仿宋_GB2312" w:eastAsia="仿宋_GB2312" w:hint="eastAsia"/>
          <w:sz w:val="28"/>
          <w:szCs w:val="28"/>
        </w:rPr>
        <w:t>占本年财政拨款支出10.22%</w:t>
      </w:r>
      <w:bookmarkEnd w:id="0"/>
      <w:r w:rsidR="00DB715F">
        <w:rPr>
          <w:rFonts w:ascii="仿宋_GB2312" w:eastAsia="仿宋_GB2312" w:hint="eastAsia"/>
          <w:sz w:val="28"/>
          <w:szCs w:val="28"/>
        </w:rPr>
        <w:t>。卫生健康支出33万元，占本年财政拨款支</w:t>
      </w:r>
      <w:r w:rsidR="00DB715F">
        <w:rPr>
          <w:rFonts w:ascii="仿宋_GB2312" w:eastAsia="仿宋_GB2312" w:hint="eastAsia"/>
          <w:sz w:val="28"/>
          <w:szCs w:val="28"/>
        </w:rPr>
        <w:lastRenderedPageBreak/>
        <w:t>出7.9%。住房保障支出28万元，占本年财政拨款支出6.71%。</w:t>
      </w:r>
    </w:p>
    <w:p w:rsidR="00B5326E" w:rsidRDefault="00FE7CD9" w:rsidP="00DB715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D47F2D" w:rsidRDefault="00E57429" w:rsidP="00D47F2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w:t>
      </w:r>
      <w:r w:rsidR="00D47F2D">
        <w:rPr>
          <w:rFonts w:ascii="仿宋_GB2312" w:eastAsia="仿宋_GB2312" w:hint="eastAsia"/>
          <w:sz w:val="28"/>
          <w:szCs w:val="28"/>
        </w:rPr>
        <w:t>2024年度年初预算296.18万元，2024年度决算313.96万元，完成年初预算的</w:t>
      </w:r>
      <w:r w:rsidR="00F51D91">
        <w:rPr>
          <w:rFonts w:ascii="仿宋_GB2312" w:eastAsia="仿宋_GB2312" w:hint="eastAsia"/>
          <w:sz w:val="28"/>
          <w:szCs w:val="28"/>
        </w:rPr>
        <w:t>106</w:t>
      </w:r>
      <w:r w:rsidR="00D47F2D">
        <w:rPr>
          <w:rFonts w:ascii="仿宋_GB2312" w:eastAsia="仿宋_GB2312" w:hint="eastAsia"/>
          <w:sz w:val="28"/>
          <w:szCs w:val="28"/>
        </w:rPr>
        <w:t>%。</w:t>
      </w:r>
    </w:p>
    <w:p w:rsidR="00D47F2D" w:rsidRDefault="00D47F2D" w:rsidP="00D47F2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“成人教育”</w:t>
      </w:r>
      <w:r w:rsidR="004F1552">
        <w:rPr>
          <w:rFonts w:ascii="仿宋_GB2312" w:eastAsia="仿宋_GB2312" w:hint="eastAsia"/>
          <w:sz w:val="28"/>
          <w:szCs w:val="28"/>
        </w:rPr>
        <w:t>2024年度年初预算296.18万元，</w:t>
      </w:r>
      <w:r>
        <w:rPr>
          <w:rFonts w:ascii="仿宋_GB2312" w:eastAsia="仿宋_GB2312" w:hint="eastAsia"/>
          <w:sz w:val="28"/>
          <w:szCs w:val="28"/>
        </w:rPr>
        <w:t>2024年度决算313.96万元，</w:t>
      </w:r>
      <w:r w:rsidR="004F1552">
        <w:rPr>
          <w:rFonts w:ascii="仿宋_GB2312" w:eastAsia="仿宋_GB2312" w:hint="eastAsia"/>
          <w:sz w:val="28"/>
          <w:szCs w:val="28"/>
        </w:rPr>
        <w:t>完成年初预算的106%。</w:t>
      </w:r>
      <w:r>
        <w:rPr>
          <w:rFonts w:ascii="仿宋_GB2312" w:eastAsia="仿宋_GB2312" w:hint="eastAsia"/>
          <w:sz w:val="28"/>
          <w:szCs w:val="28"/>
        </w:rPr>
        <w:t>主要原因：薪级晋升、9月调入1人及公积金和社保基数调整，成人初等教育比年初预算增加17.78万元。</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w:t>
      </w:r>
      <w:r w:rsidR="00550820">
        <w:rPr>
          <w:rFonts w:ascii="仿宋_GB2312" w:eastAsia="仿宋_GB2312" w:hint="eastAsia"/>
          <w:sz w:val="28"/>
          <w:szCs w:val="28"/>
        </w:rPr>
        <w:t>2024年度年初预算39.23万元，</w:t>
      </w:r>
      <w:r>
        <w:rPr>
          <w:rFonts w:ascii="仿宋_GB2312" w:eastAsia="仿宋_GB2312" w:hint="eastAsia"/>
          <w:sz w:val="28"/>
          <w:szCs w:val="28"/>
        </w:rPr>
        <w:t>2024年度决算42.68万元，</w:t>
      </w:r>
      <w:r w:rsidR="0003592C">
        <w:rPr>
          <w:rFonts w:ascii="仿宋_GB2312" w:eastAsia="仿宋_GB2312" w:hint="eastAsia"/>
          <w:sz w:val="28"/>
          <w:szCs w:val="28"/>
        </w:rPr>
        <w:t>完成年初预算的10</w:t>
      </w:r>
      <w:r>
        <w:rPr>
          <w:rFonts w:ascii="仿宋_GB2312" w:eastAsia="仿宋_GB2312" w:hint="eastAsia"/>
          <w:sz w:val="28"/>
          <w:szCs w:val="28"/>
        </w:rPr>
        <w:t>8.79%。其中：</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sidR="007C350B">
        <w:rPr>
          <w:rFonts w:ascii="仿宋_GB2312" w:eastAsia="仿宋_GB2312" w:hint="eastAsia"/>
          <w:sz w:val="28"/>
          <w:szCs w:val="28"/>
        </w:rPr>
        <w:t>2024年度年初预算39.23万元，2024年度决算42.68万元，</w:t>
      </w:r>
      <w:r w:rsidR="00B84C7B">
        <w:rPr>
          <w:rFonts w:ascii="仿宋_GB2312" w:eastAsia="仿宋_GB2312" w:hint="eastAsia"/>
          <w:sz w:val="28"/>
          <w:szCs w:val="28"/>
        </w:rPr>
        <w:t>完成年初预算的108.79%。</w:t>
      </w:r>
      <w:r>
        <w:rPr>
          <w:rFonts w:ascii="仿宋_GB2312" w:eastAsia="仿宋_GB2312" w:hint="eastAsia"/>
          <w:sz w:val="28"/>
          <w:szCs w:val="28"/>
        </w:rPr>
        <w:t>主要原因：社保基数调整，</w:t>
      </w:r>
      <w:bookmarkStart w:id="1" w:name="_Hlk143873009"/>
      <w:r>
        <w:rPr>
          <w:rFonts w:ascii="仿宋_GB2312" w:eastAsia="仿宋_GB2312" w:hint="eastAsia"/>
          <w:sz w:val="28"/>
          <w:szCs w:val="28"/>
        </w:rPr>
        <w:t>机关事业单位基本养老保险缴费</w:t>
      </w:r>
      <w:bookmarkEnd w:id="1"/>
      <w:r>
        <w:rPr>
          <w:rFonts w:ascii="仿宋_GB2312" w:eastAsia="仿宋_GB2312" w:hint="eastAsia"/>
          <w:sz w:val="28"/>
          <w:szCs w:val="28"/>
        </w:rPr>
        <w:t>支出增加2.3万元，机关事业单位职业年金缴费支出增加1.15万元。</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r w:rsidR="00DC1B8D">
        <w:rPr>
          <w:rFonts w:ascii="仿宋_GB2312" w:eastAsia="仿宋_GB2312" w:hint="eastAsia"/>
          <w:sz w:val="28"/>
          <w:szCs w:val="28"/>
        </w:rPr>
        <w:t>2024年度年初预算30.52万元，</w:t>
      </w:r>
      <w:r>
        <w:rPr>
          <w:rFonts w:ascii="仿宋_GB2312" w:eastAsia="仿宋_GB2312" w:hint="eastAsia"/>
          <w:sz w:val="28"/>
          <w:szCs w:val="28"/>
        </w:rPr>
        <w:t>2024年度决算33万元，</w:t>
      </w:r>
      <w:r w:rsidR="001C0AFE">
        <w:rPr>
          <w:rFonts w:ascii="仿宋_GB2312" w:eastAsia="仿宋_GB2312" w:hint="eastAsia"/>
          <w:sz w:val="28"/>
          <w:szCs w:val="28"/>
        </w:rPr>
        <w:t>完成</w:t>
      </w:r>
      <w:r>
        <w:rPr>
          <w:rFonts w:ascii="仿宋_GB2312" w:eastAsia="仿宋_GB2312" w:hint="eastAsia"/>
          <w:sz w:val="28"/>
          <w:szCs w:val="28"/>
        </w:rPr>
        <w:t>年初预算</w:t>
      </w:r>
      <w:r w:rsidR="00100078">
        <w:rPr>
          <w:rFonts w:ascii="仿宋_GB2312" w:eastAsia="仿宋_GB2312" w:hint="eastAsia"/>
          <w:sz w:val="28"/>
          <w:szCs w:val="28"/>
        </w:rPr>
        <w:t>的10</w:t>
      </w:r>
      <w:r>
        <w:rPr>
          <w:rFonts w:ascii="仿宋_GB2312" w:eastAsia="仿宋_GB2312" w:hint="eastAsia"/>
          <w:sz w:val="28"/>
          <w:szCs w:val="28"/>
        </w:rPr>
        <w:t>8.13%。其中：</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sidR="00303B1D">
        <w:rPr>
          <w:rFonts w:ascii="仿宋_GB2312" w:eastAsia="仿宋_GB2312" w:hint="eastAsia"/>
          <w:sz w:val="28"/>
          <w:szCs w:val="28"/>
        </w:rPr>
        <w:t>2024年度年初预算30.52万元，2024年度决算33万元，完成年初预算的108.13%。</w:t>
      </w:r>
      <w:r>
        <w:rPr>
          <w:rFonts w:ascii="仿宋_GB2312" w:eastAsia="仿宋_GB2312" w:hint="eastAsia"/>
          <w:sz w:val="28"/>
          <w:szCs w:val="28"/>
        </w:rPr>
        <w:t>主要原因：社保基数调整，事业单位医疗增加1.9万元，公务员医疗补助增加0.58万元。</w:t>
      </w:r>
    </w:p>
    <w:p w:rsidR="00E57429" w:rsidRDefault="00E57429" w:rsidP="00E57429">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住房保障支出</w:t>
      </w:r>
      <w:r>
        <w:rPr>
          <w:rFonts w:ascii="仿宋_GB2312" w:eastAsia="仿宋_GB2312"/>
          <w:sz w:val="28"/>
          <w:szCs w:val="28"/>
        </w:rPr>
        <w:t>”</w:t>
      </w:r>
      <w:r w:rsidR="00512991">
        <w:rPr>
          <w:rFonts w:ascii="仿宋_GB2312" w:eastAsia="仿宋_GB2312" w:hint="eastAsia"/>
          <w:sz w:val="28"/>
          <w:szCs w:val="28"/>
        </w:rPr>
        <w:t>2024年度年初预算0万元，</w:t>
      </w:r>
      <w:r>
        <w:rPr>
          <w:rFonts w:ascii="仿宋_GB2312" w:eastAsia="仿宋_GB2312" w:hint="eastAsia"/>
          <w:sz w:val="28"/>
          <w:szCs w:val="28"/>
        </w:rPr>
        <w:t>2024年度决算28万元。其中：</w:t>
      </w:r>
    </w:p>
    <w:p w:rsidR="00B5326E" w:rsidRDefault="00E57429" w:rsidP="00C658A5">
      <w:pPr>
        <w:spacing w:line="58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住房改革支出</w:t>
      </w:r>
      <w:r>
        <w:rPr>
          <w:rFonts w:ascii="仿宋_GB2312" w:eastAsia="仿宋_GB2312"/>
          <w:sz w:val="28"/>
          <w:szCs w:val="28"/>
        </w:rPr>
        <w:t>”</w:t>
      </w:r>
      <w:r w:rsidR="00DD69DD">
        <w:rPr>
          <w:rFonts w:ascii="仿宋_GB2312" w:eastAsia="仿宋_GB2312" w:hint="eastAsia"/>
          <w:sz w:val="28"/>
          <w:szCs w:val="28"/>
        </w:rPr>
        <w:t>2024年度年初预算0万元，2024年度决算28万元</w:t>
      </w:r>
      <w:r>
        <w:rPr>
          <w:rFonts w:ascii="仿宋_GB2312" w:eastAsia="仿宋_GB2312" w:hint="eastAsia"/>
          <w:sz w:val="28"/>
          <w:szCs w:val="28"/>
        </w:rPr>
        <w:t>。主要原因：购房补贴比年初预算增加28万元。</w:t>
      </w:r>
    </w:p>
    <w:p w:rsidR="00B5326E" w:rsidRDefault="00FE7CD9" w:rsidP="0076483B">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BE34A0" w:rsidRDefault="00FE7CD9" w:rsidP="00BE34A0">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sidR="008659D5">
        <w:rPr>
          <w:rFonts w:ascii="仿宋_GB2312" w:eastAsia="仿宋_GB2312" w:hint="eastAsia"/>
          <w:sz w:val="28"/>
          <w:szCs w:val="28"/>
        </w:rPr>
        <w:t>万元。</w:t>
      </w:r>
      <w:r w:rsidR="007F076A">
        <w:rPr>
          <w:rFonts w:ascii="仿宋_GB2312" w:eastAsia="仿宋_GB2312" w:hint="eastAsia"/>
          <w:sz w:val="28"/>
          <w:szCs w:val="28"/>
        </w:rPr>
        <w:t>原因：</w:t>
      </w:r>
      <w:r w:rsidR="00BE34A0">
        <w:rPr>
          <w:rFonts w:ascii="仿宋_GB2312" w:eastAsia="仿宋_GB2312" w:hint="eastAsia"/>
          <w:sz w:val="28"/>
          <w:szCs w:val="28"/>
        </w:rPr>
        <w:t>本单位2024年度无政府性基金预算财政拨款安排的支出。</w:t>
      </w:r>
    </w:p>
    <w:p w:rsidR="00B5326E" w:rsidRDefault="00FE7CD9" w:rsidP="0076483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5326E" w:rsidRPr="004F0EAF" w:rsidRDefault="00FE7CD9" w:rsidP="0076483B">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r w:rsidR="004F0EAF">
        <w:rPr>
          <w:rFonts w:ascii="仿宋_GB2312" w:eastAsia="仿宋_GB2312" w:hint="eastAsia"/>
          <w:sz w:val="28"/>
          <w:szCs w:val="28"/>
        </w:rPr>
        <w:t>本单位2024年度无国有资本经营预算财政拨款安排的支出。</w:t>
      </w:r>
    </w:p>
    <w:p w:rsidR="00B5326E" w:rsidRDefault="00FE7CD9" w:rsidP="0076483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E6E73" w:rsidRDefault="00FE7CD9" w:rsidP="00FE6E73">
      <w:pPr>
        <w:ind w:firstLineChars="192" w:firstLine="538"/>
        <w:rPr>
          <w:rFonts w:ascii="宋体" w:hAnsi="宋体" w:cs="宋体"/>
          <w:b/>
          <w:bCs/>
          <w:spacing w:val="40"/>
          <w:kern w:val="0"/>
          <w:sz w:val="32"/>
          <w:szCs w:val="32"/>
        </w:rPr>
      </w:pPr>
      <w:r>
        <w:rPr>
          <w:rFonts w:ascii="仿宋_GB2312" w:eastAsia="仿宋_GB2312" w:hint="eastAsia"/>
          <w:sz w:val="28"/>
          <w:szCs w:val="28"/>
        </w:rPr>
        <w:t>2024年度使用一般公共预算财政拨款安排基本支出</w:t>
      </w:r>
      <w:r>
        <w:rPr>
          <w:rFonts w:ascii="仿宋_GB2312" w:eastAsia="仿宋_GB2312"/>
          <w:sz w:val="28"/>
          <w:szCs w:val="28"/>
        </w:rPr>
        <w:t>406.35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sidR="00FE6E73">
        <w:rPr>
          <w:rFonts w:ascii="仿宋_GB2312" w:eastAsia="仿宋_GB2312" w:hint="eastAsia"/>
          <w:sz w:val="28"/>
          <w:szCs w:val="28"/>
        </w:rPr>
        <w:t xml:space="preserve">机关事业单位基本养老保险缴费、职业年金缴费、职工基本医疗保险缴费、公务员医疗补助缴费、其他社会保障缴费、住房公积金；（2）商品和服务支出包括办公费、电费、邮电费、取暖费、差旅费、维修（护）费、培训费、福利费。 </w:t>
      </w:r>
    </w:p>
    <w:p w:rsidR="00B5326E" w:rsidRDefault="00FE7CD9" w:rsidP="004E242C">
      <w:pPr>
        <w:tabs>
          <w:tab w:val="center" w:pos="6979"/>
        </w:tabs>
        <w:spacing w:line="580" w:lineRule="exact"/>
        <w:ind w:firstLineChars="196" w:firstLine="412"/>
        <w:rPr>
          <w:rFonts w:ascii="宋体" w:hAnsi="宋体"/>
          <w:b/>
          <w:spacing w:val="40"/>
          <w:sz w:val="32"/>
          <w:szCs w:val="32"/>
        </w:rPr>
      </w:pPr>
      <w:r>
        <w:tab/>
      </w:r>
    </w:p>
    <w:p w:rsidR="00B5326E" w:rsidRDefault="00FE7CD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B5326E" w:rsidRPr="00013E09" w:rsidRDefault="00013E09" w:rsidP="00013E09">
      <w:pPr>
        <w:spacing w:line="560" w:lineRule="exact"/>
        <w:ind w:firstLineChars="200" w:firstLine="560"/>
        <w:jc w:val="left"/>
        <w:rPr>
          <w:rFonts w:ascii="黑体" w:eastAsia="黑体"/>
          <w:sz w:val="28"/>
          <w:szCs w:val="28"/>
        </w:rPr>
      </w:pPr>
      <w:r>
        <w:rPr>
          <w:rFonts w:ascii="黑体" w:eastAsia="黑体" w:hint="eastAsia"/>
          <w:sz w:val="28"/>
          <w:szCs w:val="28"/>
        </w:rPr>
        <w:t>一、</w:t>
      </w:r>
      <w:r w:rsidR="00813E16">
        <w:rPr>
          <w:rFonts w:ascii="黑体" w:eastAsia="黑体" w:hint="eastAsia"/>
          <w:sz w:val="28"/>
          <w:szCs w:val="28"/>
        </w:rPr>
        <w:t>“</w:t>
      </w:r>
      <w:r w:rsidRPr="00013E09">
        <w:rPr>
          <w:rFonts w:ascii="黑体" w:eastAsia="黑体"/>
          <w:sz w:val="28"/>
          <w:szCs w:val="28"/>
        </w:rPr>
        <w:t>三公</w:t>
      </w:r>
      <w:r w:rsidR="00813E16">
        <w:rPr>
          <w:rFonts w:ascii="黑体" w:eastAsia="黑体"/>
          <w:sz w:val="28"/>
          <w:szCs w:val="28"/>
        </w:rPr>
        <w:t>”</w:t>
      </w:r>
      <w:r w:rsidRPr="00013E09">
        <w:rPr>
          <w:rFonts w:ascii="黑体" w:eastAsia="黑体"/>
          <w:sz w:val="28"/>
          <w:szCs w:val="28"/>
        </w:rPr>
        <w:t>经费财政拨款</w:t>
      </w:r>
      <w:r w:rsidR="00645D97">
        <w:rPr>
          <w:rFonts w:ascii="黑体" w:eastAsia="黑体"/>
          <w:sz w:val="28"/>
          <w:szCs w:val="28"/>
        </w:rPr>
        <w:t>决算</w:t>
      </w:r>
      <w:r w:rsidRPr="00013E09">
        <w:rPr>
          <w:rFonts w:ascii="黑体" w:eastAsia="黑体"/>
          <w:sz w:val="28"/>
          <w:szCs w:val="28"/>
        </w:rPr>
        <w:t>情况</w:t>
      </w:r>
    </w:p>
    <w:p w:rsidR="00B5326E" w:rsidRDefault="00FE7CD9" w:rsidP="004E242C">
      <w:pPr>
        <w:spacing w:line="560" w:lineRule="exact"/>
        <w:ind w:firstLineChars="200" w:firstLine="56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sidR="00131DFA">
        <w:rPr>
          <w:rFonts w:ascii="仿宋_GB2312" w:eastAsia="仿宋_GB2312" w:hint="eastAsia"/>
          <w:sz w:val="28"/>
          <w:szCs w:val="28"/>
        </w:rPr>
        <w:t>2.7</w:t>
      </w:r>
      <w:r>
        <w:rPr>
          <w:rFonts w:ascii="仿宋_GB2312" w:eastAsia="仿宋_GB2312" w:hint="eastAsia"/>
          <w:sz w:val="28"/>
          <w:szCs w:val="28"/>
        </w:rPr>
        <w:t>万元。其中：</w:t>
      </w:r>
    </w:p>
    <w:p w:rsidR="004E242C" w:rsidRDefault="00FE7CD9" w:rsidP="004E242C">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162D17">
        <w:rPr>
          <w:rFonts w:ascii="仿宋_GB2312" w:eastAsia="仿宋_GB2312" w:hint="eastAsia"/>
          <w:sz w:val="28"/>
          <w:szCs w:val="28"/>
        </w:rPr>
        <w:t>0万元，</w:t>
      </w:r>
      <w:r w:rsidR="004E242C">
        <w:rPr>
          <w:rFonts w:ascii="仿宋_GB2312" w:eastAsia="仿宋_GB2312" w:hint="eastAsia"/>
          <w:sz w:val="28"/>
          <w:szCs w:val="28"/>
        </w:rPr>
        <w:t>比2024年度年初预算数0万元增减无变化，保持一致。主要原</w:t>
      </w:r>
      <w:r w:rsidR="004E242C">
        <w:rPr>
          <w:rFonts w:ascii="仿宋_GB2312" w:eastAsia="仿宋_GB2312" w:hint="eastAsia"/>
          <w:sz w:val="28"/>
          <w:szCs w:val="28"/>
        </w:rPr>
        <w:lastRenderedPageBreak/>
        <w:t>因：</w:t>
      </w:r>
      <w:r w:rsidR="004E242C">
        <w:rPr>
          <w:rFonts w:ascii="仿宋_GB2312" w:eastAsia="仿宋_GB2312" w:hint="eastAsia"/>
          <w:color w:val="000000"/>
          <w:sz w:val="28"/>
          <w:szCs w:val="28"/>
          <w:lang/>
        </w:rPr>
        <w:t>是因公出国（境）费用根据年度出国审批情况作为追加项目管理，单位不做年初预算，本年也没有出国审批项目发生</w:t>
      </w:r>
      <w:r w:rsidR="004E242C">
        <w:rPr>
          <w:rFonts w:ascii="仿宋_GB2312" w:eastAsia="仿宋_GB2312" w:hint="eastAsia"/>
          <w:sz w:val="28"/>
          <w:szCs w:val="28"/>
        </w:rPr>
        <w:t>；2024年度因公出国（境）费用主要用于</w:t>
      </w:r>
      <w:r w:rsidR="004E242C">
        <w:rPr>
          <w:rFonts w:ascii="仿宋_GB2312" w:eastAsia="仿宋_GB2312" w:hint="eastAsia"/>
          <w:color w:val="000000"/>
          <w:sz w:val="28"/>
          <w:szCs w:val="28"/>
          <w:lang/>
        </w:rPr>
        <w:t>出国（境）的会议、培训交流等事项</w:t>
      </w:r>
      <w:r w:rsidR="004E242C">
        <w:rPr>
          <w:rFonts w:ascii="仿宋_GB2312" w:eastAsia="仿宋_GB2312" w:hint="eastAsia"/>
          <w:sz w:val="28"/>
          <w:szCs w:val="28"/>
        </w:rPr>
        <w:t>等，2024年度组织因公出国（境）团组0个、0人次。</w:t>
      </w:r>
    </w:p>
    <w:p w:rsidR="003548FC" w:rsidRDefault="00FE7CD9" w:rsidP="003548FC">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0E39AF">
        <w:rPr>
          <w:rFonts w:ascii="仿宋_GB2312" w:eastAsia="仿宋_GB2312" w:hint="eastAsia"/>
          <w:sz w:val="28"/>
          <w:szCs w:val="28"/>
        </w:rPr>
        <w:t>0</w:t>
      </w:r>
      <w:r>
        <w:rPr>
          <w:rFonts w:ascii="仿宋_GB2312" w:eastAsia="仿宋_GB2312" w:hint="eastAsia"/>
          <w:sz w:val="28"/>
          <w:szCs w:val="28"/>
        </w:rPr>
        <w:t>万元，比2024年度年初预算数</w:t>
      </w:r>
      <w:r w:rsidR="000E39AF">
        <w:rPr>
          <w:rFonts w:ascii="仿宋_GB2312" w:eastAsia="仿宋_GB2312" w:hint="eastAsia"/>
          <w:sz w:val="28"/>
          <w:szCs w:val="28"/>
        </w:rPr>
        <w:t>0</w:t>
      </w:r>
      <w:r w:rsidR="003548FC">
        <w:rPr>
          <w:rFonts w:ascii="仿宋_GB2312" w:eastAsia="仿宋_GB2312" w:hint="eastAsia"/>
          <w:sz w:val="28"/>
          <w:szCs w:val="28"/>
        </w:rPr>
        <w:t>万元减少</w:t>
      </w:r>
      <w:r w:rsidR="000E39AF">
        <w:rPr>
          <w:rFonts w:ascii="仿宋_GB2312" w:eastAsia="仿宋_GB2312" w:hint="eastAsia"/>
          <w:sz w:val="28"/>
          <w:szCs w:val="28"/>
        </w:rPr>
        <w:t>0</w:t>
      </w:r>
      <w:r>
        <w:rPr>
          <w:rFonts w:ascii="仿宋_GB2312" w:eastAsia="仿宋_GB2312" w:hint="eastAsia"/>
          <w:sz w:val="28"/>
          <w:szCs w:val="28"/>
        </w:rPr>
        <w:t>万元。主要原因：</w:t>
      </w:r>
      <w:r w:rsidR="003548FC">
        <w:rPr>
          <w:rFonts w:ascii="仿宋_GB2312" w:eastAsia="仿宋_GB2312" w:hint="eastAsia"/>
          <w:color w:val="000000"/>
          <w:sz w:val="28"/>
          <w:szCs w:val="28"/>
          <w:lang/>
        </w:rPr>
        <w:t>本年度无公务接待支出</w:t>
      </w:r>
      <w:r w:rsidR="003548FC">
        <w:rPr>
          <w:rFonts w:ascii="仿宋_GB2312" w:eastAsia="仿宋_GB2312" w:hint="eastAsia"/>
          <w:sz w:val="28"/>
          <w:szCs w:val="28"/>
        </w:rPr>
        <w:t>。2024年度公务接待费主要用于</w:t>
      </w:r>
      <w:r w:rsidR="003548FC">
        <w:rPr>
          <w:rFonts w:ascii="仿宋_GB2312" w:eastAsia="仿宋_GB2312" w:hint="eastAsia"/>
          <w:sz w:val="28"/>
          <w:szCs w:val="28"/>
          <w:lang/>
        </w:rPr>
        <w:t>公务接待事项</w:t>
      </w:r>
      <w:r w:rsidR="003548FC">
        <w:rPr>
          <w:rFonts w:ascii="仿宋_GB2312" w:eastAsia="仿宋_GB2312" w:hint="eastAsia"/>
          <w:sz w:val="28"/>
          <w:szCs w:val="28"/>
        </w:rPr>
        <w:t>。公务接待0批次，公务接待0人次。</w:t>
      </w:r>
    </w:p>
    <w:p w:rsidR="002C42ED" w:rsidRDefault="00FE7CD9" w:rsidP="002C42ED">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3E4A21">
        <w:rPr>
          <w:rFonts w:ascii="仿宋_GB2312" w:eastAsia="仿宋_GB2312" w:hint="eastAsia"/>
          <w:sz w:val="28"/>
          <w:szCs w:val="28"/>
        </w:rPr>
        <w:t>0</w:t>
      </w:r>
      <w:r>
        <w:rPr>
          <w:rFonts w:ascii="仿宋_GB2312" w:eastAsia="仿宋_GB2312" w:hint="eastAsia"/>
          <w:sz w:val="28"/>
          <w:szCs w:val="28"/>
        </w:rPr>
        <w:t>万元，比2024年度年初预算数</w:t>
      </w:r>
      <w:r w:rsidR="003E4A21">
        <w:rPr>
          <w:rFonts w:ascii="仿宋_GB2312" w:eastAsia="仿宋_GB2312" w:hint="eastAsia"/>
          <w:sz w:val="28"/>
          <w:szCs w:val="28"/>
        </w:rPr>
        <w:t>2.7</w:t>
      </w:r>
      <w:r>
        <w:rPr>
          <w:rFonts w:ascii="仿宋_GB2312" w:eastAsia="仿宋_GB2312" w:hint="eastAsia"/>
          <w:sz w:val="28"/>
          <w:szCs w:val="28"/>
        </w:rPr>
        <w:t>万元减少</w:t>
      </w:r>
      <w:r w:rsidR="003E4A21">
        <w:rPr>
          <w:rFonts w:ascii="仿宋_GB2312" w:eastAsia="仿宋_GB2312" w:hint="eastAsia"/>
          <w:sz w:val="28"/>
          <w:szCs w:val="28"/>
        </w:rPr>
        <w:t>2.7</w:t>
      </w:r>
      <w:r>
        <w:rPr>
          <w:rFonts w:ascii="仿宋_GB2312" w:eastAsia="仿宋_GB2312" w:hint="eastAsia"/>
          <w:sz w:val="28"/>
          <w:szCs w:val="28"/>
        </w:rPr>
        <w:t>万元。其中，公务用车购置费2024年度决算数</w:t>
      </w:r>
      <w:r w:rsidR="003E4A21">
        <w:rPr>
          <w:rFonts w:ascii="仿宋_GB2312" w:eastAsia="仿宋_GB2312" w:hint="eastAsia"/>
          <w:sz w:val="28"/>
          <w:szCs w:val="28"/>
        </w:rPr>
        <w:t>0</w:t>
      </w:r>
      <w:r>
        <w:rPr>
          <w:rFonts w:ascii="仿宋_GB2312" w:eastAsia="仿宋_GB2312" w:hint="eastAsia"/>
          <w:sz w:val="28"/>
          <w:szCs w:val="28"/>
        </w:rPr>
        <w:t>万元，</w:t>
      </w:r>
      <w:r w:rsidR="002C42ED">
        <w:rPr>
          <w:rFonts w:ascii="仿宋_GB2312" w:eastAsia="仿宋_GB2312" w:hint="eastAsia"/>
          <w:sz w:val="28"/>
          <w:szCs w:val="28"/>
        </w:rPr>
        <w:t>主要原因：</w:t>
      </w:r>
      <w:r w:rsidR="002C42ED">
        <w:rPr>
          <w:rFonts w:ascii="仿宋_GB2312" w:eastAsia="仿宋_GB2312" w:hint="eastAsia"/>
          <w:sz w:val="28"/>
          <w:szCs w:val="28"/>
          <w:lang/>
        </w:rPr>
        <w:t>本年度新购车辆0辆</w:t>
      </w:r>
      <w:r w:rsidR="002C42ED">
        <w:rPr>
          <w:rFonts w:ascii="仿宋_GB2312" w:eastAsia="仿宋_GB2312" w:hint="eastAsia"/>
          <w:sz w:val="28"/>
          <w:szCs w:val="28"/>
        </w:rPr>
        <w:t>，2024年度购置（更新）0辆。公务用车运行维护费2024年度决算数</w:t>
      </w:r>
      <w:r w:rsidR="002C42ED">
        <w:rPr>
          <w:rFonts w:ascii="仿宋_GB2312" w:eastAsia="仿宋_GB2312" w:hint="eastAsia"/>
          <w:sz w:val="28"/>
          <w:szCs w:val="28"/>
          <w:lang/>
        </w:rPr>
        <w:t>0</w:t>
      </w:r>
      <w:r w:rsidR="002C42ED">
        <w:rPr>
          <w:rFonts w:ascii="仿宋_GB2312" w:eastAsia="仿宋_GB2312" w:hint="eastAsia"/>
          <w:sz w:val="28"/>
          <w:szCs w:val="28"/>
        </w:rPr>
        <w:t>万元，主要原因：</w:t>
      </w:r>
      <w:r w:rsidR="002C42ED">
        <w:rPr>
          <w:rFonts w:ascii="仿宋_GB2312" w:eastAsia="仿宋_GB2312" w:hint="eastAsia"/>
          <w:color w:val="000000"/>
          <w:sz w:val="28"/>
          <w:szCs w:val="28"/>
          <w:lang/>
        </w:rPr>
        <w:t>原因是严格落实公务用车使用规定，认真贯彻厉行节约反对浪费的有关要求，本着节俭高效的原则,进一步加强公务用车管理,减少费用支出</w:t>
      </w:r>
      <w:r w:rsidR="002C42ED">
        <w:rPr>
          <w:rFonts w:ascii="仿宋_GB2312" w:eastAsia="仿宋_GB2312" w:hint="eastAsia"/>
          <w:sz w:val="28"/>
          <w:szCs w:val="28"/>
        </w:rPr>
        <w:t>。2024年度公务用车保有量0辆。</w:t>
      </w:r>
    </w:p>
    <w:p w:rsidR="00B5326E" w:rsidRDefault="00FE7CD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5326E" w:rsidRPr="00ED3C93" w:rsidRDefault="00FE7CD9" w:rsidP="003320ED">
      <w:pPr>
        <w:spacing w:line="560" w:lineRule="exact"/>
        <w:ind w:firstLineChars="200" w:firstLine="560"/>
        <w:rPr>
          <w:rFonts w:ascii="仿宋_GB2312" w:eastAsia="仿宋_GB2312"/>
          <w:sz w:val="28"/>
          <w:szCs w:val="28"/>
        </w:rPr>
      </w:pPr>
      <w:r>
        <w:rPr>
          <w:rFonts w:ascii="仿宋_GB2312" w:eastAsia="仿宋_GB2312" w:hint="eastAsia"/>
          <w:sz w:val="28"/>
          <w:szCs w:val="28"/>
        </w:rPr>
        <w:t>2024年度机关运行经费支出合计0</w:t>
      </w:r>
      <w:r w:rsidR="00D606F1">
        <w:rPr>
          <w:rFonts w:ascii="仿宋_GB2312" w:eastAsia="仿宋_GB2312" w:hint="eastAsia"/>
          <w:sz w:val="28"/>
          <w:szCs w:val="28"/>
        </w:rPr>
        <w:t>万元</w:t>
      </w:r>
      <w:r w:rsidR="003320ED">
        <w:rPr>
          <w:rFonts w:ascii="仿宋_GB2312" w:eastAsia="仿宋_GB2312" w:hint="eastAsia"/>
          <w:sz w:val="28"/>
          <w:szCs w:val="28"/>
        </w:rPr>
        <w:t>。</w:t>
      </w:r>
      <w:r w:rsidR="00610587">
        <w:rPr>
          <w:rFonts w:ascii="仿宋_GB2312" w:eastAsia="仿宋_GB2312" w:hint="eastAsia"/>
          <w:sz w:val="28"/>
          <w:szCs w:val="28"/>
        </w:rPr>
        <w:t>原因：</w:t>
      </w:r>
      <w:r w:rsidR="00ED3C93">
        <w:rPr>
          <w:rFonts w:ascii="仿宋_GB2312" w:eastAsia="仿宋_GB2312" w:hint="eastAsia"/>
          <w:sz w:val="28"/>
          <w:szCs w:val="28"/>
        </w:rPr>
        <w:t>本单位不在机关运行经费统计范围之内。</w:t>
      </w:r>
    </w:p>
    <w:p w:rsidR="00B5326E" w:rsidRDefault="00FE7CD9">
      <w:pPr>
        <w:ind w:left="540"/>
        <w:rPr>
          <w:rFonts w:ascii="黑体" w:eastAsia="黑体"/>
          <w:sz w:val="28"/>
          <w:szCs w:val="28"/>
        </w:rPr>
      </w:pPr>
      <w:r>
        <w:rPr>
          <w:rFonts w:ascii="黑体" w:eastAsia="黑体" w:hint="eastAsia"/>
          <w:sz w:val="28"/>
          <w:szCs w:val="28"/>
        </w:rPr>
        <w:t>三、政府采购支出情况</w:t>
      </w:r>
    </w:p>
    <w:p w:rsidR="00B5326E" w:rsidRDefault="00FE7CD9" w:rsidP="0076483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0.29</w:t>
      </w:r>
      <w:r>
        <w:rPr>
          <w:rFonts w:ascii="仿宋_GB2312" w:eastAsia="仿宋_GB2312" w:hint="eastAsia"/>
          <w:sz w:val="28"/>
          <w:szCs w:val="28"/>
        </w:rPr>
        <w:t>万元，其中：政府采购货物支出</w:t>
      </w:r>
      <w:r w:rsidR="006F26EE">
        <w:rPr>
          <w:rFonts w:ascii="仿宋_GB2312" w:eastAsia="仿宋_GB2312" w:hint="eastAsia"/>
          <w:sz w:val="28"/>
          <w:szCs w:val="28"/>
        </w:rPr>
        <w:t>0.29</w:t>
      </w:r>
      <w:r>
        <w:rPr>
          <w:rFonts w:ascii="仿宋_GB2312" w:eastAsia="仿宋_GB2312" w:hint="eastAsia"/>
          <w:sz w:val="28"/>
          <w:szCs w:val="28"/>
        </w:rPr>
        <w:t>万元，政府采购工程支出</w:t>
      </w:r>
      <w:r w:rsidR="006F26EE">
        <w:rPr>
          <w:rFonts w:ascii="仿宋_GB2312" w:eastAsia="仿宋_GB2312" w:hint="eastAsia"/>
          <w:sz w:val="28"/>
          <w:szCs w:val="28"/>
        </w:rPr>
        <w:t>0</w:t>
      </w:r>
      <w:r>
        <w:rPr>
          <w:rFonts w:ascii="仿宋_GB2312" w:eastAsia="仿宋_GB2312" w:hint="eastAsia"/>
          <w:sz w:val="28"/>
          <w:szCs w:val="28"/>
        </w:rPr>
        <w:t>万元，政府采购服务支出</w:t>
      </w:r>
      <w:r w:rsidR="006F26EE">
        <w:rPr>
          <w:rFonts w:ascii="仿宋_GB2312" w:eastAsia="仿宋_GB2312" w:hint="eastAsia"/>
          <w:sz w:val="28"/>
          <w:szCs w:val="28"/>
        </w:rPr>
        <w:t>0</w:t>
      </w:r>
      <w:r>
        <w:rPr>
          <w:rFonts w:ascii="仿宋_GB2312" w:eastAsia="仿宋_GB2312" w:hint="eastAsia"/>
          <w:sz w:val="28"/>
          <w:szCs w:val="28"/>
        </w:rPr>
        <w:t>万元。授予中小企业合同金额</w:t>
      </w:r>
      <w:r>
        <w:rPr>
          <w:rFonts w:ascii="仿宋_GB2312" w:eastAsia="仿宋_GB2312"/>
          <w:sz w:val="28"/>
          <w:szCs w:val="28"/>
        </w:rPr>
        <w:t>0.29</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0.29</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B5326E" w:rsidRDefault="00FE7CD9">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5326E" w:rsidRDefault="00FE7CD9">
      <w:pPr>
        <w:ind w:firstLineChars="200" w:firstLine="560"/>
        <w:rPr>
          <w:rFonts w:ascii="仿宋_GB2312" w:eastAsia="仿宋_GB2312"/>
          <w:sz w:val="32"/>
          <w:szCs w:val="32"/>
        </w:rPr>
      </w:pPr>
      <w:r>
        <w:rPr>
          <w:rFonts w:ascii="仿宋_GB2312" w:eastAsia="仿宋_GB2312" w:hint="eastAsia"/>
          <w:sz w:val="28"/>
          <w:szCs w:val="28"/>
        </w:rPr>
        <w:lastRenderedPageBreak/>
        <w:t>截至12月31日，北京市大兴区庞各庄镇成人学校共有车辆0台；单位价值100万元（含）以上的设备0台（套）。</w:t>
      </w:r>
    </w:p>
    <w:p w:rsidR="00B5326E" w:rsidRDefault="00FE7CD9" w:rsidP="0076483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5326E" w:rsidRPr="00F62586" w:rsidRDefault="00FE7CD9" w:rsidP="0076483B">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r w:rsidR="007F076A">
        <w:rPr>
          <w:rFonts w:ascii="仿宋_GB2312" w:eastAsia="仿宋_GB2312" w:hint="eastAsia"/>
          <w:sz w:val="28"/>
          <w:szCs w:val="28"/>
        </w:rPr>
        <w:t>原因：</w:t>
      </w:r>
      <w:r w:rsidR="00F62586">
        <w:rPr>
          <w:rFonts w:ascii="仿宋_GB2312" w:eastAsia="仿宋_GB2312" w:hint="eastAsia"/>
          <w:sz w:val="28"/>
          <w:szCs w:val="28"/>
        </w:rPr>
        <w:t>本单位2024年度无政府购买服务支出。</w:t>
      </w:r>
    </w:p>
    <w:p w:rsidR="00B5326E" w:rsidRDefault="00FE7CD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5326E" w:rsidRDefault="00FE7CD9">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B5326E" w:rsidRDefault="00FE7CD9">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B5326E" w:rsidRDefault="00FE7CD9">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B5326E" w:rsidRDefault="00FE7CD9">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B5326E" w:rsidRDefault="00FE7CD9" w:rsidP="00E81688">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81688" w:rsidRPr="00E81688" w:rsidRDefault="00FE7CD9" w:rsidP="00E81688">
      <w:pPr>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7.教育支出（类）成人教育（款）其他成人教育支出（项）：反映除上述项目以外其他用于成人教育方面的支出。</w:t>
      </w:r>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8.社会保障和就业支出（类）行政事业单位养老支出（款）机关事业单位基本养老保险缴费支出（项）：</w:t>
      </w:r>
      <w:bookmarkStart w:id="2" w:name="_Hlk143876495"/>
      <w:r>
        <w:rPr>
          <w:rFonts w:ascii="仿宋_GB2312" w:eastAsia="仿宋_GB2312" w:hint="eastAsia"/>
          <w:sz w:val="28"/>
          <w:szCs w:val="28"/>
        </w:rPr>
        <w:t>反映机关事业单位实施养老保险制度由单位缴纳的基本养老保险费支出。</w:t>
      </w:r>
      <w:bookmarkEnd w:id="2"/>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9.社会保障和就业支出（类）行政事业单位养老支出（款）机关事业单位职业年金缴费支出（项）：反映机关事业单位实施养老保险制度由单位实际缴纳的职业年金支出。</w:t>
      </w:r>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11.卫生健康支出（类）行政事业单位医疗（款）公务员医疗补助（项）：反映财政部门安排的公务员医疗补助经费。</w:t>
      </w:r>
    </w:p>
    <w:p w:rsidR="00E81688" w:rsidRDefault="00E81688" w:rsidP="00E81688">
      <w:pPr>
        <w:ind w:firstLineChars="200" w:firstLine="560"/>
        <w:rPr>
          <w:rFonts w:ascii="仿宋_GB2312" w:eastAsia="仿宋_GB2312"/>
          <w:sz w:val="28"/>
          <w:szCs w:val="28"/>
        </w:rPr>
      </w:pPr>
      <w:r>
        <w:rPr>
          <w:rFonts w:ascii="仿宋_GB2312" w:eastAsia="仿宋_GB2312" w:hint="eastAsia"/>
          <w:sz w:val="28"/>
          <w:szCs w:val="28"/>
        </w:rPr>
        <w:t>12.住房保障支出（类）住房改革支出（款）购房补贴（项）：反映按房改政策规定，行政事业单位向符合条件职工（含离退休人员）、军队（含武警）向转役复员离退休人员发放的用于购买住房的补贴。</w:t>
      </w:r>
    </w:p>
    <w:p w:rsidR="00E81688" w:rsidRPr="00E81688" w:rsidRDefault="00E81688" w:rsidP="00E81688">
      <w:pPr>
        <w:rPr>
          <w:rFonts w:ascii="仿宋_GB2312" w:eastAsia="仿宋_GB2312"/>
          <w:b/>
          <w:color w:val="000000"/>
          <w:spacing w:val="-2"/>
          <w:sz w:val="32"/>
          <w:szCs w:val="32"/>
        </w:rPr>
      </w:pPr>
    </w:p>
    <w:p w:rsidR="00B5326E" w:rsidRDefault="00B5326E">
      <w:pPr>
        <w:tabs>
          <w:tab w:val="center" w:pos="6979"/>
        </w:tabs>
        <w:spacing w:line="380" w:lineRule="exact"/>
        <w:jc w:val="center"/>
        <w:rPr>
          <w:rFonts w:ascii="宋体" w:hAnsi="宋体" w:cs="宋体"/>
          <w:b/>
          <w:bCs/>
          <w:kern w:val="0"/>
          <w:sz w:val="28"/>
          <w:szCs w:val="28"/>
        </w:rPr>
      </w:pPr>
    </w:p>
    <w:p w:rsidR="00B5326E" w:rsidRDefault="00B5326E">
      <w:pPr>
        <w:rPr>
          <w:rFonts w:ascii="黑体" w:eastAsia="黑体"/>
          <w:sz w:val="32"/>
          <w:szCs w:val="32"/>
        </w:rPr>
      </w:pPr>
    </w:p>
    <w:p w:rsidR="00B5326E" w:rsidRDefault="00FE7CD9">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B5326E" w:rsidRDefault="00B5326E">
      <w:pPr>
        <w:ind w:firstLineChars="200" w:firstLine="560"/>
        <w:rPr>
          <w:rFonts w:ascii="黑体" w:eastAsia="黑体"/>
          <w:sz w:val="28"/>
          <w:szCs w:val="28"/>
          <w:highlight w:val="yellow"/>
        </w:rPr>
      </w:pPr>
    </w:p>
    <w:p w:rsidR="00B5326E" w:rsidRDefault="00FE7CD9" w:rsidP="000F668E">
      <w:pPr>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B5326E" w:rsidRDefault="00B5326E">
      <w:pPr>
        <w:spacing w:line="480" w:lineRule="exact"/>
        <w:ind w:firstLine="420"/>
        <w:rPr>
          <w:rFonts w:ascii="黑体" w:eastAsia="黑体"/>
          <w:sz w:val="28"/>
          <w:szCs w:val="28"/>
        </w:rPr>
      </w:pPr>
      <w:bookmarkStart w:id="3" w:name="_GoBack"/>
      <w:bookmarkEnd w:id="3"/>
    </w:p>
    <w:sectPr w:rsidR="00B5326E" w:rsidSect="00E50184">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98A" w:rsidRDefault="0097698A">
      <w:r>
        <w:separator/>
      </w:r>
    </w:p>
  </w:endnote>
  <w:endnote w:type="continuationSeparator" w:id="1">
    <w:p w:rsidR="0097698A" w:rsidRDefault="009769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Noto Sans SC"/>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6E" w:rsidRDefault="00E50184">
    <w:pPr>
      <w:pStyle w:val="a7"/>
      <w:framePr w:wrap="around" w:vAnchor="text" w:hAnchor="margin" w:xAlign="center" w:y="1"/>
      <w:rPr>
        <w:rStyle w:val="ab"/>
      </w:rPr>
    </w:pPr>
    <w:r>
      <w:fldChar w:fldCharType="begin"/>
    </w:r>
    <w:r w:rsidR="00FE7CD9">
      <w:rPr>
        <w:rStyle w:val="ab"/>
      </w:rPr>
      <w:instrText xml:space="preserve">PAGE  </w:instrText>
    </w:r>
    <w:r>
      <w:fldChar w:fldCharType="separate"/>
    </w:r>
    <w:r w:rsidR="00013E09">
      <w:rPr>
        <w:rStyle w:val="ab"/>
        <w:noProof/>
      </w:rPr>
      <w:t>3</w:t>
    </w:r>
    <w:r>
      <w:fldChar w:fldCharType="end"/>
    </w:r>
  </w:p>
  <w:p w:rsidR="00B5326E" w:rsidRDefault="00B5326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6E" w:rsidRDefault="00E50184">
    <w:pPr>
      <w:pStyle w:val="a7"/>
      <w:framePr w:wrap="around" w:vAnchor="text" w:hAnchor="margin" w:xAlign="center" w:y="1"/>
      <w:rPr>
        <w:rStyle w:val="ab"/>
      </w:rPr>
    </w:pPr>
    <w:r>
      <w:fldChar w:fldCharType="begin"/>
    </w:r>
    <w:r w:rsidR="00FE7CD9">
      <w:rPr>
        <w:rStyle w:val="ab"/>
      </w:rPr>
      <w:instrText xml:space="preserve">PAGE  </w:instrText>
    </w:r>
    <w:r>
      <w:fldChar w:fldCharType="separate"/>
    </w:r>
    <w:r w:rsidR="00FE7CD9">
      <w:rPr>
        <w:rStyle w:val="ab"/>
      </w:rPr>
      <w:t>15</w:t>
    </w:r>
    <w:r>
      <w:fldChar w:fldCharType="end"/>
    </w:r>
  </w:p>
  <w:p w:rsidR="00B5326E" w:rsidRDefault="00B5326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6E" w:rsidRDefault="00E50184">
    <w:pPr>
      <w:pStyle w:val="a7"/>
      <w:framePr w:wrap="around" w:vAnchor="text" w:hAnchor="margin" w:xAlign="center" w:y="1"/>
      <w:rPr>
        <w:rStyle w:val="ab"/>
      </w:rPr>
    </w:pPr>
    <w:r>
      <w:fldChar w:fldCharType="begin"/>
    </w:r>
    <w:r w:rsidR="00FE7CD9">
      <w:rPr>
        <w:rStyle w:val="ab"/>
      </w:rPr>
      <w:instrText xml:space="preserve">PAGE  </w:instrText>
    </w:r>
    <w:r>
      <w:fldChar w:fldCharType="separate"/>
    </w:r>
    <w:r w:rsidR="00645D97">
      <w:rPr>
        <w:rStyle w:val="ab"/>
        <w:noProof/>
      </w:rPr>
      <w:t>8</w:t>
    </w:r>
    <w:r>
      <w:fldChar w:fldCharType="end"/>
    </w:r>
  </w:p>
  <w:p w:rsidR="00B5326E" w:rsidRDefault="00B5326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98A" w:rsidRDefault="0097698A">
      <w:r>
        <w:separator/>
      </w:r>
    </w:p>
  </w:footnote>
  <w:footnote w:type="continuationSeparator" w:id="1">
    <w:p w:rsidR="0097698A" w:rsidRDefault="009769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7F9D039E"/>
    <w:multiLevelType w:val="hybridMultilevel"/>
    <w:tmpl w:val="DD4404AC"/>
    <w:lvl w:ilvl="0" w:tplc="A1EC5324">
      <w:start w:val="1"/>
      <w:numFmt w:val="japaneseCounting"/>
      <w:lvlText w:val="%1、"/>
      <w:lvlJc w:val="left"/>
      <w:pPr>
        <w:ind w:left="4940" w:hanging="43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13E09"/>
    <w:rsid w:val="00021381"/>
    <w:rsid w:val="00027CD5"/>
    <w:rsid w:val="00031B8E"/>
    <w:rsid w:val="00033EC1"/>
    <w:rsid w:val="00034224"/>
    <w:rsid w:val="0003592C"/>
    <w:rsid w:val="00040275"/>
    <w:rsid w:val="0004719C"/>
    <w:rsid w:val="00047F6E"/>
    <w:rsid w:val="00051B00"/>
    <w:rsid w:val="000601B1"/>
    <w:rsid w:val="00063034"/>
    <w:rsid w:val="00066E19"/>
    <w:rsid w:val="0006752F"/>
    <w:rsid w:val="00071797"/>
    <w:rsid w:val="00071860"/>
    <w:rsid w:val="0007258E"/>
    <w:rsid w:val="000769B9"/>
    <w:rsid w:val="00077A9E"/>
    <w:rsid w:val="00077F4A"/>
    <w:rsid w:val="00077FE5"/>
    <w:rsid w:val="00080447"/>
    <w:rsid w:val="00084F52"/>
    <w:rsid w:val="00085663"/>
    <w:rsid w:val="00091C5C"/>
    <w:rsid w:val="00095948"/>
    <w:rsid w:val="00095C26"/>
    <w:rsid w:val="00096504"/>
    <w:rsid w:val="00096B86"/>
    <w:rsid w:val="000A1770"/>
    <w:rsid w:val="000A283C"/>
    <w:rsid w:val="000B15B7"/>
    <w:rsid w:val="000B70F1"/>
    <w:rsid w:val="000C4611"/>
    <w:rsid w:val="000D1B61"/>
    <w:rsid w:val="000D6854"/>
    <w:rsid w:val="000E0B26"/>
    <w:rsid w:val="000E3291"/>
    <w:rsid w:val="000E39AF"/>
    <w:rsid w:val="000F08FE"/>
    <w:rsid w:val="000F208B"/>
    <w:rsid w:val="000F2A48"/>
    <w:rsid w:val="000F49BE"/>
    <w:rsid w:val="000F668E"/>
    <w:rsid w:val="00100078"/>
    <w:rsid w:val="00100246"/>
    <w:rsid w:val="0010682D"/>
    <w:rsid w:val="001073C6"/>
    <w:rsid w:val="00107DB5"/>
    <w:rsid w:val="00113613"/>
    <w:rsid w:val="0011483D"/>
    <w:rsid w:val="00115724"/>
    <w:rsid w:val="00130995"/>
    <w:rsid w:val="00131DFA"/>
    <w:rsid w:val="00131FF9"/>
    <w:rsid w:val="00132320"/>
    <w:rsid w:val="00135B6A"/>
    <w:rsid w:val="001369A7"/>
    <w:rsid w:val="001428C5"/>
    <w:rsid w:val="001503D8"/>
    <w:rsid w:val="00157540"/>
    <w:rsid w:val="00162D17"/>
    <w:rsid w:val="0017111F"/>
    <w:rsid w:val="00173CF6"/>
    <w:rsid w:val="00180DAD"/>
    <w:rsid w:val="0018370E"/>
    <w:rsid w:val="001852E1"/>
    <w:rsid w:val="00191568"/>
    <w:rsid w:val="001A13B4"/>
    <w:rsid w:val="001A4277"/>
    <w:rsid w:val="001A7D2E"/>
    <w:rsid w:val="001B1DF9"/>
    <w:rsid w:val="001B1E93"/>
    <w:rsid w:val="001B375E"/>
    <w:rsid w:val="001B4A46"/>
    <w:rsid w:val="001B5E87"/>
    <w:rsid w:val="001B5E91"/>
    <w:rsid w:val="001B69BF"/>
    <w:rsid w:val="001B7988"/>
    <w:rsid w:val="001C0AFE"/>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5668"/>
    <w:rsid w:val="002A1488"/>
    <w:rsid w:val="002A4C2B"/>
    <w:rsid w:val="002A52B9"/>
    <w:rsid w:val="002B19D0"/>
    <w:rsid w:val="002B3682"/>
    <w:rsid w:val="002B5464"/>
    <w:rsid w:val="002C0443"/>
    <w:rsid w:val="002C12FB"/>
    <w:rsid w:val="002C24BC"/>
    <w:rsid w:val="002C42ED"/>
    <w:rsid w:val="002D03C6"/>
    <w:rsid w:val="002D0FDF"/>
    <w:rsid w:val="002D3955"/>
    <w:rsid w:val="002D3E1E"/>
    <w:rsid w:val="002D68A9"/>
    <w:rsid w:val="002E06AE"/>
    <w:rsid w:val="002E4B75"/>
    <w:rsid w:val="002E68DD"/>
    <w:rsid w:val="002F17C2"/>
    <w:rsid w:val="002F32EE"/>
    <w:rsid w:val="002F4054"/>
    <w:rsid w:val="002F5574"/>
    <w:rsid w:val="00301D20"/>
    <w:rsid w:val="00302B19"/>
    <w:rsid w:val="00303428"/>
    <w:rsid w:val="00303B1D"/>
    <w:rsid w:val="003053C4"/>
    <w:rsid w:val="003058A3"/>
    <w:rsid w:val="00307DA5"/>
    <w:rsid w:val="0031169D"/>
    <w:rsid w:val="0031170D"/>
    <w:rsid w:val="00313E14"/>
    <w:rsid w:val="003167DD"/>
    <w:rsid w:val="00320C8B"/>
    <w:rsid w:val="00321BD8"/>
    <w:rsid w:val="00325687"/>
    <w:rsid w:val="003320ED"/>
    <w:rsid w:val="00332C14"/>
    <w:rsid w:val="00335079"/>
    <w:rsid w:val="003352CE"/>
    <w:rsid w:val="00341D8E"/>
    <w:rsid w:val="003502B9"/>
    <w:rsid w:val="00351B8F"/>
    <w:rsid w:val="00353226"/>
    <w:rsid w:val="00353717"/>
    <w:rsid w:val="00354630"/>
    <w:rsid w:val="003548FC"/>
    <w:rsid w:val="00365A24"/>
    <w:rsid w:val="003712DB"/>
    <w:rsid w:val="00373DDC"/>
    <w:rsid w:val="00376017"/>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53F7"/>
    <w:rsid w:val="003D7274"/>
    <w:rsid w:val="003E4A21"/>
    <w:rsid w:val="003E4D82"/>
    <w:rsid w:val="003E5BC1"/>
    <w:rsid w:val="003F0D1B"/>
    <w:rsid w:val="003F1DD6"/>
    <w:rsid w:val="003F294D"/>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2C17"/>
    <w:rsid w:val="004C020A"/>
    <w:rsid w:val="004C03A3"/>
    <w:rsid w:val="004C44B8"/>
    <w:rsid w:val="004C7629"/>
    <w:rsid w:val="004D0D5D"/>
    <w:rsid w:val="004D21DA"/>
    <w:rsid w:val="004E242C"/>
    <w:rsid w:val="004E27DD"/>
    <w:rsid w:val="004E3350"/>
    <w:rsid w:val="004E5292"/>
    <w:rsid w:val="004F0EAF"/>
    <w:rsid w:val="004F1552"/>
    <w:rsid w:val="004F2C5B"/>
    <w:rsid w:val="004F641B"/>
    <w:rsid w:val="004F71F3"/>
    <w:rsid w:val="005052FA"/>
    <w:rsid w:val="005069E1"/>
    <w:rsid w:val="00507E59"/>
    <w:rsid w:val="005122B5"/>
    <w:rsid w:val="00512991"/>
    <w:rsid w:val="0052381C"/>
    <w:rsid w:val="005346B3"/>
    <w:rsid w:val="0054051C"/>
    <w:rsid w:val="00546A84"/>
    <w:rsid w:val="00547BE2"/>
    <w:rsid w:val="00550820"/>
    <w:rsid w:val="0055353D"/>
    <w:rsid w:val="0056187C"/>
    <w:rsid w:val="00576B03"/>
    <w:rsid w:val="00581E1A"/>
    <w:rsid w:val="00591655"/>
    <w:rsid w:val="00591BEC"/>
    <w:rsid w:val="005940EA"/>
    <w:rsid w:val="00594448"/>
    <w:rsid w:val="0059624A"/>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0587"/>
    <w:rsid w:val="00611BE4"/>
    <w:rsid w:val="0061219B"/>
    <w:rsid w:val="00621419"/>
    <w:rsid w:val="00626446"/>
    <w:rsid w:val="00626BE8"/>
    <w:rsid w:val="00631827"/>
    <w:rsid w:val="00632804"/>
    <w:rsid w:val="006376DA"/>
    <w:rsid w:val="006459DA"/>
    <w:rsid w:val="00645D97"/>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20F8"/>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26EE"/>
    <w:rsid w:val="00701651"/>
    <w:rsid w:val="007049BF"/>
    <w:rsid w:val="00704E79"/>
    <w:rsid w:val="00707A26"/>
    <w:rsid w:val="0071120F"/>
    <w:rsid w:val="00716380"/>
    <w:rsid w:val="00722165"/>
    <w:rsid w:val="00724B1C"/>
    <w:rsid w:val="00740AB4"/>
    <w:rsid w:val="007428F0"/>
    <w:rsid w:val="007512EF"/>
    <w:rsid w:val="007551AC"/>
    <w:rsid w:val="0076101C"/>
    <w:rsid w:val="00763D87"/>
    <w:rsid w:val="0076483B"/>
    <w:rsid w:val="007670B2"/>
    <w:rsid w:val="00771795"/>
    <w:rsid w:val="00774925"/>
    <w:rsid w:val="007839C7"/>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350B"/>
    <w:rsid w:val="007C7A22"/>
    <w:rsid w:val="007C7C62"/>
    <w:rsid w:val="007D1076"/>
    <w:rsid w:val="007D12B7"/>
    <w:rsid w:val="007D2A49"/>
    <w:rsid w:val="007D5E38"/>
    <w:rsid w:val="007D7AC4"/>
    <w:rsid w:val="007E0340"/>
    <w:rsid w:val="007E1D4A"/>
    <w:rsid w:val="007E53C0"/>
    <w:rsid w:val="007E7703"/>
    <w:rsid w:val="007F076A"/>
    <w:rsid w:val="007F4558"/>
    <w:rsid w:val="007F64DF"/>
    <w:rsid w:val="008050EF"/>
    <w:rsid w:val="0080652C"/>
    <w:rsid w:val="0080715F"/>
    <w:rsid w:val="008113D6"/>
    <w:rsid w:val="00812BA7"/>
    <w:rsid w:val="00813A87"/>
    <w:rsid w:val="00813E16"/>
    <w:rsid w:val="00813F63"/>
    <w:rsid w:val="008143B4"/>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3A39"/>
    <w:rsid w:val="0086238C"/>
    <w:rsid w:val="008655DC"/>
    <w:rsid w:val="008659D5"/>
    <w:rsid w:val="0086732D"/>
    <w:rsid w:val="00870183"/>
    <w:rsid w:val="00875726"/>
    <w:rsid w:val="00877F10"/>
    <w:rsid w:val="0088225D"/>
    <w:rsid w:val="00882F8D"/>
    <w:rsid w:val="00884FB0"/>
    <w:rsid w:val="008853A5"/>
    <w:rsid w:val="008944DA"/>
    <w:rsid w:val="00894D78"/>
    <w:rsid w:val="008A6A18"/>
    <w:rsid w:val="008B033F"/>
    <w:rsid w:val="008B4003"/>
    <w:rsid w:val="008B588D"/>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733"/>
    <w:rsid w:val="008F1AE5"/>
    <w:rsid w:val="008F55D9"/>
    <w:rsid w:val="009057DE"/>
    <w:rsid w:val="00905F97"/>
    <w:rsid w:val="00906FA3"/>
    <w:rsid w:val="0091239D"/>
    <w:rsid w:val="00912825"/>
    <w:rsid w:val="009129B8"/>
    <w:rsid w:val="00912B99"/>
    <w:rsid w:val="00912C78"/>
    <w:rsid w:val="0091738F"/>
    <w:rsid w:val="00927892"/>
    <w:rsid w:val="009319B9"/>
    <w:rsid w:val="00931E6D"/>
    <w:rsid w:val="009351E9"/>
    <w:rsid w:val="009373E5"/>
    <w:rsid w:val="00937862"/>
    <w:rsid w:val="00942279"/>
    <w:rsid w:val="009524EB"/>
    <w:rsid w:val="00962013"/>
    <w:rsid w:val="00963942"/>
    <w:rsid w:val="0096716C"/>
    <w:rsid w:val="009672B2"/>
    <w:rsid w:val="00971C66"/>
    <w:rsid w:val="00972363"/>
    <w:rsid w:val="0097698A"/>
    <w:rsid w:val="0098419C"/>
    <w:rsid w:val="009843EF"/>
    <w:rsid w:val="009867F2"/>
    <w:rsid w:val="00991347"/>
    <w:rsid w:val="00996018"/>
    <w:rsid w:val="0099738E"/>
    <w:rsid w:val="009A0115"/>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15912"/>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400"/>
    <w:rsid w:val="00A56EC1"/>
    <w:rsid w:val="00A5717E"/>
    <w:rsid w:val="00A63294"/>
    <w:rsid w:val="00A6350C"/>
    <w:rsid w:val="00A6370B"/>
    <w:rsid w:val="00A63A73"/>
    <w:rsid w:val="00A6655C"/>
    <w:rsid w:val="00A66CBB"/>
    <w:rsid w:val="00A6704E"/>
    <w:rsid w:val="00A67EA4"/>
    <w:rsid w:val="00A773FF"/>
    <w:rsid w:val="00A83AA1"/>
    <w:rsid w:val="00A906F4"/>
    <w:rsid w:val="00A9343A"/>
    <w:rsid w:val="00A9706C"/>
    <w:rsid w:val="00A97B34"/>
    <w:rsid w:val="00AA1757"/>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206"/>
    <w:rsid w:val="00AE7339"/>
    <w:rsid w:val="00AF1B0B"/>
    <w:rsid w:val="00AF242C"/>
    <w:rsid w:val="00AF3CC4"/>
    <w:rsid w:val="00B05903"/>
    <w:rsid w:val="00B12C7A"/>
    <w:rsid w:val="00B12E10"/>
    <w:rsid w:val="00B16A34"/>
    <w:rsid w:val="00B22BC3"/>
    <w:rsid w:val="00B25865"/>
    <w:rsid w:val="00B272B6"/>
    <w:rsid w:val="00B2771B"/>
    <w:rsid w:val="00B336E9"/>
    <w:rsid w:val="00B33AE5"/>
    <w:rsid w:val="00B35BE5"/>
    <w:rsid w:val="00B46965"/>
    <w:rsid w:val="00B5326E"/>
    <w:rsid w:val="00B54ED0"/>
    <w:rsid w:val="00B55D47"/>
    <w:rsid w:val="00B6204E"/>
    <w:rsid w:val="00B649EC"/>
    <w:rsid w:val="00B711FD"/>
    <w:rsid w:val="00B728DD"/>
    <w:rsid w:val="00B72D43"/>
    <w:rsid w:val="00B74121"/>
    <w:rsid w:val="00B80ABA"/>
    <w:rsid w:val="00B84C7B"/>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1CF1"/>
    <w:rsid w:val="00BC2220"/>
    <w:rsid w:val="00BC26B9"/>
    <w:rsid w:val="00BC26FA"/>
    <w:rsid w:val="00BC4E01"/>
    <w:rsid w:val="00BC73F6"/>
    <w:rsid w:val="00BD1177"/>
    <w:rsid w:val="00BD1374"/>
    <w:rsid w:val="00BD3531"/>
    <w:rsid w:val="00BD4E35"/>
    <w:rsid w:val="00BE34A0"/>
    <w:rsid w:val="00BE34CA"/>
    <w:rsid w:val="00BE35EF"/>
    <w:rsid w:val="00BF116A"/>
    <w:rsid w:val="00C0623C"/>
    <w:rsid w:val="00C06A07"/>
    <w:rsid w:val="00C132B6"/>
    <w:rsid w:val="00C21A6C"/>
    <w:rsid w:val="00C24A10"/>
    <w:rsid w:val="00C27003"/>
    <w:rsid w:val="00C27597"/>
    <w:rsid w:val="00C32BD4"/>
    <w:rsid w:val="00C33E48"/>
    <w:rsid w:val="00C35FE3"/>
    <w:rsid w:val="00C3618B"/>
    <w:rsid w:val="00C403FB"/>
    <w:rsid w:val="00C4316E"/>
    <w:rsid w:val="00C441A2"/>
    <w:rsid w:val="00C5076B"/>
    <w:rsid w:val="00C512D4"/>
    <w:rsid w:val="00C51CF4"/>
    <w:rsid w:val="00C531E2"/>
    <w:rsid w:val="00C53204"/>
    <w:rsid w:val="00C57E34"/>
    <w:rsid w:val="00C64659"/>
    <w:rsid w:val="00C658A5"/>
    <w:rsid w:val="00C662E9"/>
    <w:rsid w:val="00C66C2D"/>
    <w:rsid w:val="00C7190B"/>
    <w:rsid w:val="00C745DB"/>
    <w:rsid w:val="00C76852"/>
    <w:rsid w:val="00C77210"/>
    <w:rsid w:val="00C777FA"/>
    <w:rsid w:val="00C77989"/>
    <w:rsid w:val="00C811F4"/>
    <w:rsid w:val="00C81E51"/>
    <w:rsid w:val="00C871DE"/>
    <w:rsid w:val="00C87B73"/>
    <w:rsid w:val="00C92444"/>
    <w:rsid w:val="00C92FBB"/>
    <w:rsid w:val="00C93327"/>
    <w:rsid w:val="00C97B4D"/>
    <w:rsid w:val="00CA5602"/>
    <w:rsid w:val="00CA5CA9"/>
    <w:rsid w:val="00CA78E2"/>
    <w:rsid w:val="00CB1BBE"/>
    <w:rsid w:val="00CB65DB"/>
    <w:rsid w:val="00CB6BD9"/>
    <w:rsid w:val="00CC293A"/>
    <w:rsid w:val="00CE19F6"/>
    <w:rsid w:val="00CE1ED4"/>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7F2D"/>
    <w:rsid w:val="00D511DD"/>
    <w:rsid w:val="00D55C2A"/>
    <w:rsid w:val="00D571C1"/>
    <w:rsid w:val="00D602F4"/>
    <w:rsid w:val="00D606F1"/>
    <w:rsid w:val="00D6457E"/>
    <w:rsid w:val="00D742E2"/>
    <w:rsid w:val="00D7580E"/>
    <w:rsid w:val="00D87DAF"/>
    <w:rsid w:val="00D9446D"/>
    <w:rsid w:val="00DA2994"/>
    <w:rsid w:val="00DB08E8"/>
    <w:rsid w:val="00DB0DED"/>
    <w:rsid w:val="00DB3073"/>
    <w:rsid w:val="00DB3BA9"/>
    <w:rsid w:val="00DB50FE"/>
    <w:rsid w:val="00DB5EDA"/>
    <w:rsid w:val="00DB715F"/>
    <w:rsid w:val="00DC1B8D"/>
    <w:rsid w:val="00DC2349"/>
    <w:rsid w:val="00DC3026"/>
    <w:rsid w:val="00DD1EDB"/>
    <w:rsid w:val="00DD57AA"/>
    <w:rsid w:val="00DD69DD"/>
    <w:rsid w:val="00DE1578"/>
    <w:rsid w:val="00DE7F67"/>
    <w:rsid w:val="00DF00D0"/>
    <w:rsid w:val="00DF0529"/>
    <w:rsid w:val="00DF09EF"/>
    <w:rsid w:val="00DF0D0F"/>
    <w:rsid w:val="00DF13D6"/>
    <w:rsid w:val="00DF219B"/>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0184"/>
    <w:rsid w:val="00E53C0E"/>
    <w:rsid w:val="00E54F7E"/>
    <w:rsid w:val="00E560CE"/>
    <w:rsid w:val="00E5674E"/>
    <w:rsid w:val="00E57429"/>
    <w:rsid w:val="00E6238C"/>
    <w:rsid w:val="00E63783"/>
    <w:rsid w:val="00E650E2"/>
    <w:rsid w:val="00E75CAD"/>
    <w:rsid w:val="00E76922"/>
    <w:rsid w:val="00E81688"/>
    <w:rsid w:val="00E8595B"/>
    <w:rsid w:val="00E915EC"/>
    <w:rsid w:val="00EA11B1"/>
    <w:rsid w:val="00EA2224"/>
    <w:rsid w:val="00EA5882"/>
    <w:rsid w:val="00EA7194"/>
    <w:rsid w:val="00EB1329"/>
    <w:rsid w:val="00EB2987"/>
    <w:rsid w:val="00EB2D75"/>
    <w:rsid w:val="00EB34BE"/>
    <w:rsid w:val="00EB571A"/>
    <w:rsid w:val="00EC2804"/>
    <w:rsid w:val="00EC6117"/>
    <w:rsid w:val="00EC6138"/>
    <w:rsid w:val="00ED1DCF"/>
    <w:rsid w:val="00ED3C93"/>
    <w:rsid w:val="00ED43C9"/>
    <w:rsid w:val="00EE2C60"/>
    <w:rsid w:val="00EE2E58"/>
    <w:rsid w:val="00EE487A"/>
    <w:rsid w:val="00EE734C"/>
    <w:rsid w:val="00EF2189"/>
    <w:rsid w:val="00EF6907"/>
    <w:rsid w:val="00EF6D91"/>
    <w:rsid w:val="00F01F54"/>
    <w:rsid w:val="00F04D4D"/>
    <w:rsid w:val="00F11DD8"/>
    <w:rsid w:val="00F12745"/>
    <w:rsid w:val="00F13766"/>
    <w:rsid w:val="00F169F0"/>
    <w:rsid w:val="00F20A77"/>
    <w:rsid w:val="00F22C60"/>
    <w:rsid w:val="00F231A4"/>
    <w:rsid w:val="00F23252"/>
    <w:rsid w:val="00F27B2A"/>
    <w:rsid w:val="00F31762"/>
    <w:rsid w:val="00F345D3"/>
    <w:rsid w:val="00F356ED"/>
    <w:rsid w:val="00F359B5"/>
    <w:rsid w:val="00F4144F"/>
    <w:rsid w:val="00F433F3"/>
    <w:rsid w:val="00F47F64"/>
    <w:rsid w:val="00F51D91"/>
    <w:rsid w:val="00F522D9"/>
    <w:rsid w:val="00F52F54"/>
    <w:rsid w:val="00F53584"/>
    <w:rsid w:val="00F61B24"/>
    <w:rsid w:val="00F62586"/>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1A1B"/>
    <w:rsid w:val="00FD2232"/>
    <w:rsid w:val="00FD4AE7"/>
    <w:rsid w:val="00FD65A9"/>
    <w:rsid w:val="00FD7508"/>
    <w:rsid w:val="00FE1E51"/>
    <w:rsid w:val="00FE2496"/>
    <w:rsid w:val="00FE6A2B"/>
    <w:rsid w:val="00FE6E73"/>
    <w:rsid w:val="00FE7CD9"/>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caption" w:semiHidden="1" w:unhideWhenUsed="1"/>
    <w:lsdException w:name="Default Paragraph Font" w:unhideWhenUsed="1"/>
    <w:lsdException w:name="HTML Top of Form" w:semiHidden="1" w:unhideWhenUsed="1"/>
    <w:lsdException w:name="HTML Bottom of Form" w:semiHidden="1" w:unhideWhenUsed="1"/>
    <w:lsdException w:name="Normal (Web)" w:unhideWhenUsed="1"/>
    <w:lsdException w:name="Normal Table"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lsdException w:name="Placeholder Text" w:semiHidden="1" w:unhideWhenUsed="1"/>
    <w:lsdException w:name="No Spacing" w:semiHidden="1" w:unhideWhenUsed="1"/>
    <w:lsdException w:name="Revision" w:semiHidden="1" w:unhideWhenUsed="1"/>
    <w:lsdException w:name="List Paragraph" w:semiHidden="1" w:unhideWhenUsed="1"/>
    <w:lsdException w:name="Quote" w:semiHidden="1" w:unhideWhenUsed="1"/>
    <w:lsdException w:name="Intense Quote" w:semiHidden="1" w:unhideWhenUsed="1"/>
    <w:lsdException w:name="Bibliography" w:semiHidden="1" w:unhideWhenUsed="1"/>
    <w:lsdException w:name="TOC Heading" w:semiHidden="1" w:unhideWhenUsed="1"/>
  </w:latentStyles>
  <w:style w:type="paragraph" w:default="1" w:styleId="a">
    <w:name w:val="Normal"/>
    <w:qFormat/>
    <w:rsid w:val="00E50184"/>
    <w:pPr>
      <w:widowControl w:val="0"/>
      <w:jc w:val="both"/>
    </w:pPr>
    <w:rPr>
      <w:kern w:val="2"/>
      <w:sz w:val="21"/>
      <w:szCs w:val="24"/>
    </w:rPr>
  </w:style>
  <w:style w:type="paragraph" w:styleId="2">
    <w:name w:val="heading 2"/>
    <w:basedOn w:val="a"/>
    <w:qFormat/>
    <w:rsid w:val="00E50184"/>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E50184"/>
    <w:pPr>
      <w:ind w:firstLineChars="200" w:firstLine="200"/>
    </w:pPr>
  </w:style>
  <w:style w:type="paragraph" w:styleId="a4">
    <w:name w:val="Body Text Indent"/>
    <w:basedOn w:val="a"/>
    <w:qFormat/>
    <w:rsid w:val="00E50184"/>
    <w:pPr>
      <w:ind w:firstLine="645"/>
    </w:pPr>
    <w:rPr>
      <w:rFonts w:ascii="仿宋_GB2312" w:eastAsia="仿宋_GB2312" w:hAnsi="Calibri"/>
      <w:sz w:val="32"/>
      <w:szCs w:val="32"/>
    </w:rPr>
  </w:style>
  <w:style w:type="paragraph" w:styleId="a5">
    <w:name w:val="Date"/>
    <w:basedOn w:val="a"/>
    <w:qFormat/>
    <w:rsid w:val="00E50184"/>
    <w:pPr>
      <w:ind w:leftChars="2500" w:left="100"/>
    </w:pPr>
  </w:style>
  <w:style w:type="paragraph" w:styleId="a6">
    <w:name w:val="Balloon Text"/>
    <w:basedOn w:val="a"/>
    <w:semiHidden/>
    <w:qFormat/>
    <w:rsid w:val="00E50184"/>
    <w:rPr>
      <w:sz w:val="18"/>
      <w:szCs w:val="18"/>
    </w:rPr>
  </w:style>
  <w:style w:type="paragraph" w:styleId="a7">
    <w:name w:val="footer"/>
    <w:basedOn w:val="a"/>
    <w:link w:val="Char1"/>
    <w:qFormat/>
    <w:rsid w:val="00E50184"/>
    <w:pPr>
      <w:tabs>
        <w:tab w:val="center" w:pos="4153"/>
        <w:tab w:val="right" w:pos="8306"/>
      </w:tabs>
      <w:snapToGrid w:val="0"/>
      <w:jc w:val="left"/>
    </w:pPr>
    <w:rPr>
      <w:sz w:val="18"/>
      <w:szCs w:val="18"/>
    </w:rPr>
  </w:style>
  <w:style w:type="paragraph" w:styleId="a8">
    <w:name w:val="header"/>
    <w:basedOn w:val="a"/>
    <w:link w:val="Char10"/>
    <w:qFormat/>
    <w:rsid w:val="00E50184"/>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E50184"/>
    <w:pPr>
      <w:spacing w:before="100" w:beforeAutospacing="1" w:after="100" w:afterAutospacing="1"/>
      <w:ind w:right="238"/>
      <w:jc w:val="left"/>
    </w:pPr>
    <w:rPr>
      <w:b/>
      <w:kern w:val="0"/>
      <w:sz w:val="24"/>
      <w:szCs w:val="20"/>
    </w:rPr>
  </w:style>
  <w:style w:type="character" w:styleId="aa">
    <w:name w:val="Strong"/>
    <w:qFormat/>
    <w:rsid w:val="00E50184"/>
    <w:rPr>
      <w:b/>
    </w:rPr>
  </w:style>
  <w:style w:type="character" w:styleId="ab">
    <w:name w:val="page number"/>
    <w:qFormat/>
    <w:rsid w:val="00E50184"/>
  </w:style>
  <w:style w:type="character" w:customStyle="1" w:styleId="Char">
    <w:name w:val="页脚 Char"/>
    <w:link w:val="a7"/>
    <w:qFormat/>
    <w:rsid w:val="00E50184"/>
    <w:rPr>
      <w:rFonts w:eastAsia="宋体"/>
      <w:kern w:val="2"/>
      <w:sz w:val="18"/>
      <w:szCs w:val="18"/>
      <w:lang w:val="en-US" w:eastAsia="zh-CN" w:bidi="ar-SA"/>
    </w:rPr>
  </w:style>
  <w:style w:type="character" w:customStyle="1" w:styleId="Char0">
    <w:name w:val="页眉 Char"/>
    <w:link w:val="a8"/>
    <w:qFormat/>
    <w:rsid w:val="00E50184"/>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E50184"/>
    <w:rPr>
      <w:rFonts w:ascii="Tahoma" w:hAnsi="Tahoma"/>
      <w:sz w:val="24"/>
      <w:szCs w:val="20"/>
    </w:rPr>
  </w:style>
  <w:style w:type="paragraph" w:customStyle="1" w:styleId="Char1CharCharChar">
    <w:name w:val="Char1 Char Char Char"/>
    <w:basedOn w:val="a"/>
    <w:qFormat/>
    <w:rsid w:val="00E50184"/>
    <w:pPr>
      <w:widowControl/>
      <w:spacing w:after="160" w:line="240" w:lineRule="exact"/>
      <w:jc w:val="left"/>
    </w:pPr>
    <w:rPr>
      <w:szCs w:val="20"/>
    </w:rPr>
  </w:style>
  <w:style w:type="paragraph" w:customStyle="1" w:styleId="Char2">
    <w:name w:val="Char"/>
    <w:basedOn w:val="a"/>
    <w:qFormat/>
    <w:rsid w:val="00E50184"/>
    <w:rPr>
      <w:rFonts w:ascii="Tahoma" w:hAnsi="Tahoma"/>
      <w:sz w:val="24"/>
      <w:szCs w:val="20"/>
    </w:rPr>
  </w:style>
  <w:style w:type="paragraph" w:customStyle="1" w:styleId="CharChar3CharChar">
    <w:name w:val="Char Char3 Char Char"/>
    <w:basedOn w:val="a"/>
    <w:qFormat/>
    <w:rsid w:val="00E50184"/>
    <w:rPr>
      <w:szCs w:val="21"/>
    </w:rPr>
  </w:style>
  <w:style w:type="paragraph" w:styleId="ac">
    <w:name w:val="List Paragraph"/>
    <w:basedOn w:val="a"/>
    <w:uiPriority w:val="99"/>
    <w:unhideWhenUsed/>
    <w:rsid w:val="00162D17"/>
    <w:pPr>
      <w:ind w:firstLineChars="200" w:firstLine="420"/>
    </w:pPr>
  </w:style>
  <w:style w:type="character" w:customStyle="1" w:styleId="font21">
    <w:name w:val="font21"/>
    <w:basedOn w:val="a0"/>
    <w:qFormat/>
    <w:rsid w:val="00BC1CF1"/>
    <w:rPr>
      <w:rFonts w:ascii="宋体" w:eastAsia="宋体" w:hAnsi="宋体" w:cs="宋体" w:hint="eastAsia"/>
      <w:color w:val="000000"/>
      <w:sz w:val="18"/>
      <w:szCs w:val="18"/>
      <w:u w:val="none"/>
      <w:effect w:val="none"/>
    </w:rPr>
  </w:style>
  <w:style w:type="character" w:customStyle="1" w:styleId="font01">
    <w:name w:val="font01"/>
    <w:basedOn w:val="a0"/>
    <w:qFormat/>
    <w:rsid w:val="00BC1CF1"/>
    <w:rPr>
      <w:rFonts w:ascii="宋体" w:eastAsia="宋体" w:hAnsi="宋体" w:cs="宋体" w:hint="eastAsia"/>
      <w:color w:val="000000"/>
      <w:sz w:val="13"/>
      <w:szCs w:val="13"/>
      <w:u w:val="none"/>
      <w:effect w:val="none"/>
    </w:rPr>
  </w:style>
  <w:style w:type="character" w:customStyle="1" w:styleId="Char1">
    <w:name w:val="页脚 Char1"/>
    <w:link w:val="a7"/>
    <w:qFormat/>
    <w:rsid w:val="00E50184"/>
    <w:rPr>
      <w:rFonts w:eastAsia="宋体"/>
      <w:kern w:val="2"/>
      <w:sz w:val="18"/>
      <w:szCs w:val="18"/>
      <w:lang w:val="en-US" w:eastAsia="zh-CN" w:bidi="ar-SA"/>
    </w:rPr>
  </w:style>
  <w:style w:type="character" w:customStyle="1" w:styleId="Char10">
    <w:name w:val="页眉 Char1"/>
    <w:link w:val="a8"/>
    <w:qFormat/>
    <w:rsid w:val="00E50184"/>
    <w:rPr>
      <w:rFonts w:ascii="Calibri" w:eastAsia="宋体" w:hAnsi="Calibri"/>
      <w:kern w:val="2"/>
      <w:sz w:val="18"/>
      <w:szCs w:val="18"/>
      <w:lang w:val="en-US" w:eastAsia="zh-CN" w:bidi="ar-SA"/>
    </w:rPr>
  </w:style>
  <w:style w:type="paragraph" w:customStyle="1" w:styleId="CharCharCharCharCharCharChar0">
    <w:name w:val="Char Char Char Char Char Char Char"/>
    <w:basedOn w:val="a"/>
    <w:qFormat/>
    <w:rsid w:val="00E50184"/>
    <w:rPr>
      <w:rFonts w:ascii="Tahoma" w:hAnsi="Tahoma"/>
      <w:sz w:val="24"/>
      <w:szCs w:val="20"/>
    </w:rPr>
  </w:style>
  <w:style w:type="paragraph" w:customStyle="1" w:styleId="Char1CharCharChar0">
    <w:name w:val="Char1 Char Char Char"/>
    <w:basedOn w:val="a"/>
    <w:qFormat/>
    <w:rsid w:val="00E50184"/>
    <w:pPr>
      <w:widowControl/>
      <w:spacing w:after="160" w:line="240" w:lineRule="exact"/>
      <w:jc w:val="left"/>
    </w:pPr>
    <w:rPr>
      <w:szCs w:val="20"/>
    </w:rPr>
  </w:style>
  <w:style w:type="paragraph" w:customStyle="1" w:styleId="Char3">
    <w:name w:val="Char"/>
    <w:basedOn w:val="a"/>
    <w:qFormat/>
    <w:rsid w:val="00E50184"/>
    <w:rPr>
      <w:rFonts w:ascii="Tahoma" w:hAnsi="Tahoma"/>
      <w:sz w:val="24"/>
      <w:szCs w:val="20"/>
    </w:rPr>
  </w:style>
  <w:style w:type="paragraph" w:customStyle="1" w:styleId="CharChar3CharChar0">
    <w:name w:val="Char Char3 Char Char"/>
    <w:basedOn w:val="a"/>
    <w:qFormat/>
    <w:rsid w:val="00E50184"/>
    <w:rPr>
      <w:szCs w:val="21"/>
    </w:rPr>
  </w:style>
  <w:style w:type="character" w:customStyle="1" w:styleId="font210">
    <w:name w:val="font21"/>
    <w:basedOn w:val="a0"/>
    <w:qFormat/>
    <w:rsid w:val="00BC1CF1"/>
    <w:rPr>
      <w:rFonts w:ascii="宋体" w:eastAsia="宋体" w:hAnsi="宋体" w:cs="宋体" w:hint="eastAsia"/>
      <w:color w:val="000000"/>
      <w:sz w:val="18"/>
      <w:szCs w:val="18"/>
      <w:u w:val="none"/>
      <w:effect w:val="none"/>
    </w:rPr>
  </w:style>
  <w:style w:type="character" w:customStyle="1" w:styleId="font010">
    <w:name w:val="font01"/>
    <w:basedOn w:val="a0"/>
    <w:qFormat/>
    <w:rsid w:val="00BC1CF1"/>
    <w:rPr>
      <w:rFonts w:ascii="宋体" w:eastAsia="宋体" w:hAnsi="宋体" w:cs="宋体" w:hint="eastAsia"/>
      <w:color w:val="000000"/>
      <w:sz w:val="13"/>
      <w:szCs w:val="13"/>
      <w:u w:val="none"/>
      <w:effect w:val="none"/>
    </w:rPr>
  </w:style>
</w:styles>
</file>

<file path=word/webSettings.xml><?xml version="1.0" encoding="utf-8"?>
<w:webSettings xmlns:r="http://schemas.openxmlformats.org/officeDocument/2006/relationships" xmlns:w="http://schemas.openxmlformats.org/wordprocessingml/2006/main">
  <w:divs>
    <w:div w:id="84806226">
      <w:bodyDiv w:val="1"/>
      <w:marLeft w:val="0"/>
      <w:marRight w:val="0"/>
      <w:marTop w:val="0"/>
      <w:marBottom w:val="0"/>
      <w:divBdr>
        <w:top w:val="none" w:sz="0" w:space="0" w:color="auto"/>
        <w:left w:val="none" w:sz="0" w:space="0" w:color="auto"/>
        <w:bottom w:val="none" w:sz="0" w:space="0" w:color="auto"/>
        <w:right w:val="none" w:sz="0" w:space="0" w:color="auto"/>
      </w:divBdr>
    </w:div>
    <w:div w:id="325472911">
      <w:bodyDiv w:val="1"/>
      <w:marLeft w:val="0"/>
      <w:marRight w:val="0"/>
      <w:marTop w:val="0"/>
      <w:marBottom w:val="0"/>
      <w:divBdr>
        <w:top w:val="none" w:sz="0" w:space="0" w:color="auto"/>
        <w:left w:val="none" w:sz="0" w:space="0" w:color="auto"/>
        <w:bottom w:val="none" w:sz="0" w:space="0" w:color="auto"/>
        <w:right w:val="none" w:sz="0" w:space="0" w:color="auto"/>
      </w:divBdr>
    </w:div>
    <w:div w:id="392891048">
      <w:bodyDiv w:val="1"/>
      <w:marLeft w:val="0"/>
      <w:marRight w:val="0"/>
      <w:marTop w:val="0"/>
      <w:marBottom w:val="0"/>
      <w:divBdr>
        <w:top w:val="none" w:sz="0" w:space="0" w:color="auto"/>
        <w:left w:val="none" w:sz="0" w:space="0" w:color="auto"/>
        <w:bottom w:val="none" w:sz="0" w:space="0" w:color="auto"/>
        <w:right w:val="none" w:sz="0" w:space="0" w:color="auto"/>
      </w:divBdr>
    </w:div>
    <w:div w:id="537545309">
      <w:bodyDiv w:val="1"/>
      <w:marLeft w:val="0"/>
      <w:marRight w:val="0"/>
      <w:marTop w:val="0"/>
      <w:marBottom w:val="0"/>
      <w:divBdr>
        <w:top w:val="none" w:sz="0" w:space="0" w:color="auto"/>
        <w:left w:val="none" w:sz="0" w:space="0" w:color="auto"/>
        <w:bottom w:val="none" w:sz="0" w:space="0" w:color="auto"/>
        <w:right w:val="none" w:sz="0" w:space="0" w:color="auto"/>
      </w:divBdr>
    </w:div>
    <w:div w:id="707074523">
      <w:bodyDiv w:val="1"/>
      <w:marLeft w:val="0"/>
      <w:marRight w:val="0"/>
      <w:marTop w:val="0"/>
      <w:marBottom w:val="0"/>
      <w:divBdr>
        <w:top w:val="none" w:sz="0" w:space="0" w:color="auto"/>
        <w:left w:val="none" w:sz="0" w:space="0" w:color="auto"/>
        <w:bottom w:val="none" w:sz="0" w:space="0" w:color="auto"/>
        <w:right w:val="none" w:sz="0" w:space="0" w:color="auto"/>
      </w:divBdr>
    </w:div>
    <w:div w:id="721710819">
      <w:bodyDiv w:val="1"/>
      <w:marLeft w:val="0"/>
      <w:marRight w:val="0"/>
      <w:marTop w:val="0"/>
      <w:marBottom w:val="0"/>
      <w:divBdr>
        <w:top w:val="none" w:sz="0" w:space="0" w:color="auto"/>
        <w:left w:val="none" w:sz="0" w:space="0" w:color="auto"/>
        <w:bottom w:val="none" w:sz="0" w:space="0" w:color="auto"/>
        <w:right w:val="none" w:sz="0" w:space="0" w:color="auto"/>
      </w:divBdr>
    </w:div>
    <w:div w:id="1043989890">
      <w:bodyDiv w:val="1"/>
      <w:marLeft w:val="0"/>
      <w:marRight w:val="0"/>
      <w:marTop w:val="0"/>
      <w:marBottom w:val="0"/>
      <w:divBdr>
        <w:top w:val="none" w:sz="0" w:space="0" w:color="auto"/>
        <w:left w:val="none" w:sz="0" w:space="0" w:color="auto"/>
        <w:bottom w:val="none" w:sz="0" w:space="0" w:color="auto"/>
        <w:right w:val="none" w:sz="0" w:space="0" w:color="auto"/>
      </w:divBdr>
    </w:div>
    <w:div w:id="1087114777">
      <w:bodyDiv w:val="1"/>
      <w:marLeft w:val="0"/>
      <w:marRight w:val="0"/>
      <w:marTop w:val="0"/>
      <w:marBottom w:val="0"/>
      <w:divBdr>
        <w:top w:val="none" w:sz="0" w:space="0" w:color="auto"/>
        <w:left w:val="none" w:sz="0" w:space="0" w:color="auto"/>
        <w:bottom w:val="none" w:sz="0" w:space="0" w:color="auto"/>
        <w:right w:val="none" w:sz="0" w:space="0" w:color="auto"/>
      </w:divBdr>
    </w:div>
    <w:div w:id="1308507550">
      <w:bodyDiv w:val="1"/>
      <w:marLeft w:val="0"/>
      <w:marRight w:val="0"/>
      <w:marTop w:val="0"/>
      <w:marBottom w:val="0"/>
      <w:divBdr>
        <w:top w:val="none" w:sz="0" w:space="0" w:color="auto"/>
        <w:left w:val="none" w:sz="0" w:space="0" w:color="auto"/>
        <w:bottom w:val="none" w:sz="0" w:space="0" w:color="auto"/>
        <w:right w:val="none" w:sz="0" w:space="0" w:color="auto"/>
      </w:divBdr>
    </w:div>
    <w:div w:id="1308701081">
      <w:bodyDiv w:val="1"/>
      <w:marLeft w:val="0"/>
      <w:marRight w:val="0"/>
      <w:marTop w:val="0"/>
      <w:marBottom w:val="0"/>
      <w:divBdr>
        <w:top w:val="none" w:sz="0" w:space="0" w:color="auto"/>
        <w:left w:val="none" w:sz="0" w:space="0" w:color="auto"/>
        <w:bottom w:val="none" w:sz="0" w:space="0" w:color="auto"/>
        <w:right w:val="none" w:sz="0" w:space="0" w:color="auto"/>
      </w:divBdr>
    </w:div>
    <w:div w:id="1796563660">
      <w:bodyDiv w:val="1"/>
      <w:marLeft w:val="0"/>
      <w:marRight w:val="0"/>
      <w:marTop w:val="0"/>
      <w:marBottom w:val="0"/>
      <w:divBdr>
        <w:top w:val="none" w:sz="0" w:space="0" w:color="auto"/>
        <w:left w:val="none" w:sz="0" w:space="0" w:color="auto"/>
        <w:bottom w:val="none" w:sz="0" w:space="0" w:color="auto"/>
        <w:right w:val="none" w:sz="0" w:space="0" w:color="auto"/>
      </w:divBdr>
    </w:div>
    <w:div w:id="1843397808">
      <w:bodyDiv w:val="1"/>
      <w:marLeft w:val="0"/>
      <w:marRight w:val="0"/>
      <w:marTop w:val="0"/>
      <w:marBottom w:val="0"/>
      <w:divBdr>
        <w:top w:val="none" w:sz="0" w:space="0" w:color="auto"/>
        <w:left w:val="none" w:sz="0" w:space="0" w:color="auto"/>
        <w:bottom w:val="none" w:sz="0" w:space="0" w:color="auto"/>
        <w:right w:val="none" w:sz="0" w:space="0" w:color="auto"/>
      </w:divBdr>
    </w:div>
    <w:div w:id="1843817257">
      <w:bodyDiv w:val="1"/>
      <w:marLeft w:val="0"/>
      <w:marRight w:val="0"/>
      <w:marTop w:val="0"/>
      <w:marBottom w:val="0"/>
      <w:divBdr>
        <w:top w:val="none" w:sz="0" w:space="0" w:color="auto"/>
        <w:left w:val="none" w:sz="0" w:space="0" w:color="auto"/>
        <w:bottom w:val="none" w:sz="0" w:space="0" w:color="auto"/>
        <w:right w:val="none" w:sz="0" w:space="0" w:color="auto"/>
      </w:divBdr>
    </w:div>
    <w:div w:id="1893610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title>
    <c:plotArea>
      <c:layout/>
      <c:pieChart>
        <c:varyColors val="1"/>
        <c:ser>
          <c:idx val="0"/>
          <c:order val="0"/>
          <c:tx>
            <c:strRef>
              <c:f>Sheet1!$B$1</c:f>
              <c:strCache>
                <c:ptCount val="1"/>
                <c:pt idx="0">
                  <c:v>收入</c:v>
                </c:pt>
              </c:strCache>
            </c:strRef>
          </c:tx>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附属单位上缴收入</c:v>
                </c:pt>
                <c:pt idx="5">
                  <c:v>其他收入</c:v>
                </c:pt>
              </c:strCache>
            </c:strRef>
          </c:cat>
          <c:val>
            <c:numRef>
              <c:f>Sheet1!$B$2:$B$7</c:f>
              <c:numCache>
                <c:formatCode>General</c:formatCode>
                <c:ptCount val="6"/>
                <c:pt idx="0">
                  <c:v>389.6400000000001</c:v>
                </c:pt>
              </c:numCache>
            </c:numRef>
          </c:val>
        </c:ser>
        <c:dLbls>
          <c:showVal val="1"/>
        </c:dLbls>
        <c:firstSliceAng val="0"/>
      </c:pieChart>
    </c:plotArea>
    <c:legend>
      <c:legendPos val="r"/>
      <c:layout>
        <c:manualLayout>
          <c:xMode val="edge"/>
          <c:yMode val="edge"/>
          <c:x val="0.68550627722836033"/>
          <c:y val="0.11997221129043069"/>
          <c:w val="0.29568818055364621"/>
          <c:h val="0.84809097526567057"/>
        </c:manualLayout>
      </c:layout>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ea31a22d-92a3-4dc5-a9a5-5bf3a0305c21}"/>
      </c:ext>
    </c:extLst>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Pt>
            <c:idx val="2"/>
            <c:spPr>
              <a:solidFill>
                <a:srgbClr val="9BBB59"/>
              </a:solidFill>
              <a:ln w="19050">
                <a:solidFill>
                  <a:srgbClr val="FFFFFF"/>
                </a:solidFill>
              </a:ln>
              <a:effectLst/>
            </c:spPr>
          </c:dPt>
          <c:dPt>
            <c:idx val="3"/>
            <c:spPr>
              <a:solidFill>
                <a:srgbClr val="8064A2"/>
              </a:solidFill>
              <a:ln w="19050">
                <a:solidFill>
                  <a:srgbClr val="FFFFFF"/>
                </a:solidFill>
              </a:ln>
              <a:effectLst/>
            </c:spPr>
          </c:dPt>
          <c:dPt>
            <c:idx val="4"/>
            <c:spPr>
              <a:solidFill>
                <a:srgbClr val="4BACC6"/>
              </a:solidFill>
              <a:ln w="19050">
                <a:solidFill>
                  <a:srgbClr val="FFFFFF"/>
                </a:solidFill>
              </a:ln>
              <a:effectLst/>
            </c:spPr>
          </c:dPt>
          <c:dLbls>
            <c:dLbl>
              <c:idx val="2"/>
              <c:layout>
                <c:manualLayout>
                  <c:x val="-3.9003729401150017E-2"/>
                  <c:y val="3.2827143610787812E-2"/>
                </c:manualLayout>
              </c:layout>
              <c:dLblPos val="bestFit"/>
              <c:showPercent val="1"/>
              <c:extLst>
                <c:ext xmlns:c15="http://schemas.microsoft.com/office/drawing/2012/chart" uri="{CE6537A1-D6FC-4f65-9D91-7224C49458BB}">
                  <c15:layout/>
                </c:ext>
              </c:extLst>
            </c:dLbl>
            <c:dLbl>
              <c:idx val="4"/>
              <c:layout>
                <c:manualLayout>
                  <c:x val="3.8988769358610197E-2"/>
                  <c:y val="1.0511229510062304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406.35</c:v>
                </c:pt>
                <c:pt idx="1">
                  <c:v>11.29</c:v>
                </c:pt>
                <c:pt idx="2">
                  <c:v>0</c:v>
                </c:pt>
                <c:pt idx="3">
                  <c:v>0</c:v>
                </c:pt>
                <c:pt idx="4">
                  <c:v>0</c:v>
                </c:pt>
              </c:numCache>
            </c:numRef>
          </c:val>
        </c:ser>
        <c:dLbls>
          <c:showPercent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Viet" typeface="Times New Roman"/>
        <a:font script="Tibt" typeface="Microsoft Himalaya"/>
        <a:font script="Laoo" typeface="DokChampa"/>
        <a:font script="Geor" typeface="Sylfaen"/>
        <a:font script="Sinh" typeface="Iskoola Pota"/>
        <a:font script="Hebr" typeface="Times New Roman"/>
        <a:font script="Cher" typeface="Plantagenet Cherokee"/>
        <a:font script="Mlym" typeface="Kartika"/>
        <a:font script="Hang" typeface="맑은 고딕"/>
        <a:font script="Mong" typeface="Mongolian Baiti"/>
        <a:font script="Telu" typeface="Gautami"/>
        <a:font script="Deva" typeface="Mangal"/>
        <a:font script="Orya" typeface="Kalinga"/>
        <a:font script="Cans" typeface="Euphemia"/>
        <a:font script="Khmr" typeface="MoolBoran"/>
        <a:font script="Syrc" typeface="Estrangelo Edessa"/>
        <a:font script="Gujr" typeface="Shruti"/>
        <a:font script="Thai" typeface="Angsana New"/>
        <a:font script="Uigh" typeface="Microsoft Uighur"/>
        <a:font script="Beng" typeface="Vrinda"/>
        <a:font script="Hans" typeface="宋体"/>
        <a:font script="Guru" typeface="Raavi"/>
        <a:font script="Yiii" typeface="Microsoft Yi Baiti"/>
        <a:font script="Jpan" typeface="ＭＳ ゴシック"/>
        <a:font script="Thaa" typeface="MV Boli"/>
        <a:font script="Ethi" typeface="Nyala"/>
        <a:font script="Taml" typeface="Latha"/>
        <a:font script="Knda" typeface="Tunga"/>
        <a:font script="Arab" typeface="Times New Roman"/>
        <a:font script="Hant" typeface="新細明體"/>
      </a:majorFont>
      <a:minorFont>
        <a:latin typeface="Calibri"/>
        <a:ea typeface=""/>
        <a:cs typeface=""/>
        <a:font script="Viet" typeface="Arial"/>
        <a:font script="Tibt" typeface="Microsoft Himalaya"/>
        <a:font script="Laoo" typeface="DokChampa"/>
        <a:font script="Geor" typeface="Sylfaen"/>
        <a:font script="Sinh" typeface="Iskoola Pota"/>
        <a:font script="Hebr" typeface="Arial"/>
        <a:font script="Cher" typeface="Plantagenet Cherokee"/>
        <a:font script="Mlym" typeface="Kartika"/>
        <a:font script="Hang" typeface="맑은 고딕"/>
        <a:font script="Mong" typeface="Mongolian Baiti"/>
        <a:font script="Telu" typeface="Gautami"/>
        <a:font script="Deva" typeface="Mangal"/>
        <a:font script="Orya" typeface="Kalinga"/>
        <a:font script="Cans" typeface="Euphemia"/>
        <a:font script="Khmr" typeface="DaunPenh"/>
        <a:font script="Syrc" typeface="Estrangelo Edessa"/>
        <a:font script="Gujr" typeface="Shruti"/>
        <a:font script="Thai" typeface="Cordia New"/>
        <a:font script="Uigh" typeface="Microsoft Uighur"/>
        <a:font script="Beng" typeface="Vrinda"/>
        <a:font script="Hans" typeface="宋体"/>
        <a:font script="Guru" typeface="Raavi"/>
        <a:font script="Yiii" typeface="Microsoft Yi Baiti"/>
        <a:font script="Jpan" typeface="ＭＳ 明朝"/>
        <a:font script="Thaa" typeface="MV Boli"/>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12</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LX</cp:lastModifiedBy>
  <cp:revision>112</cp:revision>
  <dcterms:created xsi:type="dcterms:W3CDTF">2017-07-13T07:16:00Z</dcterms:created>
  <dcterms:modified xsi:type="dcterms:W3CDTF">2025-09-26T06:42:00Z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