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spacing w:line="620" w:lineRule="exact"/>
        <w:ind w:left="359" w:leftChars="171" w:firstLine="320" w:firstLineChars="100"/>
        <w:rPr>
          <w:rFonts w:hint="eastAsia" w:ascii="仿宋_GB2312" w:eastAsia="仿宋_GB2312"/>
          <w:color w:val="000000"/>
          <w:sz w:val="32"/>
          <w:szCs w:val="32"/>
        </w:rPr>
      </w:pPr>
      <w:r>
        <w:rPr>
          <w:rFonts w:hint="eastAsia" w:ascii="仿宋_GB2312" w:eastAsia="仿宋_GB2312"/>
          <w:color w:val="000000"/>
          <w:sz w:val="32"/>
          <w:szCs w:val="32"/>
        </w:rPr>
        <w:t>部门职责：为本地学龄前儿童提供优质的保育服务；</w:t>
      </w:r>
    </w:p>
    <w:p>
      <w:pPr>
        <w:spacing w:line="620" w:lineRule="exact"/>
        <w:ind w:left="359" w:leftChars="171" w:firstLine="320" w:firstLineChars="100"/>
        <w:rPr>
          <w:rFonts w:hint="eastAsia" w:ascii="仿宋_GB2312" w:eastAsia="仿宋_GB2312"/>
          <w:sz w:val="32"/>
          <w:szCs w:val="32"/>
        </w:rPr>
      </w:pPr>
      <w:r>
        <w:rPr>
          <w:rFonts w:hint="eastAsia" w:ascii="仿宋_GB2312" w:eastAsia="仿宋_GB2312"/>
          <w:sz w:val="32"/>
          <w:szCs w:val="32"/>
        </w:rPr>
        <w:t>内设机构：园长室、副园长室、工会、办公室、保教室、总务处、安保办、医务室、财务室。</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2730.21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39.17</w:t>
      </w:r>
      <w:r>
        <w:rPr>
          <w:rFonts w:hint="eastAsia" w:ascii="仿宋_GB2312" w:eastAsia="仿宋_GB2312"/>
          <w:sz w:val="28"/>
          <w:szCs w:val="28"/>
        </w:rPr>
        <w:t>万元，下降</w:t>
      </w:r>
      <w:r>
        <w:rPr>
          <w:rFonts w:hint="eastAsia" w:ascii="仿宋_GB2312" w:eastAsia="仿宋_GB2312"/>
          <w:sz w:val="28"/>
          <w:szCs w:val="28"/>
          <w:lang w:val="en-US" w:eastAsia="zh-CN"/>
        </w:rPr>
        <w:t>1.43</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2600.57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126.84</w:t>
      </w:r>
      <w:r>
        <w:rPr>
          <w:rFonts w:hint="eastAsia" w:ascii="仿宋_GB2312" w:eastAsia="仿宋_GB2312"/>
          <w:sz w:val="28"/>
          <w:szCs w:val="28"/>
        </w:rPr>
        <w:t>万元，下降</w:t>
      </w:r>
      <w:r>
        <w:rPr>
          <w:rFonts w:hint="eastAsia" w:ascii="仿宋_GB2312" w:eastAsia="仿宋_GB2312"/>
          <w:sz w:val="28"/>
          <w:szCs w:val="28"/>
          <w:lang w:val="en-US" w:eastAsia="zh-CN"/>
        </w:rPr>
        <w:t>4.88</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2600.57</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其中：一般公共预算财政拨款收入2600.5</w:t>
      </w:r>
      <w:r>
        <w:rPr>
          <w:rFonts w:hint="eastAsia" w:ascii="仿宋_GB2312" w:eastAsia="仿宋_GB2312"/>
          <w:sz w:val="28"/>
          <w:szCs w:val="28"/>
          <w:lang w:val="en-US" w:eastAsia="zh-CN"/>
        </w:rPr>
        <w:t>7</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2730.21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39.17</w:t>
      </w:r>
      <w:r>
        <w:rPr>
          <w:rFonts w:hint="eastAsia" w:ascii="仿宋_GB2312" w:eastAsia="仿宋_GB2312"/>
          <w:sz w:val="28"/>
          <w:szCs w:val="28"/>
        </w:rPr>
        <w:t>万元，下降</w:t>
      </w:r>
      <w:r>
        <w:rPr>
          <w:rFonts w:hint="eastAsia" w:ascii="仿宋_GB2312" w:eastAsia="仿宋_GB2312"/>
          <w:sz w:val="28"/>
          <w:szCs w:val="28"/>
          <w:lang w:val="en-US" w:eastAsia="zh-CN"/>
        </w:rPr>
        <w:t>1.43</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1802.67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66.03</w:t>
      </w:r>
      <w:r>
        <w:rPr>
          <w:rFonts w:hint="eastAsia" w:ascii="仿宋_GB2312" w:eastAsia="仿宋_GB2312"/>
          <w:sz w:val="28"/>
          <w:szCs w:val="28"/>
          <w:highlight w:val="none"/>
        </w:rPr>
        <w:t>%；项目支出</w:t>
      </w:r>
      <w:r>
        <w:rPr>
          <w:rFonts w:ascii="仿宋_GB2312" w:eastAsia="仿宋_GB2312"/>
          <w:sz w:val="28"/>
          <w:szCs w:val="28"/>
          <w:highlight w:val="none"/>
        </w:rPr>
        <w:t>927.54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33.97</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tabs>
          <w:tab w:val="left" w:pos="1983"/>
          <w:tab w:val="center" w:pos="7305"/>
        </w:tabs>
        <w:jc w:val="left"/>
        <w:rPr>
          <w:rFonts w:ascii="黑体" w:eastAsia="黑体"/>
          <w:b/>
          <w:sz w:val="28"/>
          <w:szCs w:val="28"/>
        </w:rPr>
      </w:pPr>
      <w:r>
        <w:rPr>
          <w:rFonts w:hint="eastAsia"/>
          <w:lang w:eastAsia="zh-CN"/>
        </w:rPr>
        <w:tab/>
      </w:r>
      <w:r>
        <w:rPr>
          <w:rFonts w:hint="eastAsia"/>
          <w:lang w:eastAsia="zh-CN"/>
        </w:rPr>
        <w:tab/>
      </w: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color w:val="auto"/>
          <w:sz w:val="28"/>
          <w:szCs w:val="28"/>
        </w:rPr>
      </w:pPr>
      <w:r>
        <w:rPr>
          <w:rFonts w:hint="eastAsia" w:ascii="黑体" w:eastAsia="黑体"/>
          <w:b/>
          <w:color w:val="auto"/>
          <w:sz w:val="28"/>
          <w:szCs w:val="28"/>
        </w:rPr>
        <w:t>三</w:t>
      </w:r>
      <w:r>
        <w:rPr>
          <w:rFonts w:ascii="黑体" w:eastAsia="黑体"/>
          <w:b/>
          <w:color w:val="auto"/>
          <w:sz w:val="28"/>
          <w:szCs w:val="28"/>
        </w:rPr>
        <w:t>、财政拨款</w:t>
      </w:r>
      <w:r>
        <w:rPr>
          <w:rFonts w:hint="eastAsia" w:ascii="黑体" w:eastAsia="黑体"/>
          <w:b/>
          <w:color w:val="auto"/>
          <w:sz w:val="28"/>
          <w:szCs w:val="28"/>
        </w:rPr>
        <w:t>收入支出决算</w:t>
      </w:r>
      <w:r>
        <w:rPr>
          <w:rFonts w:ascii="黑体" w:eastAsia="黑体"/>
          <w:b/>
          <w:color w:val="auto"/>
          <w:sz w:val="28"/>
          <w:szCs w:val="28"/>
        </w:rPr>
        <w:t>总体情况说明</w:t>
      </w:r>
    </w:p>
    <w:p>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color w:val="auto"/>
          <w:sz w:val="28"/>
          <w:szCs w:val="28"/>
        </w:rPr>
        <w:t>2024年度财政拨款收入总计2730.21万元，</w:t>
      </w:r>
      <w:r>
        <w:rPr>
          <w:rFonts w:ascii="仿宋_GB2312" w:eastAsia="仿宋_GB2312"/>
          <w:color w:val="auto"/>
          <w:sz w:val="28"/>
          <w:szCs w:val="28"/>
        </w:rPr>
        <w:t>比上年</w:t>
      </w:r>
      <w:r>
        <w:rPr>
          <w:rFonts w:hint="eastAsia" w:ascii="仿宋_GB2312" w:eastAsia="仿宋_GB2312"/>
          <w:color w:val="auto"/>
          <w:sz w:val="28"/>
          <w:szCs w:val="28"/>
        </w:rPr>
        <w:t>减少</w:t>
      </w:r>
      <w:r>
        <w:rPr>
          <w:rFonts w:hint="eastAsia" w:ascii="仿宋_GB2312" w:eastAsia="仿宋_GB2312"/>
          <w:color w:val="auto"/>
          <w:sz w:val="28"/>
          <w:szCs w:val="28"/>
          <w:lang w:val="en-US" w:eastAsia="zh-CN"/>
        </w:rPr>
        <w:t>39.17</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1.43</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本年教师调出以及幼儿减少，所以</w:t>
      </w:r>
      <w:r>
        <w:rPr>
          <w:rFonts w:hint="eastAsia" w:ascii="仿宋_GB2312" w:eastAsia="仿宋_GB2312"/>
          <w:color w:val="auto"/>
          <w:sz w:val="28"/>
          <w:szCs w:val="28"/>
        </w:rPr>
        <w:t>减少</w:t>
      </w:r>
      <w:r>
        <w:rPr>
          <w:rFonts w:ascii="仿宋_GB2312" w:eastAsia="仿宋_GB2312"/>
          <w:color w:val="auto"/>
          <w:sz w:val="28"/>
          <w:szCs w:val="28"/>
        </w:rPr>
        <w:t>导致生均公用经费减少</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人员经费减少</w:t>
      </w:r>
      <w:r>
        <w:rPr>
          <w:rFonts w:hint="eastAsia" w:ascii="仿宋_GB2312" w:eastAsia="仿宋_GB2312"/>
          <w:color w:val="auto"/>
          <w:sz w:val="28"/>
          <w:szCs w:val="28"/>
        </w:rPr>
        <w:t>。</w:t>
      </w:r>
    </w:p>
    <w:p>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color w:val="auto"/>
          <w:sz w:val="28"/>
          <w:szCs w:val="28"/>
        </w:rPr>
        <w:t>2024年度财政拨款支出总计2730.21万元，</w:t>
      </w:r>
      <w:r>
        <w:rPr>
          <w:rFonts w:ascii="仿宋_GB2312" w:eastAsia="仿宋_GB2312"/>
          <w:color w:val="auto"/>
          <w:sz w:val="28"/>
          <w:szCs w:val="28"/>
        </w:rPr>
        <w:t>比上年</w:t>
      </w:r>
      <w:r>
        <w:rPr>
          <w:rFonts w:hint="eastAsia" w:ascii="仿宋_GB2312" w:eastAsia="仿宋_GB2312"/>
          <w:color w:val="auto"/>
          <w:sz w:val="28"/>
          <w:szCs w:val="28"/>
        </w:rPr>
        <w:t>减少</w:t>
      </w:r>
      <w:r>
        <w:rPr>
          <w:rFonts w:hint="eastAsia" w:ascii="仿宋_GB2312" w:eastAsia="仿宋_GB2312"/>
          <w:color w:val="auto"/>
          <w:sz w:val="28"/>
          <w:szCs w:val="28"/>
          <w:lang w:val="en-US" w:eastAsia="zh-CN"/>
        </w:rPr>
        <w:t>39.17</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1.43</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本年教师调出以及幼儿减少，所以</w:t>
      </w:r>
      <w:r>
        <w:rPr>
          <w:rFonts w:hint="eastAsia" w:ascii="仿宋_GB2312" w:eastAsia="仿宋_GB2312"/>
          <w:color w:val="auto"/>
          <w:sz w:val="28"/>
          <w:szCs w:val="28"/>
        </w:rPr>
        <w:t>减少</w:t>
      </w:r>
      <w:r>
        <w:rPr>
          <w:rFonts w:ascii="仿宋_GB2312" w:eastAsia="仿宋_GB2312"/>
          <w:color w:val="auto"/>
          <w:sz w:val="28"/>
          <w:szCs w:val="28"/>
        </w:rPr>
        <w:t>导致生均公用经费减少</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人员经费减少</w:t>
      </w:r>
      <w:r>
        <w:rPr>
          <w:rFonts w:hint="eastAsia" w:ascii="仿宋_GB2312" w:eastAsia="仿宋_GB2312"/>
          <w:color w:val="auto"/>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color w:val="0000FF"/>
          <w:sz w:val="28"/>
          <w:szCs w:val="28"/>
        </w:rPr>
      </w:pPr>
      <w:r>
        <w:rPr>
          <w:rFonts w:hint="eastAsia" w:ascii="仿宋_GB2312" w:eastAsia="仿宋_GB2312"/>
          <w:sz w:val="28"/>
          <w:szCs w:val="28"/>
        </w:rPr>
        <w:t>2024年度一般公共预算财政拨款支出2730.21万元，主要用于以下方面：教育支出</w:t>
      </w:r>
      <w:r>
        <w:rPr>
          <w:rFonts w:hint="eastAsia" w:ascii="仿宋_GB2312" w:eastAsia="仿宋_GB2312"/>
          <w:sz w:val="28"/>
          <w:szCs w:val="28"/>
          <w:lang w:val="en-US" w:eastAsia="zh-CN"/>
        </w:rPr>
        <w:t>2291.64</w:t>
      </w:r>
      <w:r>
        <w:rPr>
          <w:rFonts w:hint="eastAsia" w:ascii="仿宋_GB2312" w:eastAsia="仿宋_GB2312"/>
          <w:sz w:val="28"/>
          <w:szCs w:val="28"/>
        </w:rPr>
        <w:t>万元，占</w:t>
      </w:r>
      <w:r>
        <w:rPr>
          <w:rFonts w:hint="eastAsia" w:ascii="仿宋_GB2312" w:eastAsia="仿宋_GB2312"/>
          <w:sz w:val="28"/>
          <w:szCs w:val="28"/>
          <w:lang w:val="en-US" w:eastAsia="zh-CN"/>
        </w:rPr>
        <w:t>比83.94</w:t>
      </w:r>
      <w:r>
        <w:rPr>
          <w:rFonts w:hint="eastAsia" w:ascii="仿宋_GB2312" w:eastAsia="仿宋_GB2312"/>
          <w:sz w:val="28"/>
          <w:szCs w:val="28"/>
        </w:rPr>
        <w:t>%。社会保障和就业支出178.0</w:t>
      </w:r>
      <w:r>
        <w:rPr>
          <w:rFonts w:hint="eastAsia" w:ascii="仿宋_GB2312" w:eastAsia="仿宋_GB2312"/>
          <w:sz w:val="28"/>
          <w:szCs w:val="28"/>
          <w:lang w:val="en-US" w:eastAsia="zh-CN"/>
        </w:rPr>
        <w:t>8</w:t>
      </w:r>
      <w:r>
        <w:rPr>
          <w:rFonts w:hint="eastAsia" w:ascii="仿宋_GB2312" w:eastAsia="仿宋_GB2312"/>
          <w:sz w:val="28"/>
          <w:szCs w:val="28"/>
        </w:rPr>
        <w:t>万元，占</w:t>
      </w:r>
      <w:r>
        <w:rPr>
          <w:rFonts w:hint="eastAsia" w:ascii="仿宋_GB2312" w:eastAsia="仿宋_GB2312"/>
          <w:sz w:val="28"/>
          <w:szCs w:val="28"/>
          <w:lang w:val="en-US" w:eastAsia="zh-CN"/>
        </w:rPr>
        <w:t>比6.52</w:t>
      </w:r>
      <w:r>
        <w:rPr>
          <w:rFonts w:hint="eastAsia" w:ascii="仿宋_GB2312" w:eastAsia="仿宋_GB2312"/>
          <w:sz w:val="28"/>
          <w:szCs w:val="28"/>
        </w:rPr>
        <w:t>%。卫生健康支出130.85万元，占</w:t>
      </w:r>
      <w:r>
        <w:rPr>
          <w:rFonts w:hint="eastAsia" w:ascii="仿宋_GB2312" w:eastAsia="仿宋_GB2312"/>
          <w:sz w:val="28"/>
          <w:szCs w:val="28"/>
          <w:lang w:val="en-US" w:eastAsia="zh-CN"/>
        </w:rPr>
        <w:t>比4.79</w:t>
      </w:r>
      <w:r>
        <w:rPr>
          <w:rFonts w:hint="eastAsia" w:ascii="仿宋_GB2312" w:eastAsia="仿宋_GB2312"/>
          <w:sz w:val="28"/>
          <w:szCs w:val="28"/>
        </w:rPr>
        <w:t>%。住房保障支出129.64万元，占</w:t>
      </w:r>
      <w:r>
        <w:rPr>
          <w:rFonts w:hint="eastAsia" w:ascii="仿宋_GB2312" w:eastAsia="仿宋_GB2312"/>
          <w:sz w:val="28"/>
          <w:szCs w:val="28"/>
          <w:lang w:val="en-US" w:eastAsia="zh-CN"/>
        </w:rPr>
        <w:t>比4.75</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1.“教育支出”2024年度年初预算</w:t>
      </w:r>
      <w:r>
        <w:rPr>
          <w:rFonts w:hint="eastAsia" w:ascii="仿宋_GB2312" w:eastAsia="仿宋_GB2312"/>
          <w:color w:val="auto"/>
          <w:sz w:val="28"/>
          <w:szCs w:val="28"/>
          <w:lang w:val="en-US" w:eastAsia="zh-CN"/>
        </w:rPr>
        <w:t>2236.23</w:t>
      </w:r>
      <w:r>
        <w:rPr>
          <w:rFonts w:hint="eastAsia" w:ascii="仿宋_GB2312" w:eastAsia="仿宋_GB2312"/>
          <w:color w:val="auto"/>
          <w:sz w:val="28"/>
          <w:szCs w:val="28"/>
        </w:rPr>
        <w:t>万元，2024年度决算</w:t>
      </w:r>
      <w:r>
        <w:rPr>
          <w:rFonts w:hint="eastAsia" w:ascii="仿宋_GB2312" w:eastAsia="仿宋_GB2312"/>
          <w:color w:val="auto"/>
          <w:sz w:val="28"/>
          <w:szCs w:val="28"/>
          <w:lang w:val="en-US" w:eastAsia="zh-CN"/>
        </w:rPr>
        <w:t>2291.64</w:t>
      </w:r>
      <w:r>
        <w:rPr>
          <w:rFonts w:hint="eastAsia" w:ascii="仿宋_GB2312" w:eastAsia="仿宋_GB2312"/>
          <w:color w:val="auto"/>
          <w:sz w:val="28"/>
          <w:szCs w:val="28"/>
        </w:rPr>
        <w:t>万元，完成年初预算的</w:t>
      </w:r>
      <w:r>
        <w:rPr>
          <w:rFonts w:hint="eastAsia" w:ascii="仿宋_GB2312" w:eastAsia="仿宋_GB2312"/>
          <w:color w:val="auto"/>
          <w:sz w:val="28"/>
          <w:szCs w:val="28"/>
          <w:lang w:val="en-US" w:eastAsia="zh-CN"/>
        </w:rPr>
        <w:t>102.48</w:t>
      </w: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“普通教育”2024年度年初预算</w:t>
      </w:r>
      <w:r>
        <w:rPr>
          <w:rFonts w:hint="eastAsia" w:ascii="仿宋_GB2312" w:eastAsia="仿宋_GB2312"/>
          <w:color w:val="auto"/>
          <w:sz w:val="28"/>
          <w:szCs w:val="28"/>
          <w:lang w:val="en-US" w:eastAsia="zh-CN"/>
        </w:rPr>
        <w:t>2236.23</w:t>
      </w:r>
      <w:r>
        <w:rPr>
          <w:rFonts w:hint="eastAsia" w:ascii="仿宋_GB2312" w:eastAsia="仿宋_GB2312"/>
          <w:color w:val="auto"/>
          <w:sz w:val="28"/>
          <w:szCs w:val="28"/>
        </w:rPr>
        <w:t>万元，2024年度决算</w:t>
      </w:r>
      <w:r>
        <w:rPr>
          <w:rFonts w:hint="eastAsia" w:ascii="仿宋_GB2312" w:eastAsia="仿宋_GB2312"/>
          <w:color w:val="auto"/>
          <w:sz w:val="28"/>
          <w:szCs w:val="28"/>
          <w:lang w:val="en-US" w:eastAsia="zh-CN"/>
        </w:rPr>
        <w:t>2291.64</w:t>
      </w:r>
      <w:r>
        <w:rPr>
          <w:rFonts w:hint="eastAsia" w:ascii="仿宋_GB2312" w:eastAsia="仿宋_GB2312"/>
          <w:color w:val="auto"/>
          <w:sz w:val="28"/>
          <w:szCs w:val="28"/>
        </w:rPr>
        <w:t>万元，完成年初预算的</w:t>
      </w:r>
      <w:r>
        <w:rPr>
          <w:rFonts w:hint="eastAsia" w:ascii="仿宋_GB2312" w:eastAsia="仿宋_GB2312"/>
          <w:color w:val="auto"/>
          <w:sz w:val="28"/>
          <w:szCs w:val="28"/>
          <w:lang w:val="en-US" w:eastAsia="zh-CN"/>
        </w:rPr>
        <w:t>102.48</w:t>
      </w:r>
      <w:r>
        <w:rPr>
          <w:rFonts w:hint="eastAsia" w:ascii="仿宋_GB2312" w:eastAsia="仿宋_GB2312"/>
          <w:color w:val="auto"/>
          <w:sz w:val="28"/>
          <w:szCs w:val="28"/>
        </w:rPr>
        <w:t>%，主要原因：根据大兴区人力资源和社会保障局文件精神，调整行政事业单位养老保险基数。</w:t>
      </w:r>
    </w:p>
    <w:p>
      <w:pPr>
        <w:numPr>
          <w:ilvl w:val="0"/>
          <w:numId w:val="0"/>
        </w:num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2.“社会保障和就业支出”2024年度年初预算</w:t>
      </w:r>
      <w:r>
        <w:rPr>
          <w:rFonts w:hint="eastAsia" w:ascii="仿宋_GB2312" w:eastAsia="仿宋_GB2312"/>
          <w:color w:val="auto"/>
          <w:sz w:val="28"/>
          <w:szCs w:val="28"/>
          <w:lang w:val="en-US" w:eastAsia="zh-CN"/>
        </w:rPr>
        <w:t>165.64</w:t>
      </w:r>
      <w:r>
        <w:rPr>
          <w:rFonts w:hint="eastAsia" w:ascii="仿宋_GB2312" w:eastAsia="仿宋_GB2312"/>
          <w:color w:val="auto"/>
          <w:sz w:val="28"/>
          <w:szCs w:val="28"/>
        </w:rPr>
        <w:t>万元，2024年度决算178.0</w:t>
      </w:r>
      <w:r>
        <w:rPr>
          <w:rFonts w:hint="eastAsia" w:ascii="仿宋_GB2312" w:eastAsia="仿宋_GB2312"/>
          <w:color w:val="auto"/>
          <w:sz w:val="28"/>
          <w:szCs w:val="28"/>
          <w:lang w:val="en-US" w:eastAsia="zh-CN"/>
        </w:rPr>
        <w:t>8</w:t>
      </w:r>
      <w:r>
        <w:rPr>
          <w:rFonts w:hint="eastAsia" w:ascii="仿宋_GB2312" w:eastAsia="仿宋_GB2312"/>
          <w:color w:val="auto"/>
          <w:sz w:val="28"/>
          <w:szCs w:val="28"/>
        </w:rPr>
        <w:t>万元，完成年初预算的</w:t>
      </w:r>
      <w:r>
        <w:rPr>
          <w:rFonts w:hint="eastAsia" w:ascii="仿宋_GB2312" w:eastAsia="仿宋_GB2312"/>
          <w:color w:val="auto"/>
          <w:sz w:val="28"/>
          <w:szCs w:val="28"/>
          <w:lang w:val="en-US" w:eastAsia="zh-CN"/>
        </w:rPr>
        <w:t>107.51</w:t>
      </w: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“行政事业单位养老支出”2024年度年初预算</w:t>
      </w:r>
      <w:r>
        <w:rPr>
          <w:rFonts w:hint="eastAsia" w:ascii="仿宋_GB2312" w:eastAsia="仿宋_GB2312"/>
          <w:color w:val="auto"/>
          <w:sz w:val="28"/>
          <w:szCs w:val="28"/>
          <w:lang w:val="en-US" w:eastAsia="zh-CN"/>
        </w:rPr>
        <w:t>165.64</w:t>
      </w:r>
      <w:r>
        <w:rPr>
          <w:rFonts w:hint="eastAsia" w:ascii="仿宋_GB2312" w:eastAsia="仿宋_GB2312"/>
          <w:color w:val="auto"/>
          <w:sz w:val="28"/>
          <w:szCs w:val="28"/>
        </w:rPr>
        <w:t>万元，2024年度决算178.0</w:t>
      </w:r>
      <w:r>
        <w:rPr>
          <w:rFonts w:hint="eastAsia" w:ascii="仿宋_GB2312" w:eastAsia="仿宋_GB2312"/>
          <w:color w:val="auto"/>
          <w:sz w:val="28"/>
          <w:szCs w:val="28"/>
          <w:lang w:val="en-US" w:eastAsia="zh-CN"/>
        </w:rPr>
        <w:t>8</w:t>
      </w:r>
      <w:r>
        <w:rPr>
          <w:rFonts w:hint="eastAsia" w:ascii="仿宋_GB2312" w:eastAsia="仿宋_GB2312"/>
          <w:color w:val="auto"/>
          <w:sz w:val="28"/>
          <w:szCs w:val="28"/>
        </w:rPr>
        <w:t>万元，完成年初预算的</w:t>
      </w:r>
      <w:r>
        <w:rPr>
          <w:rFonts w:hint="eastAsia" w:ascii="仿宋_GB2312" w:eastAsia="仿宋_GB2312"/>
          <w:color w:val="auto"/>
          <w:sz w:val="28"/>
          <w:szCs w:val="28"/>
          <w:lang w:val="en-US" w:eastAsia="zh-CN"/>
        </w:rPr>
        <w:t>107.51</w:t>
      </w:r>
      <w:r>
        <w:rPr>
          <w:rFonts w:hint="eastAsia" w:ascii="仿宋_GB2312" w:eastAsia="仿宋_GB2312"/>
          <w:color w:val="auto"/>
          <w:sz w:val="28"/>
          <w:szCs w:val="28"/>
        </w:rPr>
        <w:t>%</w:t>
      </w:r>
      <w:r>
        <w:rPr>
          <w:rFonts w:hint="eastAsia" w:ascii="仿宋_GB2312" w:eastAsia="仿宋_GB2312"/>
          <w:color w:val="auto"/>
          <w:sz w:val="28"/>
          <w:szCs w:val="28"/>
          <w:lang w:eastAsia="zh-CN"/>
        </w:rPr>
        <w:t>，</w:t>
      </w:r>
      <w:r>
        <w:rPr>
          <w:rFonts w:hint="eastAsia" w:ascii="仿宋_GB2312" w:eastAsia="仿宋_GB2312"/>
          <w:color w:val="auto"/>
          <w:sz w:val="28"/>
          <w:szCs w:val="28"/>
        </w:rPr>
        <w:t>主要原因：根据大兴区人力资源和社会保障局文件精神，调整行政事业单位养老保险基数。</w:t>
      </w:r>
    </w:p>
    <w:p>
      <w:pPr>
        <w:spacing w:line="580" w:lineRule="exact"/>
        <w:ind w:firstLine="560" w:firstLineChars="200"/>
        <w:rPr>
          <w:rFonts w:hint="eastAsia" w:ascii="仿宋_GB2312" w:eastAsia="仿宋_GB2312"/>
          <w:color w:val="auto"/>
          <w:sz w:val="28"/>
          <w:szCs w:val="28"/>
        </w:rPr>
      </w:pPr>
    </w:p>
    <w:p>
      <w:pPr>
        <w:numPr>
          <w:ilvl w:val="0"/>
          <w:numId w:val="0"/>
        </w:numPr>
        <w:spacing w:line="580" w:lineRule="exact"/>
        <w:rPr>
          <w:rFonts w:hint="eastAsia" w:ascii="仿宋_GB2312" w:eastAsia="仿宋_GB2312"/>
          <w:color w:val="auto"/>
          <w:sz w:val="28"/>
          <w:szCs w:val="28"/>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rPr>
        <w:t>3.“卫生健康支出”2024年度年初预算</w:t>
      </w:r>
      <w:r>
        <w:rPr>
          <w:rFonts w:hint="eastAsia" w:ascii="仿宋_GB2312" w:eastAsia="仿宋_GB2312"/>
          <w:color w:val="auto"/>
          <w:sz w:val="28"/>
          <w:szCs w:val="28"/>
          <w:lang w:val="en-US" w:eastAsia="zh-CN"/>
        </w:rPr>
        <w:t>126.88</w:t>
      </w:r>
      <w:r>
        <w:rPr>
          <w:rFonts w:hint="eastAsia" w:ascii="仿宋_GB2312" w:eastAsia="仿宋_GB2312"/>
          <w:color w:val="auto"/>
          <w:sz w:val="28"/>
          <w:szCs w:val="28"/>
        </w:rPr>
        <w:t>万元，2024年度决算130.85万元，完成年初预算的</w:t>
      </w:r>
      <w:r>
        <w:rPr>
          <w:rFonts w:hint="eastAsia" w:ascii="仿宋_GB2312" w:eastAsia="仿宋_GB2312"/>
          <w:color w:val="auto"/>
          <w:sz w:val="28"/>
          <w:szCs w:val="28"/>
          <w:lang w:val="en-US" w:eastAsia="zh-CN"/>
        </w:rPr>
        <w:t>103.13</w:t>
      </w: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color w:val="auto"/>
          <w:sz w:val="28"/>
          <w:szCs w:val="28"/>
        </w:rPr>
        <w:t>“行政事业单位医疗”2024年度年初预算</w:t>
      </w:r>
      <w:r>
        <w:rPr>
          <w:rFonts w:hint="eastAsia" w:ascii="仿宋_GB2312" w:eastAsia="仿宋_GB2312"/>
          <w:color w:val="auto"/>
          <w:sz w:val="28"/>
          <w:szCs w:val="28"/>
          <w:lang w:val="en-US" w:eastAsia="zh-CN"/>
        </w:rPr>
        <w:t>126.88</w:t>
      </w:r>
      <w:r>
        <w:rPr>
          <w:rFonts w:hint="eastAsia" w:ascii="仿宋_GB2312" w:eastAsia="仿宋_GB2312"/>
          <w:color w:val="auto"/>
          <w:sz w:val="28"/>
          <w:szCs w:val="28"/>
        </w:rPr>
        <w:t>万元，2024年度决算130.85万元，完成年初预算的</w:t>
      </w:r>
      <w:r>
        <w:rPr>
          <w:rFonts w:hint="eastAsia" w:ascii="仿宋_GB2312" w:eastAsia="仿宋_GB2312"/>
          <w:color w:val="auto"/>
          <w:sz w:val="28"/>
          <w:szCs w:val="28"/>
          <w:lang w:val="en-US" w:eastAsia="zh-CN"/>
        </w:rPr>
        <w:t>103.13</w:t>
      </w:r>
      <w:r>
        <w:rPr>
          <w:rFonts w:hint="eastAsia" w:ascii="仿宋_GB2312" w:eastAsia="仿宋_GB2312"/>
          <w:color w:val="auto"/>
          <w:sz w:val="28"/>
          <w:szCs w:val="28"/>
        </w:rPr>
        <w:t>%，主要原因：根据大兴区人力资源和社会保障局文件精神，调整行政事业单位医疗</w:t>
      </w:r>
      <w:r>
        <w:rPr>
          <w:rFonts w:hint="eastAsia" w:ascii="仿宋_GB2312" w:eastAsia="仿宋_GB2312"/>
          <w:color w:val="auto"/>
          <w:sz w:val="28"/>
          <w:szCs w:val="28"/>
          <w:lang w:val="en-US" w:eastAsia="zh-CN"/>
        </w:rPr>
        <w:t>保险</w:t>
      </w:r>
      <w:r>
        <w:rPr>
          <w:rFonts w:hint="eastAsia" w:ascii="仿宋_GB2312" w:eastAsia="仿宋_GB2312"/>
          <w:color w:val="auto"/>
          <w:sz w:val="28"/>
          <w:szCs w:val="28"/>
        </w:rPr>
        <w:t>基数。</w:t>
      </w:r>
    </w:p>
    <w:p>
      <w:pPr>
        <w:spacing w:line="580" w:lineRule="exact"/>
        <w:ind w:firstLine="560" w:firstLineChars="200"/>
        <w:rPr>
          <w:rFonts w:hint="eastAsia" w:ascii="仿宋_GB2312" w:eastAsia="仿宋_GB2312"/>
          <w:color w:val="FF0000"/>
          <w:sz w:val="28"/>
          <w:szCs w:val="28"/>
        </w:rPr>
      </w:pPr>
    </w:p>
    <w:p>
      <w:pPr>
        <w:spacing w:line="580" w:lineRule="exact"/>
        <w:ind w:firstLine="560" w:firstLineChars="200"/>
        <w:rPr>
          <w:rFonts w:hint="eastAsia" w:ascii="仿宋_GB2312" w:eastAsia="仿宋_GB2312"/>
          <w:color w:val="0000FF"/>
          <w:sz w:val="28"/>
          <w:szCs w:val="28"/>
        </w:rPr>
      </w:pPr>
      <w:r>
        <w:rPr>
          <w:rFonts w:hint="eastAsia" w:ascii="仿宋_GB2312" w:eastAsia="仿宋_GB2312"/>
          <w:color w:val="0000FF"/>
          <w:sz w:val="28"/>
          <w:szCs w:val="28"/>
        </w:rPr>
        <w:t xml:space="preserve"> </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lang w:val="en-US" w:eastAsia="zh-CN"/>
        </w:rPr>
        <w:t>4</w:t>
      </w:r>
      <w:r>
        <w:rPr>
          <w:rFonts w:hint="eastAsia" w:ascii="仿宋_GB2312" w:eastAsia="仿宋_GB2312"/>
          <w:color w:val="auto"/>
          <w:sz w:val="28"/>
          <w:szCs w:val="28"/>
        </w:rPr>
        <w:t>.“住房保障支出”2024年度年初预算0万元，2024年度决算</w:t>
      </w:r>
      <w:r>
        <w:rPr>
          <w:rFonts w:hint="eastAsia" w:ascii="仿宋_GB2312" w:eastAsia="仿宋_GB2312"/>
          <w:color w:val="auto"/>
          <w:sz w:val="28"/>
          <w:szCs w:val="28"/>
          <w:lang w:val="en-US" w:eastAsia="zh-CN"/>
        </w:rPr>
        <w:t>129.64</w:t>
      </w:r>
      <w:r>
        <w:rPr>
          <w:rFonts w:hint="eastAsia" w:ascii="仿宋_GB2312" w:eastAsia="仿宋_GB2312"/>
          <w:color w:val="auto"/>
          <w:sz w:val="28"/>
          <w:szCs w:val="28"/>
        </w:rPr>
        <w:t>万元，其中：</w:t>
      </w:r>
    </w:p>
    <w:p>
      <w:pPr>
        <w:spacing w:line="580" w:lineRule="exact"/>
        <w:ind w:firstLine="560" w:firstLineChars="200"/>
        <w:rPr>
          <w:rFonts w:hint="default" w:ascii="仿宋_GB2312" w:eastAsia="仿宋_GB2312"/>
          <w:color w:val="0000FF"/>
          <w:sz w:val="28"/>
          <w:szCs w:val="28"/>
          <w:lang w:val="en-US" w:eastAsia="zh-CN"/>
        </w:rPr>
      </w:pPr>
      <w:r>
        <w:rPr>
          <w:rFonts w:hint="eastAsia" w:ascii="仿宋_GB2312" w:eastAsia="仿宋_GB2312"/>
          <w:color w:val="auto"/>
          <w:sz w:val="28"/>
          <w:szCs w:val="28"/>
        </w:rPr>
        <w:t xml:space="preserve">“住房改革支出”2024年度年初预算0万元，2024年度决算129.64万元，主要原因：本年度补发第三批住房补贴。 </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 本单位2024年度无政府性基金预算财政拨款安排的支出。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817" w:firstLineChars="292"/>
        <w:rPr>
          <w:rFonts w:ascii="仿宋_GB2312" w:eastAsia="仿宋_GB2312"/>
          <w:sz w:val="28"/>
          <w:szCs w:val="28"/>
        </w:rPr>
      </w:pPr>
      <w:r>
        <w:rPr>
          <w:rFonts w:hint="eastAsia" w:ascii="仿宋_GB2312" w:eastAsia="仿宋_GB2312"/>
          <w:sz w:val="28"/>
          <w:szCs w:val="28"/>
        </w:rPr>
        <w:t>本单位2024年度无国有资本经营预算财政拨款安排的支出</w:t>
      </w:r>
      <w:r>
        <w:rPr>
          <w:rFonts w:hint="eastAsia" w:ascii="仿宋_GB2312" w:eastAsia="仿宋_GB2312"/>
          <w:sz w:val="28"/>
          <w:szCs w:val="28"/>
          <w:lang w:eastAsia="zh-CN"/>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1802.67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cs="宋体"/>
          <w:b/>
          <w:bCs/>
          <w:spacing w:val="40"/>
          <w:kern w:val="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1.8</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3.32</w:t>
      </w:r>
      <w:r>
        <w:rPr>
          <w:rFonts w:hint="eastAsia" w:ascii="仿宋_GB2312" w:eastAsia="仿宋_GB2312"/>
          <w:sz w:val="28"/>
          <w:szCs w:val="28"/>
        </w:rPr>
        <w:t>万元减少</w:t>
      </w:r>
      <w:r>
        <w:rPr>
          <w:rFonts w:hint="eastAsia" w:ascii="仿宋_GB2312" w:eastAsia="仿宋_GB2312"/>
          <w:sz w:val="28"/>
          <w:szCs w:val="28"/>
          <w:lang w:val="en-US" w:eastAsia="zh-CN"/>
        </w:rPr>
        <w:t>1.52</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0.62万</w:t>
      </w:r>
      <w:r>
        <w:rPr>
          <w:rFonts w:hint="eastAsia" w:ascii="仿宋_GB2312" w:eastAsia="仿宋_GB2312"/>
          <w:sz w:val="28"/>
          <w:szCs w:val="28"/>
        </w:rPr>
        <w:t>元减少</w:t>
      </w:r>
      <w:r>
        <w:rPr>
          <w:rFonts w:hint="eastAsia" w:ascii="仿宋_GB2312" w:eastAsia="仿宋_GB2312"/>
          <w:sz w:val="28"/>
          <w:szCs w:val="28"/>
          <w:lang w:val="en-US" w:eastAsia="zh-CN"/>
        </w:rPr>
        <w:t>0.62</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3.公务用车购置及运行维护费。2024年度决算数</w:t>
      </w:r>
      <w:r>
        <w:rPr>
          <w:rFonts w:hint="eastAsia" w:ascii="仿宋_GB2312" w:eastAsia="仿宋_GB2312"/>
          <w:sz w:val="28"/>
          <w:szCs w:val="28"/>
          <w:lang w:val="en-US" w:eastAsia="zh-CN"/>
        </w:rPr>
        <w:t>1.8</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2.7</w:t>
      </w:r>
      <w:r>
        <w:rPr>
          <w:rFonts w:hint="eastAsia" w:ascii="仿宋_GB2312" w:eastAsia="仿宋_GB2312"/>
          <w:sz w:val="28"/>
          <w:szCs w:val="28"/>
        </w:rPr>
        <w:t>万元减少</w:t>
      </w:r>
      <w:r>
        <w:rPr>
          <w:rFonts w:hint="eastAsia" w:ascii="仿宋_GB2312" w:eastAsia="仿宋_GB2312"/>
          <w:sz w:val="28"/>
          <w:szCs w:val="28"/>
          <w:lang w:val="en-US" w:eastAsia="zh-CN"/>
        </w:rPr>
        <w:t>0.9</w:t>
      </w:r>
      <w:r>
        <w:rPr>
          <w:rFonts w:hint="eastAsia" w:ascii="仿宋_GB2312" w:eastAsia="仿宋_GB2312"/>
          <w:sz w:val="28"/>
          <w:szCs w:val="28"/>
        </w:rPr>
        <w:t>万元。其中，公务用车购置费2024年度决算数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2024年度年初预算数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持平</w:t>
      </w:r>
      <w:r>
        <w:rPr>
          <w:rFonts w:hint="eastAsia" w:ascii="仿宋_GB2312" w:eastAsia="仿宋_GB2312"/>
          <w:sz w:val="28"/>
          <w:szCs w:val="28"/>
        </w:rPr>
        <w:t>。主要原因：</w:t>
      </w:r>
      <w:r>
        <w:rPr>
          <w:rFonts w:hint="eastAsia" w:ascii="仿宋_GB2312" w:eastAsia="仿宋_GB2312"/>
          <w:sz w:val="28"/>
          <w:szCs w:val="28"/>
          <w:lang w:val="en-US" w:eastAsia="zh-CN"/>
        </w:rPr>
        <w:t>我单位无公务用车购置支出</w:t>
      </w:r>
      <w:r>
        <w:rPr>
          <w:rFonts w:hint="eastAsia" w:ascii="仿宋_GB2312" w:eastAsia="仿宋_GB2312"/>
          <w:sz w:val="28"/>
          <w:szCs w:val="28"/>
        </w:rPr>
        <w:t>。公务用车运行维护费2024年度决算数</w:t>
      </w:r>
      <w:r>
        <w:rPr>
          <w:rFonts w:hint="eastAsia" w:ascii="仿宋_GB2312" w:eastAsia="仿宋_GB2312"/>
          <w:sz w:val="28"/>
          <w:szCs w:val="28"/>
          <w:lang w:val="en-US" w:eastAsia="zh-CN"/>
        </w:rPr>
        <w:t>1.8</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2.7</w:t>
      </w:r>
      <w:r>
        <w:rPr>
          <w:rFonts w:hint="eastAsia" w:ascii="仿宋_GB2312" w:eastAsia="仿宋_GB2312"/>
          <w:sz w:val="28"/>
          <w:szCs w:val="28"/>
        </w:rPr>
        <w:t>万元减少</w:t>
      </w:r>
      <w:r>
        <w:rPr>
          <w:rFonts w:hint="eastAsia" w:ascii="仿宋_GB2312" w:eastAsia="仿宋_GB2312"/>
          <w:sz w:val="28"/>
          <w:szCs w:val="28"/>
          <w:lang w:val="en-US" w:eastAsia="zh-CN"/>
        </w:rPr>
        <w:t>0.9</w:t>
      </w:r>
      <w:r>
        <w:rPr>
          <w:rFonts w:hint="eastAsia" w:ascii="仿宋_GB2312" w:eastAsia="仿宋_GB2312"/>
          <w:sz w:val="28"/>
          <w:szCs w:val="28"/>
        </w:rPr>
        <w:t>万元，主要原因：因部门联动，绿色办公，公车出车次数减少。2024年度公务用车保有量</w:t>
      </w:r>
      <w:r>
        <w:rPr>
          <w:rFonts w:hint="eastAsia" w:ascii="仿宋_GB2312" w:eastAsia="仿宋_GB2312"/>
          <w:sz w:val="28"/>
          <w:szCs w:val="28"/>
          <w:lang w:val="en-US" w:eastAsia="zh-CN"/>
        </w:rPr>
        <w:t>1</w:t>
      </w:r>
      <w:r>
        <w:rPr>
          <w:rFonts w:hint="eastAsia" w:ascii="仿宋_GB2312" w:eastAsia="仿宋_GB2312"/>
          <w:sz w:val="28"/>
          <w:szCs w:val="28"/>
        </w:rPr>
        <w:t>辆</w:t>
      </w:r>
      <w:r>
        <w:rPr>
          <w:rFonts w:hint="eastAsia" w:ascii="仿宋_GB2312" w:eastAsia="仿宋_GB2312"/>
          <w:sz w:val="28"/>
          <w:szCs w:val="28"/>
          <w:lang w:eastAsia="zh-CN"/>
        </w:rPr>
        <w:t>。</w:t>
      </w:r>
      <w:bookmarkStart w:id="0" w:name="_GoBack"/>
      <w:bookmarkEnd w:id="0"/>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94.47</w:t>
      </w:r>
      <w:r>
        <w:rPr>
          <w:rFonts w:hint="eastAsia" w:ascii="仿宋_GB2312" w:eastAsia="仿宋_GB2312"/>
          <w:sz w:val="28"/>
          <w:szCs w:val="28"/>
        </w:rPr>
        <w:t>万元，其中：政府采购货物支出1.3</w:t>
      </w:r>
      <w:r>
        <w:rPr>
          <w:rFonts w:hint="eastAsia" w:ascii="仿宋_GB2312" w:eastAsia="仿宋_GB2312"/>
          <w:sz w:val="28"/>
          <w:szCs w:val="28"/>
          <w:lang w:val="en-US" w:eastAsia="zh-CN"/>
        </w:rPr>
        <w:t>2</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万元，政府采购服务支出93.15万元。授予中小企业合同金额</w:t>
      </w:r>
      <w:r>
        <w:rPr>
          <w:rFonts w:ascii="仿宋_GB2312" w:eastAsia="仿宋_GB2312"/>
          <w:sz w:val="28"/>
          <w:szCs w:val="28"/>
        </w:rPr>
        <w:t>93.36</w:t>
      </w:r>
      <w:r>
        <w:rPr>
          <w:rFonts w:hint="eastAsia" w:ascii="仿宋_GB2312" w:eastAsia="仿宋_GB2312"/>
          <w:sz w:val="28"/>
          <w:szCs w:val="28"/>
        </w:rPr>
        <w:t>万元，占政府采购支出总额的</w:t>
      </w:r>
      <w:r>
        <w:rPr>
          <w:rFonts w:hint="eastAsia" w:ascii="仿宋_GB2312" w:eastAsia="仿宋_GB2312"/>
          <w:sz w:val="28"/>
          <w:szCs w:val="28"/>
          <w:lang w:eastAsia="zh-CN"/>
        </w:rPr>
        <w:t>98.82</w:t>
      </w:r>
      <w:r>
        <w:rPr>
          <w:rFonts w:hint="eastAsia" w:ascii="仿宋_GB2312" w:eastAsia="仿宋_GB2312"/>
          <w:sz w:val="28"/>
          <w:szCs w:val="28"/>
        </w:rPr>
        <w:t>%，其中：授予小微企业合同金额</w:t>
      </w:r>
      <w:r>
        <w:rPr>
          <w:rFonts w:ascii="仿宋_GB2312" w:eastAsia="仿宋_GB2312"/>
          <w:sz w:val="28"/>
          <w:szCs w:val="28"/>
        </w:rPr>
        <w:t>93.36</w:t>
      </w:r>
      <w:r>
        <w:rPr>
          <w:rFonts w:hint="eastAsia" w:ascii="仿宋_GB2312" w:eastAsia="仿宋_GB2312"/>
          <w:sz w:val="28"/>
          <w:szCs w:val="28"/>
        </w:rPr>
        <w:t>万元，占政府采购支出总额的</w:t>
      </w:r>
      <w:r>
        <w:rPr>
          <w:rFonts w:ascii="仿宋_GB2312" w:eastAsia="仿宋_GB2312"/>
          <w:sz w:val="28"/>
          <w:szCs w:val="28"/>
        </w:rPr>
        <w:t>98.82</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12月31日，北京市大兴区榆垡镇第一中心幼儿园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eastAsia="仿宋_GB2312"/>
          <w:sz w:val="28"/>
          <w:szCs w:val="28"/>
        </w:rPr>
      </w:pPr>
      <w:r>
        <w:rPr>
          <w:rFonts w:hint="eastAsia" w:ascii="仿宋_GB2312" w:eastAsia="仿宋_GB2312"/>
          <w:sz w:val="28"/>
          <w:szCs w:val="28"/>
        </w:rPr>
        <w:t xml:space="preserve"> 4.政府采购：指各级国家机关、事业单位和团体组织，使用财政性资金采购依法制定的集中目录以内的或者采购限额标准以上的货物、工程和服务的行为，是规范财政支出管理和强化预算约束的有效措施。</w:t>
      </w:r>
    </w:p>
    <w:p>
      <w:pPr>
        <w:ind w:firstLine="700" w:firstLineChars="250"/>
        <w:rPr>
          <w:rFonts w:ascii="仿宋_GB2312" w:eastAsia="仿宋_GB2312"/>
          <w:sz w:val="28"/>
          <w:szCs w:val="28"/>
        </w:rPr>
      </w:pPr>
      <w:r>
        <w:rPr>
          <w:rFonts w:hint="eastAsia" w:ascii="仿宋_GB2312" w:eastAsia="仿宋_GB2312"/>
          <w:sz w:val="28"/>
          <w:szCs w:val="28"/>
        </w:rPr>
        <w:t>5.政府购买服务：是指各级国家机关将属于自身职责范围且适合通过市场化方式提供的服务事项，按照政府采购方式和程序，交由符合条件的服务供应商承担，并根据服务数量和质量等因素向其支付费用的行为。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ascii="仿宋_GB2312" w:eastAsia="仿宋_GB2312"/>
          <w:color w:val="000000"/>
          <w:sz w:val="28"/>
          <w:szCs w:val="28"/>
        </w:rPr>
      </w:pPr>
      <w:r>
        <w:rPr>
          <w:rFonts w:hint="eastAsia" w:ascii="仿宋_GB2312" w:eastAsia="仿宋_GB2312"/>
          <w:color w:val="000000"/>
          <w:sz w:val="28"/>
          <w:szCs w:val="28"/>
        </w:rPr>
        <w:t>6.教育支出（类）普通教育（款）学前教育（项）：反映各部门举办的学前教育支出。政府各部门对社会组织等举办的幼儿园的资助，如捐赠、补贴等，也在本科目中反映。</w:t>
      </w:r>
    </w:p>
    <w:p>
      <w:pPr>
        <w:ind w:firstLine="560" w:firstLineChars="200"/>
        <w:rPr>
          <w:rFonts w:ascii="仿宋_GB2312" w:eastAsia="仿宋_GB2312"/>
          <w:color w:val="000000"/>
          <w:sz w:val="28"/>
          <w:szCs w:val="28"/>
        </w:rPr>
      </w:pPr>
      <w:r>
        <w:rPr>
          <w:rFonts w:hint="eastAsia" w:ascii="仿宋_GB2312" w:eastAsia="仿宋_GB2312"/>
          <w:color w:val="000000"/>
          <w:sz w:val="28"/>
          <w:szCs w:val="28"/>
        </w:rPr>
        <w:t>7.社会保障和就业支出（类）行政事业单位养老支出（款）事业单位离退休（项）：反映事业单位开支的离退休经费</w:t>
      </w:r>
    </w:p>
    <w:p>
      <w:pPr>
        <w:ind w:firstLine="560" w:firstLineChars="200"/>
        <w:rPr>
          <w:rFonts w:ascii="仿宋_GB2312" w:eastAsia="仿宋_GB2312"/>
          <w:color w:val="000000"/>
          <w:sz w:val="28"/>
          <w:szCs w:val="28"/>
        </w:rPr>
      </w:pPr>
      <w:r>
        <w:rPr>
          <w:rFonts w:hint="eastAsia" w:ascii="仿宋_GB2312" w:eastAsia="仿宋_GB2312"/>
          <w:color w:val="000000"/>
          <w:sz w:val="28"/>
          <w:szCs w:val="28"/>
        </w:rPr>
        <w:t>8.社会保障和就业支出（类）行政事业单位养老支出（款）机关事业单位基本养老保险缴费支出（项）：反映机关事业单位实施养老保险制度由单位缴纳的基本养老保险支出。</w:t>
      </w:r>
    </w:p>
    <w:p>
      <w:pPr>
        <w:ind w:firstLine="560" w:firstLineChars="200"/>
        <w:rPr>
          <w:rFonts w:ascii="仿宋_GB2312" w:eastAsia="仿宋_GB2312"/>
          <w:color w:val="000000"/>
          <w:sz w:val="28"/>
          <w:szCs w:val="28"/>
        </w:rPr>
      </w:pPr>
      <w:r>
        <w:rPr>
          <w:rFonts w:hint="eastAsia" w:ascii="仿宋_GB2312" w:eastAsia="仿宋_GB2312"/>
          <w:color w:val="000000"/>
          <w:sz w:val="28"/>
          <w:szCs w:val="28"/>
        </w:rPr>
        <w:t>9.社会保障和就业支出（类）行政事业单位养老支出（款）机关事业单位职业年金缴费支出（项）：反映机关事业单位实施养老保险制度由单位实际缴纳的职业年金支出。</w:t>
      </w:r>
    </w:p>
    <w:p>
      <w:pPr>
        <w:ind w:firstLine="560" w:firstLineChars="200"/>
        <w:rPr>
          <w:rFonts w:ascii="仿宋_GB2312" w:eastAsia="仿宋_GB2312"/>
          <w:color w:val="000000"/>
          <w:sz w:val="28"/>
          <w:szCs w:val="28"/>
        </w:rPr>
      </w:pPr>
      <w:r>
        <w:rPr>
          <w:rFonts w:hint="eastAsia" w:ascii="仿宋_GB2312" w:eastAsia="仿宋_GB2312"/>
          <w:color w:val="000000"/>
          <w:sz w:val="28"/>
          <w:szCs w:val="28"/>
        </w:rPr>
        <w:t>10.卫生健康支出（类）公共卫生（款）突发公共卫生事件应急处理（项）：反映用于突发公共卫生事件应急处理的支出。</w:t>
      </w:r>
    </w:p>
    <w:p>
      <w:pPr>
        <w:ind w:firstLine="560" w:firstLineChars="200"/>
        <w:rPr>
          <w:rFonts w:ascii="仿宋_GB2312" w:eastAsia="仿宋_GB2312"/>
          <w:color w:val="000000"/>
          <w:sz w:val="28"/>
          <w:szCs w:val="28"/>
        </w:rPr>
      </w:pPr>
      <w:r>
        <w:rPr>
          <w:rFonts w:hint="eastAsia" w:ascii="仿宋_GB2312" w:eastAsia="仿宋_GB2312"/>
          <w:color w:val="000000"/>
          <w:sz w:val="28"/>
          <w:szCs w:val="28"/>
        </w:rPr>
        <w:t>11.卫生健康支出（类）行政事业单位医疗（款）事业单位医疗（项）：反映财政部门安排的事业单位基本医疗保险缴费经费，未参加医疗保险的事业单位的公费医疗经费，按国家规定享受离休人员待遇的医疗经费。</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color w:val="000000"/>
          <w:sz w:val="28"/>
          <w:szCs w:val="28"/>
        </w:rPr>
        <w:t>12.卫生健康支出（类）行政事业单位医疗（款）公务员医疗补助（项）：反映财政部门安排的公务员医疗补助经费。</w:t>
      </w: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pStyle w:val="2"/>
        <w:rPr>
          <w:rFonts w:hint="eastAsia" w:ascii="黑体" w:eastAsia="黑体"/>
          <w:sz w:val="32"/>
          <w:szCs w:val="32"/>
        </w:rPr>
      </w:pPr>
    </w:p>
    <w:p>
      <w:pPr>
        <w:rPr>
          <w:rFonts w:hint="eastAsia" w:ascii="黑体" w:eastAsia="黑体"/>
          <w:sz w:val="32"/>
          <w:szCs w:val="32"/>
        </w:rPr>
      </w:pPr>
    </w:p>
    <w:p>
      <w:pPr>
        <w:pStyle w:val="2"/>
        <w:rPr>
          <w:rFonts w:hint="eastAsia"/>
        </w:rPr>
      </w:pPr>
    </w:p>
    <w:p>
      <w:pPr>
        <w:pStyle w:val="2"/>
        <w:jc w:val="center"/>
        <w:rPr>
          <w:rFonts w:hint="eastAsia" w:ascii="宋体" w:hAnsi="宋体" w:eastAsia="宋体" w:cs="宋体"/>
          <w:b/>
          <w:bCs/>
          <w:spacing w:val="40"/>
          <w:kern w:val="0"/>
          <w:sz w:val="32"/>
          <w:szCs w:val="32"/>
          <w:lang w:val="en-US" w:eastAsia="zh-CN" w:bidi="ar-SA"/>
        </w:rPr>
      </w:pPr>
      <w:r>
        <w:rPr>
          <w:rFonts w:hint="eastAsia" w:ascii="宋体" w:hAnsi="宋体" w:eastAsia="宋体" w:cs="宋体"/>
          <w:b/>
          <w:bCs/>
          <w:spacing w:val="40"/>
          <w:kern w:val="0"/>
          <w:sz w:val="32"/>
          <w:szCs w:val="32"/>
          <w:lang w:val="en-US" w:eastAsia="zh-CN" w:bidi="ar-SA"/>
        </w:rPr>
        <w:t>第四部分2024年度项目绩效评价情况</w:t>
      </w:r>
    </w:p>
    <w:p>
      <w:pPr>
        <w:numPr>
          <w:ilvl w:val="0"/>
          <w:numId w:val="0"/>
        </w:numPr>
        <w:jc w:val="center"/>
        <w:rPr>
          <w:rFonts w:hint="eastAsia" w:ascii="仿宋" w:hAnsi="仿宋" w:eastAsia="仿宋" w:cs="仿宋"/>
          <w:b/>
          <w:bCs/>
          <w:kern w:val="0"/>
          <w:sz w:val="30"/>
          <w:szCs w:val="30"/>
          <w:lang w:val="en-US" w:eastAsia="zh-CN" w:bidi="ar-SA"/>
        </w:rPr>
      </w:pPr>
      <w:r>
        <w:rPr>
          <w:rFonts w:hint="eastAsia" w:ascii="仿宋" w:hAnsi="仿宋" w:eastAsia="仿宋" w:cs="仿宋"/>
          <w:b/>
          <w:bCs/>
          <w:kern w:val="0"/>
          <w:sz w:val="30"/>
          <w:szCs w:val="30"/>
          <w:lang w:val="en-US" w:eastAsia="zh-CN" w:bidi="ar-SA"/>
        </w:rPr>
        <w:t>项目支出绩效自评表（详见附件）</w:t>
      </w:r>
    </w:p>
    <w:p>
      <w:pPr>
        <w:jc w:val="center"/>
        <w:rPr>
          <w:rFonts w:hint="default"/>
          <w:lang w:val="en-US" w:eastAsia="zh-CN"/>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4C1B"/>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5BE5B43"/>
    <w:rsid w:val="07320597"/>
    <w:rsid w:val="07716166"/>
    <w:rsid w:val="079004AC"/>
    <w:rsid w:val="07A70F85"/>
    <w:rsid w:val="0983157E"/>
    <w:rsid w:val="0A4841EA"/>
    <w:rsid w:val="0A602699"/>
    <w:rsid w:val="0A79472F"/>
    <w:rsid w:val="0AA479FE"/>
    <w:rsid w:val="0BA148CA"/>
    <w:rsid w:val="0BE67BA2"/>
    <w:rsid w:val="0BF978D5"/>
    <w:rsid w:val="0C1165C4"/>
    <w:rsid w:val="0D6D544B"/>
    <w:rsid w:val="0DD136FE"/>
    <w:rsid w:val="0EDB7766"/>
    <w:rsid w:val="0F542F2C"/>
    <w:rsid w:val="0F8E2C57"/>
    <w:rsid w:val="1059665E"/>
    <w:rsid w:val="10806817"/>
    <w:rsid w:val="10AC13BA"/>
    <w:rsid w:val="13DD188A"/>
    <w:rsid w:val="140531BE"/>
    <w:rsid w:val="145A6C1B"/>
    <w:rsid w:val="14B73493"/>
    <w:rsid w:val="151439D2"/>
    <w:rsid w:val="15445EE3"/>
    <w:rsid w:val="15B91E83"/>
    <w:rsid w:val="167A2FF9"/>
    <w:rsid w:val="169F72CB"/>
    <w:rsid w:val="17355947"/>
    <w:rsid w:val="174E3079"/>
    <w:rsid w:val="1764587C"/>
    <w:rsid w:val="17883BB5"/>
    <w:rsid w:val="18581C69"/>
    <w:rsid w:val="18607876"/>
    <w:rsid w:val="19467ED2"/>
    <w:rsid w:val="1AEC0734"/>
    <w:rsid w:val="1C0F0A4F"/>
    <w:rsid w:val="1D813BCE"/>
    <w:rsid w:val="1DEF20B0"/>
    <w:rsid w:val="1E984D2C"/>
    <w:rsid w:val="1F334A54"/>
    <w:rsid w:val="1FF7AB17"/>
    <w:rsid w:val="214243FA"/>
    <w:rsid w:val="21AD613C"/>
    <w:rsid w:val="22467189"/>
    <w:rsid w:val="23A91789"/>
    <w:rsid w:val="257A14F5"/>
    <w:rsid w:val="27196C26"/>
    <w:rsid w:val="29E928DF"/>
    <w:rsid w:val="29EF086F"/>
    <w:rsid w:val="2BC34C59"/>
    <w:rsid w:val="2CB35427"/>
    <w:rsid w:val="2D0363AE"/>
    <w:rsid w:val="2D7E77E3"/>
    <w:rsid w:val="2E267D5F"/>
    <w:rsid w:val="2EFFE297"/>
    <w:rsid w:val="2F210D6D"/>
    <w:rsid w:val="301437CA"/>
    <w:rsid w:val="34180991"/>
    <w:rsid w:val="349D1F0A"/>
    <w:rsid w:val="34DD0473"/>
    <w:rsid w:val="361909F0"/>
    <w:rsid w:val="37B3277F"/>
    <w:rsid w:val="38F82C11"/>
    <w:rsid w:val="3A8E35DC"/>
    <w:rsid w:val="3A971740"/>
    <w:rsid w:val="3C395948"/>
    <w:rsid w:val="3C684897"/>
    <w:rsid w:val="3DFB0CC3"/>
    <w:rsid w:val="3E8135D7"/>
    <w:rsid w:val="3F823162"/>
    <w:rsid w:val="40E90FBF"/>
    <w:rsid w:val="41D13F2D"/>
    <w:rsid w:val="433E495C"/>
    <w:rsid w:val="44646D29"/>
    <w:rsid w:val="44C24001"/>
    <w:rsid w:val="44D81B91"/>
    <w:rsid w:val="44EB79FC"/>
    <w:rsid w:val="463254DD"/>
    <w:rsid w:val="46D22C21"/>
    <w:rsid w:val="46FD7572"/>
    <w:rsid w:val="489F2FD7"/>
    <w:rsid w:val="49AB59AC"/>
    <w:rsid w:val="4A0C2478"/>
    <w:rsid w:val="4AC27CB3"/>
    <w:rsid w:val="4BF72BEF"/>
    <w:rsid w:val="4C673E0C"/>
    <w:rsid w:val="4E6323B1"/>
    <w:rsid w:val="4F9A44F8"/>
    <w:rsid w:val="4FA90297"/>
    <w:rsid w:val="4FC41A43"/>
    <w:rsid w:val="51DB3C59"/>
    <w:rsid w:val="528D5CD9"/>
    <w:rsid w:val="52DF5A73"/>
    <w:rsid w:val="53487DC7"/>
    <w:rsid w:val="550C0952"/>
    <w:rsid w:val="55762E42"/>
    <w:rsid w:val="56725887"/>
    <w:rsid w:val="56D976B4"/>
    <w:rsid w:val="57A7B272"/>
    <w:rsid w:val="58470068"/>
    <w:rsid w:val="58747CAC"/>
    <w:rsid w:val="59155D6B"/>
    <w:rsid w:val="59374B66"/>
    <w:rsid w:val="5991071A"/>
    <w:rsid w:val="59A541C5"/>
    <w:rsid w:val="5A1720F9"/>
    <w:rsid w:val="5B9C37C2"/>
    <w:rsid w:val="5BA7C654"/>
    <w:rsid w:val="5C0F5926"/>
    <w:rsid w:val="5C8A31FF"/>
    <w:rsid w:val="5DF716AE"/>
    <w:rsid w:val="5E473A9D"/>
    <w:rsid w:val="5F9F507E"/>
    <w:rsid w:val="60A54109"/>
    <w:rsid w:val="613A51F3"/>
    <w:rsid w:val="61D01CDF"/>
    <w:rsid w:val="623460E6"/>
    <w:rsid w:val="6247406C"/>
    <w:rsid w:val="64216B3E"/>
    <w:rsid w:val="64C0607C"/>
    <w:rsid w:val="65756C86"/>
    <w:rsid w:val="674D385B"/>
    <w:rsid w:val="676F09E1"/>
    <w:rsid w:val="679715F1"/>
    <w:rsid w:val="682269E1"/>
    <w:rsid w:val="69FC1BE0"/>
    <w:rsid w:val="6AD20B92"/>
    <w:rsid w:val="6EDC1FE0"/>
    <w:rsid w:val="710B6BAC"/>
    <w:rsid w:val="71691990"/>
    <w:rsid w:val="71793A80"/>
    <w:rsid w:val="7357290B"/>
    <w:rsid w:val="741C4C2C"/>
    <w:rsid w:val="756E3DEA"/>
    <w:rsid w:val="761358F2"/>
    <w:rsid w:val="76FB1693"/>
    <w:rsid w:val="78496EBC"/>
    <w:rsid w:val="786D5A56"/>
    <w:rsid w:val="79772D39"/>
    <w:rsid w:val="798524E4"/>
    <w:rsid w:val="7A7F1C49"/>
    <w:rsid w:val="7B5B7AE6"/>
    <w:rsid w:val="7B7B6628"/>
    <w:rsid w:val="7B7D4202"/>
    <w:rsid w:val="7BA7071E"/>
    <w:rsid w:val="7BDF6DA8"/>
    <w:rsid w:val="7C7EDC1A"/>
    <w:rsid w:val="7CB023B6"/>
    <w:rsid w:val="7CCED98D"/>
    <w:rsid w:val="7D08410F"/>
    <w:rsid w:val="7D11554A"/>
    <w:rsid w:val="7DB96DED"/>
    <w:rsid w:val="7DD3AD81"/>
    <w:rsid w:val="7DFFF77E"/>
    <w:rsid w:val="7F53A862"/>
    <w:rsid w:val="7F7FE70F"/>
    <w:rsid w:val="7FAB3A34"/>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2600.57</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1802.67</c:v>
                </c:pt>
                <c:pt idx="1">
                  <c:v>927.54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3737</Words>
  <Characters>4277</Characters>
  <Lines>44</Lines>
  <Paragraphs>12</Paragraphs>
  <TotalTime>0</TotalTime>
  <ScaleCrop>false</ScaleCrop>
  <LinksUpToDate>false</LinksUpToDate>
  <CharactersWithSpaces>4299</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2025-11-06T07:19:14Z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eyJoZGlkIjoiMjZlY2I1ODI2NDY1NjI5ZTdlMmYzZmZlMzg0YWM0NzUiLCJ1c2VySWQiOiIzMzYzMDIyNzkifQ==</vt:lpwstr>
  </property>
</Properties>
</file>