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A40920">
      <w:pPr>
        <w:jc w:val="center"/>
        <w:rPr>
          <w:rFonts w:ascii="仿宋_GB2312" w:eastAsia="仿宋_GB2312"/>
          <w:b/>
          <w:sz w:val="32"/>
          <w:szCs w:val="32"/>
        </w:rPr>
      </w:pPr>
    </w:p>
    <w:p w14:paraId="473F438E">
      <w:pPr>
        <w:jc w:val="center"/>
        <w:rPr>
          <w:rFonts w:ascii="黑体" w:eastAsia="黑体"/>
          <w:sz w:val="72"/>
          <w:szCs w:val="72"/>
        </w:rPr>
      </w:pPr>
    </w:p>
    <w:p w14:paraId="3D56371C">
      <w:pPr>
        <w:jc w:val="center"/>
        <w:rPr>
          <w:rFonts w:ascii="黑体" w:eastAsia="黑体"/>
          <w:sz w:val="72"/>
          <w:szCs w:val="72"/>
        </w:rPr>
      </w:pPr>
    </w:p>
    <w:p w14:paraId="213EA71F">
      <w:pPr>
        <w:jc w:val="center"/>
        <w:rPr>
          <w:rFonts w:ascii="黑体" w:eastAsia="黑体"/>
          <w:sz w:val="72"/>
          <w:szCs w:val="72"/>
        </w:rPr>
      </w:pPr>
    </w:p>
    <w:p w14:paraId="4F769A7D">
      <w:pPr>
        <w:jc w:val="center"/>
        <w:rPr>
          <w:rFonts w:ascii="黑体" w:eastAsia="黑体"/>
          <w:sz w:val="72"/>
          <w:szCs w:val="72"/>
        </w:rPr>
      </w:pPr>
    </w:p>
    <w:p w14:paraId="5B348520">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694CAB61">
      <w:pPr>
        <w:jc w:val="center"/>
        <w:rPr>
          <w:rFonts w:ascii="黑体" w:eastAsia="黑体"/>
          <w:sz w:val="52"/>
          <w:szCs w:val="52"/>
        </w:rPr>
      </w:pPr>
    </w:p>
    <w:p w14:paraId="37F22E7D">
      <w:pPr>
        <w:jc w:val="center"/>
        <w:rPr>
          <w:rFonts w:ascii="黑体" w:eastAsia="黑体"/>
          <w:sz w:val="52"/>
          <w:szCs w:val="52"/>
        </w:rPr>
      </w:pPr>
    </w:p>
    <w:p w14:paraId="5D78119A">
      <w:pPr>
        <w:jc w:val="center"/>
        <w:rPr>
          <w:rFonts w:ascii="黑体" w:eastAsia="黑体"/>
          <w:sz w:val="52"/>
          <w:szCs w:val="52"/>
        </w:rPr>
      </w:pPr>
    </w:p>
    <w:p w14:paraId="0E045A25">
      <w:pPr>
        <w:jc w:val="center"/>
        <w:rPr>
          <w:rFonts w:ascii="黑体" w:eastAsia="黑体"/>
          <w:sz w:val="52"/>
          <w:szCs w:val="52"/>
        </w:rPr>
      </w:pPr>
    </w:p>
    <w:p w14:paraId="2D79E486">
      <w:pPr>
        <w:jc w:val="center"/>
        <w:rPr>
          <w:rFonts w:ascii="黑体" w:eastAsia="黑体"/>
          <w:sz w:val="32"/>
          <w:szCs w:val="32"/>
        </w:rPr>
      </w:pPr>
    </w:p>
    <w:p w14:paraId="5BCB3BC3">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757291A8">
      <w:pPr>
        <w:spacing w:line="500" w:lineRule="exact"/>
        <w:ind w:firstLine="645"/>
        <w:jc w:val="center"/>
        <w:rPr>
          <w:rFonts w:ascii="宋体" w:hAnsi="宋体" w:cs="宋体"/>
          <w:b/>
          <w:bCs/>
          <w:kern w:val="0"/>
          <w:sz w:val="36"/>
          <w:szCs w:val="36"/>
        </w:rPr>
      </w:pPr>
    </w:p>
    <w:p w14:paraId="0E2A575F">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794B72C0">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16AB8D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19F03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D0E9A6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334CB41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32C7324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02119B9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2B4ACF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5AC496D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1F56ABE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63F41C3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0E3B2F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5B264193">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066AB4B3">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39AE4239">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34E03D60">
      <w:pPr>
        <w:tabs>
          <w:tab w:val="center" w:pos="6979"/>
        </w:tabs>
        <w:spacing w:beforeLines="50" w:afterLines="50"/>
        <w:jc w:val="center"/>
        <w:rPr>
          <w:rFonts w:ascii="宋体" w:hAnsi="宋体" w:cs="宋体"/>
          <w:b/>
          <w:bCs/>
          <w:spacing w:val="40"/>
          <w:kern w:val="0"/>
          <w:sz w:val="32"/>
          <w:szCs w:val="32"/>
        </w:rPr>
      </w:pPr>
    </w:p>
    <w:p w14:paraId="16ED9A26">
      <w:pPr>
        <w:tabs>
          <w:tab w:val="center" w:pos="6979"/>
        </w:tabs>
        <w:spacing w:beforeLines="50" w:afterLines="50"/>
        <w:jc w:val="center"/>
        <w:rPr>
          <w:rFonts w:ascii="宋体" w:hAnsi="宋体" w:cs="宋体"/>
          <w:b/>
          <w:bCs/>
          <w:spacing w:val="40"/>
          <w:kern w:val="0"/>
          <w:sz w:val="32"/>
          <w:szCs w:val="32"/>
        </w:rPr>
      </w:pPr>
    </w:p>
    <w:p w14:paraId="2B5A0285">
      <w:pPr>
        <w:tabs>
          <w:tab w:val="center" w:pos="6979"/>
        </w:tabs>
        <w:spacing w:beforeLines="50" w:afterLines="50"/>
        <w:jc w:val="center"/>
        <w:rPr>
          <w:rFonts w:ascii="宋体" w:hAnsi="宋体" w:cs="宋体"/>
          <w:b/>
          <w:bCs/>
          <w:spacing w:val="40"/>
          <w:kern w:val="0"/>
          <w:sz w:val="32"/>
          <w:szCs w:val="32"/>
        </w:rPr>
      </w:pPr>
    </w:p>
    <w:p w14:paraId="511C96ED">
      <w:pPr>
        <w:tabs>
          <w:tab w:val="center" w:pos="6979"/>
        </w:tabs>
        <w:spacing w:beforeLines="50" w:afterLines="50"/>
        <w:jc w:val="center"/>
        <w:rPr>
          <w:rFonts w:ascii="宋体" w:hAnsi="宋体" w:cs="宋体"/>
          <w:b/>
          <w:bCs/>
          <w:spacing w:val="40"/>
          <w:kern w:val="0"/>
          <w:sz w:val="32"/>
          <w:szCs w:val="32"/>
        </w:rPr>
      </w:pPr>
    </w:p>
    <w:p w14:paraId="7F1484DF">
      <w:pPr>
        <w:tabs>
          <w:tab w:val="center" w:pos="6979"/>
        </w:tabs>
        <w:spacing w:beforeLines="50" w:afterLines="50"/>
        <w:jc w:val="center"/>
        <w:rPr>
          <w:rFonts w:ascii="宋体" w:hAnsi="宋体" w:cs="宋体"/>
          <w:b/>
          <w:bCs/>
          <w:spacing w:val="40"/>
          <w:kern w:val="0"/>
          <w:sz w:val="32"/>
          <w:szCs w:val="32"/>
        </w:rPr>
      </w:pPr>
    </w:p>
    <w:p w14:paraId="74CB902A">
      <w:pPr>
        <w:tabs>
          <w:tab w:val="center" w:pos="6979"/>
        </w:tabs>
        <w:spacing w:beforeLines="50"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5AF7892F">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3C3D93F4">
      <w:pPr>
        <w:tabs>
          <w:tab w:val="center" w:pos="6979"/>
        </w:tabs>
        <w:spacing w:beforeLines="50"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44C7BE04">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573FDEAB">
      <w:pPr>
        <w:tabs>
          <w:tab w:val="center" w:pos="6979"/>
        </w:tabs>
        <w:spacing w:line="580" w:lineRule="exact"/>
        <w:ind w:firstLine="565" w:firstLineChars="202"/>
        <w:rPr>
          <w:rFonts w:ascii="仿宋_GB2312" w:hAnsi="仿宋" w:eastAsia="仿宋_GB2312"/>
          <w:sz w:val="28"/>
          <w:szCs w:val="28"/>
        </w:rPr>
      </w:pPr>
      <w:r>
        <w:rPr>
          <w:rFonts w:hint="eastAsia" w:ascii="仿宋_GB2312" w:hAnsi="仿宋" w:eastAsia="仿宋_GB2312"/>
          <w:sz w:val="28"/>
          <w:szCs w:val="28"/>
        </w:rPr>
        <w:t>1．主要职能：为本地学龄前儿童提供优质保育教育。</w:t>
      </w:r>
    </w:p>
    <w:p w14:paraId="04309E58">
      <w:pPr>
        <w:tabs>
          <w:tab w:val="center" w:pos="6979"/>
        </w:tabs>
        <w:spacing w:line="580" w:lineRule="exact"/>
        <w:ind w:firstLine="565" w:firstLineChars="202"/>
        <w:rPr>
          <w:rFonts w:ascii="仿宋_GB2312" w:hAnsi="仿宋" w:eastAsia="仿宋_GB2312"/>
          <w:sz w:val="28"/>
          <w:szCs w:val="28"/>
        </w:rPr>
      </w:pPr>
      <w:r>
        <w:rPr>
          <w:rFonts w:hint="eastAsia" w:ascii="仿宋_GB2312" w:hAnsi="仿宋" w:eastAsia="仿宋_GB2312"/>
          <w:sz w:val="28"/>
          <w:szCs w:val="28"/>
        </w:rPr>
        <w:t>2．机构设置：我单位内设园长室、书记室、财务室、工会办公室、保健室、后勤办公室、保教办公室、党务办公室。</w:t>
      </w:r>
    </w:p>
    <w:p w14:paraId="250B73C3">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1CF2C09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3088.2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减少1196.23万元，下降27.92%。</w:t>
      </w:r>
    </w:p>
    <w:p w14:paraId="042B5F68">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43152C40">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2993.58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减少1264.31万元，下降42.23%。</w:t>
      </w:r>
    </w:p>
    <w:p w14:paraId="55527B30">
      <w:pPr>
        <w:tabs>
          <w:tab w:val="center" w:pos="6979"/>
        </w:tabs>
        <w:spacing w:line="580" w:lineRule="exact"/>
        <w:rPr>
          <w:rFonts w:ascii="仿宋_GB2312" w:eastAsia="仿宋_GB2312"/>
          <w:sz w:val="28"/>
          <w:szCs w:val="28"/>
        </w:rPr>
      </w:pPr>
      <w:r>
        <w:rPr>
          <w:rFonts w:hint="eastAsia" w:ascii="仿宋_GB2312" w:eastAsia="仿宋_GB2312"/>
          <w:sz w:val="28"/>
          <w:szCs w:val="28"/>
        </w:rPr>
        <w:tab/>
      </w:r>
      <w:r>
        <w:rPr>
          <w:rFonts w:hint="eastAsia" w:ascii="仿宋_GB2312" w:eastAsia="仿宋_GB2312"/>
          <w:sz w:val="28"/>
          <w:szCs w:val="28"/>
        </w:rPr>
        <w:t xml:space="preserve">    1.财政拨款收入</w:t>
      </w:r>
      <w:r>
        <w:rPr>
          <w:rFonts w:ascii="仿宋_GB2312" w:eastAsia="仿宋_GB2312"/>
          <w:sz w:val="28"/>
          <w:szCs w:val="28"/>
        </w:rPr>
        <w:t>2993.58</w:t>
      </w:r>
      <w:r>
        <w:rPr>
          <w:rFonts w:hint="eastAsia" w:ascii="仿宋_GB2312" w:eastAsia="仿宋_GB2312"/>
          <w:sz w:val="28"/>
          <w:szCs w:val="28"/>
        </w:rPr>
        <w:t>万元，占收入合计的100%。其中：一般公共预算财政拨款收入</w:t>
      </w:r>
      <w:r>
        <w:rPr>
          <w:rFonts w:ascii="仿宋_GB2312" w:eastAsia="仿宋_GB2312"/>
          <w:sz w:val="28"/>
          <w:szCs w:val="28"/>
        </w:rPr>
        <w:t>2993.58</w:t>
      </w:r>
      <w:r>
        <w:rPr>
          <w:rFonts w:hint="eastAsia" w:ascii="仿宋_GB2312" w:eastAsia="仿宋_GB2312"/>
          <w:sz w:val="28"/>
          <w:szCs w:val="28"/>
        </w:rPr>
        <w:t>万元，占收入合计的100%；政府性基金预算财政拨款收入0万元，占收入合计的0%；国有资本经营预算财政拨款收入0万元，占收入合计的0%；</w:t>
      </w:r>
    </w:p>
    <w:p w14:paraId="535D130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7CF6D0F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3801708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074994A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6C5A8F7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01847D35">
      <w:pPr>
        <w:pStyle w:val="2"/>
        <w:jc w:val="center"/>
      </w:pPr>
      <w:r>
        <w:rPr>
          <w:rFonts w:hint="eastAsia" w:ascii="仿宋_GB2312" w:eastAsia="仿宋_GB2312"/>
          <w:color w:val="000000"/>
          <w:sz w:val="32"/>
        </w:rPr>
        <w:t>图1：收入决算</w:t>
      </w:r>
    </w:p>
    <w:p w14:paraId="7F278A3C">
      <w:pPr>
        <w:pStyle w:val="3"/>
        <w:ind w:firstLine="420"/>
        <w:jc w:val="center"/>
      </w:pPr>
      <w:r>
        <w:drawing>
          <wp:inline distT="0" distB="0" distL="0" distR="0">
            <wp:extent cx="4036695" cy="2328545"/>
            <wp:effectExtent l="0" t="0" r="2095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B657F1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A282243">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3088.2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减1196.23万元，下降27.92%，其中：基本支出</w:t>
      </w:r>
      <w:r>
        <w:rPr>
          <w:rFonts w:ascii="仿宋_GB2312" w:eastAsia="仿宋_GB2312"/>
          <w:sz w:val="28"/>
          <w:szCs w:val="28"/>
        </w:rPr>
        <w:t>1661.73</w:t>
      </w:r>
      <w:r>
        <w:rPr>
          <w:rFonts w:hint="eastAsia" w:ascii="仿宋_GB2312" w:eastAsia="仿宋_GB2312"/>
          <w:sz w:val="28"/>
          <w:szCs w:val="28"/>
        </w:rPr>
        <w:t>万元，占支出合计的53.81%；项目支出</w:t>
      </w:r>
      <w:r>
        <w:rPr>
          <w:rFonts w:ascii="仿宋_GB2312" w:eastAsia="仿宋_GB2312"/>
          <w:sz w:val="28"/>
          <w:szCs w:val="28"/>
        </w:rPr>
        <w:t>1426.47</w:t>
      </w:r>
      <w:r>
        <w:rPr>
          <w:rFonts w:hint="eastAsia" w:ascii="仿宋_GB2312" w:eastAsia="仿宋_GB2312"/>
          <w:sz w:val="28"/>
          <w:szCs w:val="28"/>
        </w:rPr>
        <w:t>万元，占支出合计的46.19%;上缴上级支出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71654B26">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19E33483">
      <w:pPr>
        <w:jc w:val="center"/>
        <w:rPr>
          <w:rFonts w:ascii="黑体" w:eastAsia="黑体"/>
          <w:b/>
          <w:sz w:val="28"/>
          <w:szCs w:val="28"/>
        </w:rPr>
      </w:pPr>
      <w:r>
        <w:drawing>
          <wp:inline distT="0" distB="0" distL="114300" distR="114300">
            <wp:extent cx="4572000" cy="2743200"/>
            <wp:effectExtent l="4445" t="4445" r="14605" b="14605"/>
            <wp:docPr id="1"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99D4CB6">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96F6A39">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3088.2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减少1196.23万元，下降27.92%。主要原因：</w:t>
      </w:r>
      <w:r>
        <w:rPr>
          <w:rFonts w:hint="eastAsia" w:ascii="仿宋_GB2312" w:hAnsi="仿宋" w:eastAsia="仿宋_GB2312"/>
          <w:sz w:val="28"/>
          <w:szCs w:val="28"/>
        </w:rPr>
        <w:t>我园本年幼儿人数增减少，教职工调出，本年无修缮改造及购置类项目</w:t>
      </w:r>
      <w:r>
        <w:rPr>
          <w:rFonts w:hint="eastAsia" w:ascii="仿宋_GB2312" w:eastAsia="仿宋_GB2312"/>
          <w:sz w:val="28"/>
          <w:szCs w:val="28"/>
        </w:rPr>
        <w:t>。</w:t>
      </w:r>
    </w:p>
    <w:p w14:paraId="4D7834E4">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456E9D32">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1EF00E9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3088.2</w:t>
      </w:r>
      <w:r>
        <w:rPr>
          <w:rFonts w:hint="eastAsia" w:ascii="仿宋_GB2312" w:eastAsia="仿宋_GB2312"/>
          <w:sz w:val="28"/>
          <w:szCs w:val="28"/>
        </w:rPr>
        <w:t>万元，主要用于以下方面：教育支出2726.63万元，占本年财政拨款支出88.29%； 社会保障和</w:t>
      </w:r>
      <w:r>
        <w:rPr>
          <w:rFonts w:ascii="仿宋_GB2312" w:eastAsia="仿宋_GB2312"/>
          <w:sz w:val="28"/>
          <w:szCs w:val="28"/>
        </w:rPr>
        <w:t>就业支出</w:t>
      </w:r>
      <w:r>
        <w:rPr>
          <w:rFonts w:hint="eastAsia" w:ascii="仿宋_GB2312" w:eastAsia="仿宋_GB2312"/>
          <w:sz w:val="28"/>
          <w:szCs w:val="28"/>
        </w:rPr>
        <w:t>158.16万元</w:t>
      </w:r>
      <w:r>
        <w:rPr>
          <w:rFonts w:ascii="仿宋_GB2312" w:eastAsia="仿宋_GB2312"/>
          <w:sz w:val="28"/>
          <w:szCs w:val="28"/>
        </w:rPr>
        <w:t>，</w:t>
      </w:r>
      <w:r>
        <w:rPr>
          <w:rFonts w:hint="eastAsia" w:ascii="仿宋_GB2312" w:eastAsia="仿宋_GB2312"/>
          <w:sz w:val="28"/>
          <w:szCs w:val="28"/>
        </w:rPr>
        <w:t>占本年财政拨款支出5.12%；卫生健康</w:t>
      </w:r>
      <w:r>
        <w:rPr>
          <w:rFonts w:ascii="仿宋_GB2312" w:eastAsia="仿宋_GB2312"/>
          <w:sz w:val="28"/>
          <w:szCs w:val="28"/>
        </w:rPr>
        <w:t>支出</w:t>
      </w:r>
      <w:r>
        <w:rPr>
          <w:rFonts w:hint="eastAsia" w:ascii="仿宋_GB2312" w:eastAsia="仿宋_GB2312"/>
          <w:sz w:val="28"/>
          <w:szCs w:val="28"/>
        </w:rPr>
        <w:t>108.79万元</w:t>
      </w:r>
      <w:r>
        <w:rPr>
          <w:rFonts w:ascii="仿宋_GB2312" w:eastAsia="仿宋_GB2312"/>
          <w:sz w:val="28"/>
          <w:szCs w:val="28"/>
        </w:rPr>
        <w:t>，</w:t>
      </w:r>
      <w:r>
        <w:rPr>
          <w:rFonts w:hint="eastAsia" w:ascii="仿宋_GB2312" w:eastAsia="仿宋_GB2312"/>
          <w:sz w:val="28"/>
          <w:szCs w:val="28"/>
        </w:rPr>
        <w:t>占本年财政拨款支出3.53%；住房保障支出94.63万元，占本年财政拨款支出3.06%。</w:t>
      </w:r>
    </w:p>
    <w:p w14:paraId="3C4A837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（二）一般公共预算财政拨款支出决算具体情况</w:t>
      </w:r>
    </w:p>
    <w:p w14:paraId="5BAE5BD5">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1、“教育支出”2024年度年初预算</w:t>
      </w:r>
      <w:r>
        <w:rPr>
          <w:rFonts w:hint="eastAsia" w:ascii="仿宋_GB2312" w:eastAsia="仿宋_GB2312"/>
          <w:sz w:val="28"/>
          <w:szCs w:val="28"/>
          <w:lang w:val="en-US" w:eastAsia="zh-CN"/>
        </w:rPr>
        <w:t>2914.74</w:t>
      </w:r>
      <w:r>
        <w:rPr>
          <w:rFonts w:hint="eastAsia" w:ascii="仿宋_GB2312" w:eastAsia="仿宋_GB2312"/>
          <w:sz w:val="28"/>
          <w:szCs w:val="28"/>
        </w:rPr>
        <w:t>万元，2024年度决算2726.63万元，完成年初预算的</w:t>
      </w:r>
      <w:r>
        <w:rPr>
          <w:rFonts w:hint="eastAsia" w:ascii="仿宋_GB2312" w:eastAsia="仿宋_GB2312"/>
          <w:sz w:val="28"/>
          <w:szCs w:val="28"/>
          <w:lang w:val="en-US" w:eastAsia="zh-CN"/>
        </w:rPr>
        <w:t>93.55%</w:t>
      </w:r>
      <w:r>
        <w:rPr>
          <w:rFonts w:hint="eastAsia" w:ascii="仿宋_GB2312" w:eastAsia="仿宋_GB2312"/>
          <w:sz w:val="28"/>
          <w:szCs w:val="28"/>
        </w:rPr>
        <w:t>。其中：“普通教育”2024年度年初预算</w:t>
      </w:r>
      <w:r>
        <w:rPr>
          <w:rFonts w:hint="eastAsia" w:ascii="仿宋_GB2312" w:eastAsia="仿宋_GB2312"/>
          <w:sz w:val="28"/>
          <w:szCs w:val="28"/>
          <w:lang w:val="en-US" w:eastAsia="zh-CN"/>
        </w:rPr>
        <w:t>2914.74</w:t>
      </w:r>
      <w:r>
        <w:rPr>
          <w:rFonts w:hint="eastAsia" w:ascii="仿宋_GB2312" w:eastAsia="仿宋_GB2312"/>
          <w:sz w:val="28"/>
          <w:szCs w:val="28"/>
        </w:rPr>
        <w:t>万元，2024年度决算2726.63万元，完成年初预算的</w:t>
      </w:r>
      <w:r>
        <w:rPr>
          <w:rFonts w:hint="eastAsia" w:ascii="仿宋_GB2312" w:eastAsia="仿宋_GB2312"/>
          <w:sz w:val="28"/>
          <w:szCs w:val="28"/>
          <w:lang w:val="en-US" w:eastAsia="zh-CN"/>
        </w:rPr>
        <w:t>93.55%</w:t>
      </w:r>
      <w:r>
        <w:rPr>
          <w:rFonts w:hint="eastAsia" w:ascii="仿宋_GB2312" w:eastAsia="仿宋_GB2312"/>
          <w:sz w:val="28"/>
          <w:szCs w:val="28"/>
        </w:rPr>
        <w:t>。主要原因：在编教师</w:t>
      </w:r>
      <w:r>
        <w:rPr>
          <w:rFonts w:ascii="仿宋_GB2312" w:eastAsia="仿宋_GB2312"/>
          <w:sz w:val="28"/>
          <w:szCs w:val="28"/>
        </w:rPr>
        <w:t>人员调</w:t>
      </w:r>
      <w:r>
        <w:rPr>
          <w:rFonts w:hint="eastAsia" w:ascii="仿宋_GB2312" w:eastAsia="仿宋_GB2312"/>
          <w:sz w:val="28"/>
          <w:szCs w:val="28"/>
        </w:rPr>
        <w:t>出</w:t>
      </w:r>
      <w:r>
        <w:rPr>
          <w:rFonts w:ascii="仿宋_GB2312" w:eastAsia="仿宋_GB2312"/>
          <w:sz w:val="28"/>
          <w:szCs w:val="28"/>
        </w:rPr>
        <w:t>，人员费用</w:t>
      </w:r>
      <w:r>
        <w:rPr>
          <w:rFonts w:hint="eastAsia" w:ascii="仿宋_GB2312" w:eastAsia="仿宋_GB2312"/>
          <w:sz w:val="28"/>
          <w:szCs w:val="28"/>
        </w:rPr>
        <w:t>减少。</w:t>
      </w:r>
    </w:p>
    <w:p w14:paraId="72E9F4A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2、“社会保障和就业支出”2024年度年初预算</w:t>
      </w:r>
      <w:r>
        <w:rPr>
          <w:rFonts w:hint="eastAsia" w:ascii="仿宋_GB2312" w:eastAsia="仿宋_GB2312"/>
          <w:sz w:val="28"/>
          <w:szCs w:val="28"/>
          <w:lang w:val="en-US" w:eastAsia="zh-CN"/>
        </w:rPr>
        <w:t>168.02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2024年度决算158.16万元，完成年初预算的</w:t>
      </w:r>
      <w:r>
        <w:rPr>
          <w:rFonts w:hint="eastAsia" w:ascii="仿宋_GB2312" w:eastAsia="仿宋_GB2312"/>
          <w:sz w:val="28"/>
          <w:szCs w:val="28"/>
          <w:lang w:val="en-US" w:eastAsia="zh-CN"/>
        </w:rPr>
        <w:t>106.23%</w:t>
      </w:r>
      <w:r>
        <w:rPr>
          <w:rFonts w:hint="eastAsia" w:ascii="仿宋_GB2312" w:eastAsia="仿宋_GB2312"/>
          <w:sz w:val="28"/>
          <w:szCs w:val="28"/>
        </w:rPr>
        <w:t>。</w:t>
      </w:r>
    </w:p>
    <w:p w14:paraId="39A5EAE4">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0F6F138A">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“行政事业单位养老支出”2024年度年初预算</w:t>
      </w:r>
      <w:r>
        <w:rPr>
          <w:rFonts w:hint="eastAsia" w:ascii="仿宋_GB2312" w:eastAsia="仿宋_GB2312"/>
          <w:sz w:val="28"/>
          <w:szCs w:val="28"/>
          <w:lang w:val="en-US" w:eastAsia="zh-CN"/>
        </w:rPr>
        <w:t>168.02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2024年度决算158.16万元，完成年初预算的</w:t>
      </w:r>
      <w:r>
        <w:rPr>
          <w:rFonts w:hint="eastAsia" w:ascii="仿宋_GB2312" w:eastAsia="仿宋_GB2312"/>
          <w:sz w:val="28"/>
          <w:szCs w:val="28"/>
          <w:lang w:val="en-US" w:eastAsia="zh-CN"/>
        </w:rPr>
        <w:t>106.23%</w:t>
      </w:r>
      <w:r>
        <w:rPr>
          <w:rFonts w:hint="eastAsia" w:ascii="仿宋_GB2312" w:eastAsia="仿宋_GB2312"/>
          <w:sz w:val="28"/>
          <w:szCs w:val="28"/>
        </w:rPr>
        <w:t>。主要原因：根据大兴区人力资源和社会保障局文件精神，调整行政事业单位养老保险基数，</w:t>
      </w:r>
      <w:r>
        <w:rPr>
          <w:rFonts w:ascii="仿宋_GB2312" w:eastAsia="仿宋_GB2312"/>
          <w:sz w:val="28"/>
          <w:szCs w:val="28"/>
        </w:rPr>
        <w:t>保险费用</w:t>
      </w:r>
      <w:r>
        <w:rPr>
          <w:rFonts w:hint="eastAsia" w:ascii="仿宋_GB2312" w:eastAsia="仿宋_GB2312"/>
          <w:sz w:val="28"/>
          <w:szCs w:val="28"/>
        </w:rPr>
        <w:t>增加。</w:t>
      </w:r>
    </w:p>
    <w:p w14:paraId="03324820">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3、“卫生健康支出”2024年度年初预算</w:t>
      </w:r>
      <w:r>
        <w:rPr>
          <w:rFonts w:hint="eastAsia" w:ascii="仿宋_GB2312" w:eastAsia="仿宋_GB2312"/>
          <w:sz w:val="28"/>
          <w:szCs w:val="28"/>
          <w:lang w:val="en-US" w:eastAsia="zh-CN"/>
        </w:rPr>
        <w:t>112.94万元，</w:t>
      </w:r>
      <w:r>
        <w:rPr>
          <w:rFonts w:hint="eastAsia" w:ascii="仿宋_GB2312" w:eastAsia="仿宋_GB2312"/>
          <w:sz w:val="28"/>
          <w:szCs w:val="28"/>
        </w:rPr>
        <w:t>2024年度决算108.79万元，完成年初预算的</w:t>
      </w:r>
      <w:r>
        <w:rPr>
          <w:rFonts w:hint="eastAsia" w:ascii="仿宋_GB2312" w:eastAsia="仿宋_GB2312"/>
          <w:sz w:val="28"/>
          <w:szCs w:val="28"/>
          <w:lang w:val="en-US" w:eastAsia="zh-CN"/>
        </w:rPr>
        <w:t>103.81</w:t>
      </w:r>
      <w:r>
        <w:rPr>
          <w:rFonts w:hint="eastAsia" w:ascii="仿宋_GB2312" w:eastAsia="仿宋_GB2312"/>
          <w:sz w:val="28"/>
          <w:szCs w:val="28"/>
        </w:rPr>
        <w:t>%。其中：“行政事业单位医疗”2024年度年初预算</w:t>
      </w:r>
      <w:r>
        <w:rPr>
          <w:rFonts w:hint="eastAsia" w:ascii="仿宋_GB2312" w:eastAsia="仿宋_GB2312"/>
          <w:sz w:val="28"/>
          <w:szCs w:val="28"/>
          <w:lang w:val="en-US" w:eastAsia="zh-CN"/>
        </w:rPr>
        <w:t>112.94万元，</w:t>
      </w:r>
      <w:r>
        <w:rPr>
          <w:rFonts w:hint="eastAsia" w:ascii="仿宋_GB2312" w:eastAsia="仿宋_GB2312"/>
          <w:sz w:val="28"/>
          <w:szCs w:val="28"/>
        </w:rPr>
        <w:t>2024年度决算108.79万元，完成年初预算的</w:t>
      </w:r>
      <w:r>
        <w:rPr>
          <w:rFonts w:hint="eastAsia" w:ascii="仿宋_GB2312" w:eastAsia="仿宋_GB2312"/>
          <w:sz w:val="28"/>
          <w:szCs w:val="28"/>
          <w:lang w:val="en-US" w:eastAsia="zh-CN"/>
        </w:rPr>
        <w:t>103.81</w:t>
      </w:r>
      <w:r>
        <w:rPr>
          <w:rFonts w:hint="eastAsia" w:ascii="仿宋_GB2312" w:eastAsia="仿宋_GB2312"/>
          <w:sz w:val="28"/>
          <w:szCs w:val="28"/>
        </w:rPr>
        <w:t>%。主要原因：基本医疗及公务员医疗补助缴费基数</w:t>
      </w:r>
      <w:r>
        <w:rPr>
          <w:rFonts w:hint="eastAsia" w:ascii="仿宋_GB2312" w:eastAsia="仿宋_GB2312"/>
          <w:sz w:val="28"/>
          <w:szCs w:val="28"/>
          <w:lang w:val="en-US" w:eastAsia="zh-CN"/>
        </w:rPr>
        <w:t>上调</w:t>
      </w:r>
      <w:r>
        <w:rPr>
          <w:rFonts w:hint="eastAsia" w:ascii="仿宋_GB2312" w:eastAsia="仿宋_GB2312"/>
          <w:sz w:val="28"/>
          <w:szCs w:val="28"/>
        </w:rPr>
        <w:t>，以致单位负担保险金额</w:t>
      </w:r>
      <w:r>
        <w:rPr>
          <w:rFonts w:hint="eastAsia" w:ascii="仿宋_GB2312" w:eastAsia="仿宋_GB2312"/>
          <w:sz w:val="28"/>
          <w:szCs w:val="28"/>
          <w:lang w:val="en-US" w:eastAsia="zh-CN"/>
        </w:rPr>
        <w:t>增加</w:t>
      </w:r>
      <w:r>
        <w:rPr>
          <w:rFonts w:hint="eastAsia" w:ascii="仿宋_GB2312" w:eastAsia="仿宋_GB2312"/>
          <w:sz w:val="28"/>
          <w:szCs w:val="28"/>
        </w:rPr>
        <w:t>。</w:t>
      </w:r>
    </w:p>
    <w:p w14:paraId="0699684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4、“住房保障支出”2024年度年初预算0万元，2024年度决算94.63万元</w:t>
      </w:r>
      <w:r>
        <w:rPr>
          <w:rFonts w:hint="eastAsia" w:ascii="仿宋_GB2312" w:eastAsia="仿宋_GB2312"/>
          <w:sz w:val="28"/>
          <w:szCs w:val="28"/>
          <w:lang w:eastAsia="zh-CN"/>
        </w:rPr>
        <w:t>。</w:t>
      </w:r>
      <w:r>
        <w:rPr>
          <w:rFonts w:hint="eastAsia" w:ascii="仿宋_GB2312" w:eastAsia="仿宋_GB2312"/>
          <w:sz w:val="28"/>
          <w:szCs w:val="28"/>
        </w:rPr>
        <w:t xml:space="preserve">其中：“住房改革支出”2024年度年初预算0万元，2024年度决算94.63万元。主要原因：本年度补发第三批住房补贴。 </w:t>
      </w:r>
    </w:p>
    <w:p w14:paraId="5AE8F111">
      <w:pPr>
        <w:spacing w:line="580" w:lineRule="exact"/>
        <w:ind w:firstLine="560" w:firstLineChars="200"/>
        <w:rPr>
          <w:rFonts w:ascii="仿宋_GB2312" w:eastAsia="仿宋_GB2312"/>
          <w:sz w:val="28"/>
          <w:szCs w:val="28"/>
        </w:rPr>
      </w:pPr>
      <w:bookmarkStart w:id="0" w:name="_GoBack"/>
      <w:bookmarkEnd w:id="0"/>
      <w:r>
        <w:rPr>
          <w:rFonts w:hint="eastAsia" w:ascii="黑体" w:eastAsia="黑体"/>
          <w:b/>
          <w:sz w:val="28"/>
          <w:szCs w:val="28"/>
        </w:rPr>
        <w:t>五、政府性基金预算财政拨款支出决算情况说明</w:t>
      </w:r>
    </w:p>
    <w:p w14:paraId="4AB29A31">
      <w:pPr>
        <w:spacing w:line="580" w:lineRule="exact"/>
        <w:ind w:firstLine="560" w:firstLineChars="200"/>
        <w:rPr>
          <w:rFonts w:ascii="仿宋_GB2312" w:eastAsia="仿宋_GB2312"/>
          <w:sz w:val="28"/>
          <w:szCs w:val="28"/>
        </w:rPr>
      </w:pPr>
      <w:r>
        <w:rPr>
          <w:rFonts w:hint="eastAsia" w:ascii="仿宋_GB2312" w:eastAsia="仿宋_GB2312"/>
          <w:sz w:val="28"/>
          <w:szCs w:val="28"/>
        </w:rPr>
        <w:t>2024年度政府性基金预算财政拨款支出</w:t>
      </w:r>
      <w:r>
        <w:rPr>
          <w:rFonts w:ascii="仿宋_GB2312" w:eastAsia="仿宋_GB2312"/>
          <w:sz w:val="28"/>
          <w:szCs w:val="28"/>
        </w:rPr>
        <w:t>0</w:t>
      </w:r>
      <w:r>
        <w:rPr>
          <w:rFonts w:hint="eastAsia" w:ascii="仿宋_GB2312" w:eastAsia="仿宋_GB2312"/>
          <w:sz w:val="28"/>
          <w:szCs w:val="28"/>
        </w:rPr>
        <w:t>万元，主要原因：本单位2024年度无政府性基金预算财政拨款安排的支出。</w:t>
      </w:r>
    </w:p>
    <w:p w14:paraId="5AB278A3">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598C7012">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503FCAC9">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23FA91B6">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1661.73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7C47FB30">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29BFE716">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21BDE647">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1FCB8F47">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1.57</w:t>
      </w:r>
      <w:r>
        <w:rPr>
          <w:rFonts w:hint="eastAsia" w:ascii="仿宋_GB2312" w:eastAsia="仿宋_GB2312"/>
          <w:sz w:val="28"/>
          <w:szCs w:val="28"/>
        </w:rPr>
        <w:t>万元，比2024年度“三公”经费财政拨款年初预算</w:t>
      </w:r>
      <w:r>
        <w:rPr>
          <w:rFonts w:ascii="仿宋_GB2312" w:eastAsia="仿宋_GB2312"/>
          <w:sz w:val="28"/>
          <w:szCs w:val="28"/>
        </w:rPr>
        <w:t>3.7</w:t>
      </w:r>
      <w:r>
        <w:rPr>
          <w:rFonts w:hint="eastAsia" w:ascii="仿宋_GB2312" w:eastAsia="仿宋_GB2312"/>
          <w:sz w:val="28"/>
          <w:szCs w:val="28"/>
        </w:rPr>
        <w:t>万元减少2.13万元。其中：</w:t>
      </w:r>
    </w:p>
    <w:p w14:paraId="44A25B93">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1.因公出国（境）费用。2024年度决算数0万元，比2024年度年初预算数0万元无增减变化。主要原因：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75BDFF40">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1万</w:t>
      </w:r>
      <w:r>
        <w:rPr>
          <w:rFonts w:hint="eastAsia" w:ascii="仿宋_GB2312" w:eastAsia="仿宋_GB2312"/>
          <w:sz w:val="28"/>
          <w:szCs w:val="28"/>
        </w:rPr>
        <w:t>元减少</w:t>
      </w:r>
      <w:r>
        <w:rPr>
          <w:rFonts w:hint="eastAsia" w:ascii="仿宋_GB2312" w:eastAsia="仿宋_GB2312"/>
          <w:sz w:val="28"/>
          <w:szCs w:val="28"/>
          <w:lang w:val="en-US" w:eastAsia="zh-CN"/>
        </w:rPr>
        <w:t>1</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37FF92F5">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3.公务用车购置及运行维护费。2024年度决算数1.57万元，比2024年度年初预算数2.7万元减少1.13万元。其中，公务用车购置费2024年度决算数0万元，主要原因：</w:t>
      </w:r>
      <w:r>
        <w:rPr>
          <w:rFonts w:hint="eastAsia" w:ascii="仿宋_GB2312" w:hAnsi="Times New Roman" w:eastAsia="仿宋_GB2312" w:cs="Times New Roman"/>
          <w:kern w:val="2"/>
          <w:sz w:val="28"/>
          <w:szCs w:val="28"/>
          <w:lang w:val="en-US" w:eastAsia="zh-CN" w:bidi="ar"/>
        </w:rPr>
        <w:t>本年度新购车辆</w:t>
      </w:r>
      <w:r>
        <w:rPr>
          <w:rFonts w:hint="eastAsia" w:ascii="仿宋_GB2312" w:eastAsia="仿宋_GB2312" w:cs="Times New Roman"/>
          <w:kern w:val="2"/>
          <w:sz w:val="28"/>
          <w:szCs w:val="28"/>
          <w:lang w:val="en-US" w:eastAsia="zh-CN" w:bidi="ar"/>
        </w:rPr>
        <w:t>0</w:t>
      </w:r>
      <w:r>
        <w:rPr>
          <w:rFonts w:hint="eastAsia" w:ascii="仿宋_GB2312" w:hAnsi="Times New Roman" w:eastAsia="仿宋_GB2312" w:cs="Times New Roman"/>
          <w:kern w:val="2"/>
          <w:sz w:val="28"/>
          <w:szCs w:val="28"/>
          <w:lang w:val="en-US" w:eastAsia="zh-CN" w:bidi="ar"/>
        </w:rPr>
        <w:t>辆</w:t>
      </w:r>
      <w:r>
        <w:rPr>
          <w:rFonts w:hint="eastAsia" w:ascii="仿宋_GB2312" w:eastAsia="仿宋_GB2312"/>
          <w:sz w:val="28"/>
          <w:szCs w:val="28"/>
        </w:rPr>
        <w:t>，2024年度购置（更新）0辆。公务用车运行维护费2024年度决算数1.57万元，主要原因：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1</w:t>
      </w:r>
      <w:r>
        <w:rPr>
          <w:rFonts w:hint="eastAsia" w:ascii="仿宋_GB2312" w:eastAsia="仿宋_GB2312"/>
          <w:sz w:val="28"/>
          <w:szCs w:val="28"/>
        </w:rPr>
        <w:t>辆。</w:t>
      </w:r>
    </w:p>
    <w:p w14:paraId="2B04BEB1">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6A2AACBB">
      <w:pPr>
        <w:spacing w:line="560" w:lineRule="exact"/>
        <w:ind w:firstLine="560" w:firstLineChars="200"/>
        <w:rPr>
          <w:rFonts w:ascii="仿宋_GB2312" w:eastAsia="仿宋_GB2312"/>
          <w:sz w:val="28"/>
          <w:szCs w:val="28"/>
        </w:rPr>
      </w:pPr>
      <w:r>
        <w:rPr>
          <w:rFonts w:hint="eastAsia" w:ascii="仿宋_GB2312" w:eastAsia="仿宋_GB2312"/>
          <w:sz w:val="28"/>
          <w:szCs w:val="28"/>
        </w:rPr>
        <w:t>2024年度机关运行经费支出合计0万元，比上年无增减变化。原因：本单位不在机关运行经费统计范围之内。</w:t>
      </w:r>
    </w:p>
    <w:p w14:paraId="4ABAC9F6">
      <w:pPr>
        <w:ind w:left="540"/>
        <w:rPr>
          <w:rFonts w:ascii="黑体" w:eastAsia="黑体"/>
          <w:sz w:val="28"/>
          <w:szCs w:val="28"/>
        </w:rPr>
      </w:pPr>
      <w:r>
        <w:rPr>
          <w:rFonts w:hint="eastAsia" w:ascii="黑体" w:eastAsia="黑体"/>
          <w:sz w:val="28"/>
          <w:szCs w:val="28"/>
        </w:rPr>
        <w:t>三、政府采购支出情况</w:t>
      </w:r>
    </w:p>
    <w:p w14:paraId="496AE81C">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84.68</w:t>
      </w:r>
      <w:r>
        <w:rPr>
          <w:rFonts w:hint="eastAsia" w:ascii="仿宋_GB2312" w:eastAsia="仿宋_GB2312"/>
          <w:sz w:val="28"/>
          <w:szCs w:val="28"/>
        </w:rPr>
        <w:t>万元，其中：政府采购货物支出0.11万元，政府采购工程支出0万元，政府采购服务支出84.57万元。授予中小企业合同金额</w:t>
      </w:r>
      <w:r>
        <w:rPr>
          <w:rFonts w:ascii="仿宋_GB2312" w:eastAsia="仿宋_GB2312"/>
          <w:sz w:val="28"/>
          <w:szCs w:val="28"/>
        </w:rPr>
        <w:t>83.81</w:t>
      </w:r>
      <w:r>
        <w:rPr>
          <w:rFonts w:hint="eastAsia" w:ascii="仿宋_GB2312" w:eastAsia="仿宋_GB2312"/>
          <w:sz w:val="28"/>
          <w:szCs w:val="28"/>
        </w:rPr>
        <w:t>万元，占政府采购支出总额的98.97%，其中：授予小微企业合同金额</w:t>
      </w:r>
      <w:r>
        <w:rPr>
          <w:rFonts w:ascii="仿宋_GB2312" w:eastAsia="仿宋_GB2312"/>
          <w:sz w:val="28"/>
          <w:szCs w:val="28"/>
        </w:rPr>
        <w:t>19.01</w:t>
      </w:r>
      <w:r>
        <w:rPr>
          <w:rFonts w:hint="eastAsia" w:ascii="仿宋_GB2312" w:eastAsia="仿宋_GB2312"/>
          <w:sz w:val="28"/>
          <w:szCs w:val="28"/>
        </w:rPr>
        <w:t>万元，占政府采购支出总额的</w:t>
      </w:r>
      <w:r>
        <w:rPr>
          <w:rFonts w:ascii="仿宋_GB2312" w:eastAsia="仿宋_GB2312"/>
          <w:sz w:val="28"/>
          <w:szCs w:val="28"/>
        </w:rPr>
        <w:t>22.45</w:t>
      </w:r>
      <w:r>
        <w:rPr>
          <w:rFonts w:hint="eastAsia" w:ascii="仿宋_GB2312" w:eastAsia="仿宋_GB2312"/>
          <w:sz w:val="28"/>
          <w:szCs w:val="28"/>
        </w:rPr>
        <w:t>%。</w:t>
      </w:r>
    </w:p>
    <w:p w14:paraId="2F6A04F1">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3F8469D1">
      <w:pPr>
        <w:ind w:firstLine="560" w:firstLineChars="200"/>
        <w:rPr>
          <w:rFonts w:ascii="仿宋_GB2312" w:eastAsia="仿宋_GB2312"/>
          <w:sz w:val="32"/>
          <w:szCs w:val="32"/>
        </w:rPr>
      </w:pPr>
      <w:r>
        <w:rPr>
          <w:rFonts w:hint="eastAsia" w:ascii="仿宋_GB2312" w:eastAsia="仿宋_GB2312"/>
          <w:sz w:val="28"/>
          <w:szCs w:val="28"/>
        </w:rPr>
        <w:t>截至12月31日，北京市大兴区榆垡镇第二中心幼儿园共有车辆1台；单位价值100万元（含）以上的设备0台（套）。</w:t>
      </w:r>
    </w:p>
    <w:p w14:paraId="38870D63">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09A2EB14">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21E55381">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2F19DE4">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09BF398A">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98A7B1A">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F8EB793">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06B7049C">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CE86CD5">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998708B">
      <w:pPr>
        <w:tabs>
          <w:tab w:val="center" w:pos="6979"/>
        </w:tabs>
        <w:spacing w:beforeLines="50" w:afterLines="50"/>
        <w:rPr>
          <w:rFonts w:ascii="仿宋_GB2312" w:eastAsia="仿宋_GB2312"/>
          <w:sz w:val="28"/>
          <w:szCs w:val="28"/>
        </w:rPr>
      </w:pPr>
      <w:r>
        <w:rPr>
          <w:rFonts w:hint="eastAsia" w:ascii="仿宋_GB2312" w:eastAsia="仿宋_GB2312"/>
          <w:sz w:val="28"/>
          <w:szCs w:val="28"/>
        </w:rPr>
        <w:tab/>
      </w:r>
      <w:r>
        <w:rPr>
          <w:rFonts w:hint="eastAsia" w:ascii="仿宋_GB2312" w:eastAsia="仿宋_GB2312"/>
          <w:sz w:val="28"/>
          <w:szCs w:val="28"/>
        </w:rPr>
        <w:t xml:space="preserve">   7.教育支出（类）普通教育（款）学前教育（项）：反映各部门举办的学前教育支出。政府各部门对社会组织等 举办的幼儿园的资助，如捐赠、补贴等，也在本科目中反映。</w:t>
      </w:r>
    </w:p>
    <w:p w14:paraId="529F91BE">
      <w:pPr>
        <w:tabs>
          <w:tab w:val="center" w:pos="6979"/>
        </w:tabs>
        <w:spacing w:beforeLines="50" w:afterLines="50"/>
        <w:rPr>
          <w:rFonts w:ascii="仿宋_GB2312" w:eastAsia="仿宋_GB2312"/>
          <w:sz w:val="28"/>
          <w:szCs w:val="28"/>
        </w:rPr>
      </w:pPr>
      <w:r>
        <w:rPr>
          <w:rFonts w:hint="eastAsia" w:ascii="仿宋_GB2312" w:eastAsia="仿宋_GB2312"/>
          <w:sz w:val="28"/>
          <w:szCs w:val="28"/>
        </w:rPr>
        <w:t xml:space="preserve">   8.社会保障和就业支出（类）行政事业单位养老支出（款）事业单位离退休事业单位离退休（项）：反映事业单位开支的离退休经费。</w:t>
      </w:r>
    </w:p>
    <w:p w14:paraId="75596E06">
      <w:pPr>
        <w:tabs>
          <w:tab w:val="center" w:pos="6979"/>
        </w:tabs>
        <w:spacing w:beforeLines="50" w:afterLines="50"/>
        <w:rPr>
          <w:rFonts w:ascii="仿宋_GB2312" w:eastAsia="仿宋_GB2312"/>
          <w:sz w:val="28"/>
          <w:szCs w:val="28"/>
        </w:rPr>
      </w:pPr>
      <w:r>
        <w:rPr>
          <w:rFonts w:hint="eastAsia" w:ascii="仿宋_GB2312" w:eastAsia="仿宋_GB2312"/>
          <w:sz w:val="28"/>
          <w:szCs w:val="28"/>
        </w:rPr>
        <w:t xml:space="preserve">    9.社会保障和就业支出（类）行政事业单位养老支出（款）机关事业单位基本养老保险缴费支出（项）：反映机关事业单位实施养老保险制度由单位缴纳的基本养老保险费支出。</w:t>
      </w:r>
    </w:p>
    <w:p w14:paraId="5083F755">
      <w:pPr>
        <w:tabs>
          <w:tab w:val="center" w:pos="6979"/>
        </w:tabs>
        <w:spacing w:beforeLines="50" w:afterLines="50"/>
        <w:rPr>
          <w:rFonts w:ascii="仿宋_GB2312" w:eastAsia="仿宋_GB2312"/>
          <w:sz w:val="28"/>
          <w:szCs w:val="28"/>
        </w:rPr>
      </w:pPr>
      <w:r>
        <w:rPr>
          <w:rFonts w:hint="eastAsia" w:ascii="仿宋_GB2312" w:eastAsia="仿宋_GB2312"/>
          <w:sz w:val="28"/>
          <w:szCs w:val="28"/>
        </w:rPr>
        <w:t xml:space="preserve">    10.社会保障和就业支出（类）行政事业单位养老支出（款）机关事业单位职业年金缴费支出（项）：反映机关事业单位实施养老保险制度由单位实际缴纳的职业年金支出。</w:t>
      </w:r>
    </w:p>
    <w:p w14:paraId="49DBAAE8">
      <w:pPr>
        <w:tabs>
          <w:tab w:val="center" w:pos="6979"/>
        </w:tabs>
        <w:spacing w:beforeLines="50" w:afterLines="50"/>
        <w:rPr>
          <w:rFonts w:ascii="仿宋_GB2312" w:eastAsia="仿宋_GB2312"/>
          <w:sz w:val="28"/>
          <w:szCs w:val="28"/>
        </w:rPr>
      </w:pPr>
      <w:r>
        <w:rPr>
          <w:rFonts w:hint="eastAsia" w:ascii="仿宋_GB2312" w:eastAsia="仿宋_GB2312"/>
          <w:sz w:val="28"/>
          <w:szCs w:val="28"/>
        </w:rPr>
        <w:t xml:space="preserve">    11.卫生健康支出（类）行政事业单位医疗（款）事业单位医疗（项）：反映财政部门安排的事业单位基本医疗保险缴费经费，未参 加医疗保险的事业单位的公费医疗经费，按国家规定享受离休 人员待遇的医疗经费。</w:t>
      </w:r>
    </w:p>
    <w:p w14:paraId="2D0A39EF">
      <w:pPr>
        <w:tabs>
          <w:tab w:val="center" w:pos="6979"/>
        </w:tabs>
        <w:spacing w:beforeLines="50" w:afterLines="50"/>
        <w:rPr>
          <w:rFonts w:ascii="仿宋_GB2312" w:eastAsia="仿宋_GB2312"/>
          <w:sz w:val="28"/>
          <w:szCs w:val="28"/>
        </w:rPr>
      </w:pPr>
      <w:r>
        <w:rPr>
          <w:rFonts w:hint="eastAsia" w:ascii="仿宋_GB2312" w:eastAsia="仿宋_GB2312"/>
          <w:sz w:val="28"/>
          <w:szCs w:val="28"/>
        </w:rPr>
        <w:t xml:space="preserve">    12.卫生健康支出（类）行政事业单位医疗（款）公务员医疗补助（项）：反映财政部门安排的公务员医疗补助经费。</w:t>
      </w:r>
    </w:p>
    <w:p w14:paraId="2223D190">
      <w:pPr>
        <w:tabs>
          <w:tab w:val="center" w:pos="6979"/>
        </w:tabs>
        <w:spacing w:beforeLines="50" w:afterLines="50"/>
        <w:rPr>
          <w:rFonts w:ascii="宋体" w:hAnsi="宋体" w:cs="宋体"/>
          <w:b/>
          <w:bCs/>
          <w:spacing w:val="40"/>
          <w:kern w:val="0"/>
          <w:sz w:val="32"/>
          <w:szCs w:val="32"/>
        </w:rPr>
      </w:pPr>
      <w:r>
        <w:rPr>
          <w:rFonts w:hint="eastAsia" w:ascii="仿宋_GB2312" w:eastAsia="仿宋_GB2312"/>
          <w:sz w:val="28"/>
          <w:szCs w:val="28"/>
        </w:rPr>
        <w:t xml:space="preserve">    13.住房保障支出（类）住房改革支出（款）购房补贴（项）：反映按房改政策规定，行政事业单位向符合条件职工（含离退休人员）、军队（含武警）向转役复员离退休人员发放的用于购买住房的补贴。</w:t>
      </w:r>
    </w:p>
    <w:p w14:paraId="361F701E">
      <w:pPr>
        <w:rPr>
          <w:rFonts w:ascii="黑体" w:eastAsia="黑体"/>
          <w:sz w:val="32"/>
          <w:szCs w:val="32"/>
        </w:rPr>
      </w:pPr>
    </w:p>
    <w:p w14:paraId="6CB37CAE">
      <w:pPr>
        <w:tabs>
          <w:tab w:val="center" w:pos="6979"/>
        </w:tabs>
        <w:spacing w:line="380" w:lineRule="exact"/>
        <w:jc w:val="center"/>
        <w:rPr>
          <w:rFonts w:ascii="宋体" w:hAnsi="宋体" w:cs="宋体"/>
          <w:b/>
          <w:bCs/>
          <w:kern w:val="0"/>
          <w:sz w:val="28"/>
          <w:szCs w:val="28"/>
        </w:rPr>
      </w:pPr>
    </w:p>
    <w:p w14:paraId="4F3F1EE9">
      <w:pPr>
        <w:tabs>
          <w:tab w:val="center" w:pos="6979"/>
        </w:tabs>
        <w:spacing w:line="380" w:lineRule="exact"/>
        <w:jc w:val="center"/>
        <w:rPr>
          <w:rFonts w:ascii="宋体" w:hAnsi="宋体" w:cs="宋体"/>
          <w:b/>
          <w:bCs/>
          <w:kern w:val="0"/>
          <w:sz w:val="28"/>
          <w:szCs w:val="28"/>
        </w:rPr>
      </w:pPr>
    </w:p>
    <w:p w14:paraId="476A69ED">
      <w:pPr>
        <w:rPr>
          <w:rFonts w:ascii="黑体" w:eastAsia="黑体"/>
          <w:sz w:val="32"/>
          <w:szCs w:val="32"/>
        </w:rPr>
      </w:pPr>
    </w:p>
    <w:p w14:paraId="7F438357">
      <w:pPr>
        <w:ind w:firstLine="640" w:firstLineChars="200"/>
        <w:jc w:val="center"/>
        <w:rPr>
          <w:rFonts w:ascii="黑体" w:eastAsia="黑体"/>
          <w:sz w:val="32"/>
          <w:szCs w:val="32"/>
        </w:rPr>
      </w:pPr>
    </w:p>
    <w:p w14:paraId="6D60AB6E">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152DD4B0">
      <w:pPr>
        <w:ind w:firstLine="560" w:firstLineChars="200"/>
        <w:rPr>
          <w:rFonts w:ascii="黑体" w:eastAsia="黑体"/>
          <w:sz w:val="28"/>
          <w:szCs w:val="28"/>
          <w:highlight w:val="yellow"/>
        </w:rPr>
      </w:pPr>
    </w:p>
    <w:p w14:paraId="41AA718F">
      <w:pPr>
        <w:numPr>
          <w:ilvl w:val="0"/>
          <w:numId w:val="0"/>
        </w:numPr>
        <w:jc w:val="center"/>
        <w:rPr>
          <w:rFonts w:hint="eastAsia" w:ascii="仿宋" w:hAnsi="仿宋" w:eastAsia="仿宋" w:cs="仿宋"/>
          <w:b/>
          <w:bCs/>
          <w:kern w:val="0"/>
          <w:sz w:val="30"/>
          <w:szCs w:val="30"/>
          <w:lang w:val="en-US" w:eastAsia="zh-CN" w:bidi="ar-SA"/>
        </w:rPr>
      </w:pPr>
      <w:r>
        <w:rPr>
          <w:rFonts w:hint="eastAsia" w:ascii="仿宋" w:hAnsi="仿宋" w:eastAsia="仿宋" w:cs="仿宋"/>
          <w:b/>
          <w:bCs/>
          <w:kern w:val="0"/>
          <w:sz w:val="30"/>
          <w:szCs w:val="30"/>
          <w:lang w:val="en-US" w:eastAsia="zh-CN" w:bidi="ar-SA"/>
        </w:rPr>
        <w:t>项目支出绩效自评表（详见附件）</w:t>
      </w:r>
    </w:p>
    <w:p w14:paraId="3F62A41D">
      <w:pPr>
        <w:spacing w:line="580" w:lineRule="exact"/>
        <w:ind w:firstLine="560" w:firstLineChars="200"/>
        <w:rPr>
          <w:rFonts w:ascii="仿宋_GB2312" w:hAnsi="仿宋_GB2312" w:eastAsia="仿宋_GB2312" w:cs="仿宋_GB2312"/>
          <w:sz w:val="28"/>
          <w:szCs w:val="28"/>
        </w:rPr>
      </w:pPr>
    </w:p>
    <w:p w14:paraId="029AB950">
      <w:pPr>
        <w:spacing w:line="480" w:lineRule="exact"/>
        <w:jc w:val="center"/>
        <w:rPr>
          <w:rFonts w:ascii="黑体" w:eastAsia="黑体"/>
          <w:sz w:val="32"/>
          <w:szCs w:val="32"/>
        </w:rPr>
      </w:pPr>
    </w:p>
    <w:p w14:paraId="5460EFF5">
      <w:pPr>
        <w:spacing w:line="480" w:lineRule="exact"/>
        <w:jc w:val="center"/>
        <w:rPr>
          <w:rFonts w:ascii="黑体" w:eastAsia="黑体"/>
          <w:sz w:val="32"/>
          <w:szCs w:val="32"/>
        </w:rPr>
      </w:pPr>
    </w:p>
    <w:p w14:paraId="7489CCEF">
      <w:pPr>
        <w:spacing w:line="480" w:lineRule="exact"/>
        <w:jc w:val="center"/>
        <w:rPr>
          <w:rFonts w:ascii="黑体" w:eastAsia="黑体"/>
          <w:sz w:val="32"/>
          <w:szCs w:val="32"/>
        </w:rPr>
      </w:pPr>
    </w:p>
    <w:p w14:paraId="591915C4">
      <w:pPr>
        <w:spacing w:line="480" w:lineRule="exact"/>
        <w:jc w:val="center"/>
        <w:rPr>
          <w:rFonts w:ascii="黑体" w:eastAsia="黑体"/>
          <w:sz w:val="32"/>
          <w:szCs w:val="32"/>
        </w:rPr>
      </w:pPr>
    </w:p>
    <w:p w14:paraId="2DADC286">
      <w:pPr>
        <w:spacing w:line="480" w:lineRule="exact"/>
        <w:jc w:val="center"/>
        <w:rPr>
          <w:rFonts w:ascii="黑体" w:eastAsia="黑体"/>
          <w:sz w:val="32"/>
          <w:szCs w:val="32"/>
        </w:rPr>
      </w:pPr>
    </w:p>
    <w:p w14:paraId="261A7781">
      <w:pPr>
        <w:spacing w:line="480" w:lineRule="exact"/>
        <w:jc w:val="center"/>
        <w:rPr>
          <w:rFonts w:ascii="黑体" w:eastAsia="黑体"/>
          <w:sz w:val="32"/>
          <w:szCs w:val="32"/>
        </w:rPr>
      </w:pPr>
    </w:p>
    <w:p w14:paraId="4D1063CA">
      <w:pPr>
        <w:spacing w:line="520" w:lineRule="exact"/>
        <w:rPr>
          <w:rFonts w:ascii="黑体" w:hAnsi="黑体" w:eastAsia="黑体" w:cs="黑体"/>
          <w:bCs/>
          <w:color w:val="000000"/>
          <w:kern w:val="0"/>
          <w:sz w:val="32"/>
          <w:szCs w:val="32"/>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6623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671563FC">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9B8121">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12</w:t>
    </w:r>
    <w:r>
      <w:fldChar w:fldCharType="end"/>
    </w:r>
  </w:p>
  <w:p w14:paraId="3B1DC2D5">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70D9C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7D8F3C26">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96E9D"/>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21A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029F3"/>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A4FE1"/>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985BB1"/>
    <w:rsid w:val="079004AC"/>
    <w:rsid w:val="0AF77343"/>
    <w:rsid w:val="0BA148CA"/>
    <w:rsid w:val="0BEA6572"/>
    <w:rsid w:val="0C1165C4"/>
    <w:rsid w:val="0D6D544B"/>
    <w:rsid w:val="0DD136FE"/>
    <w:rsid w:val="0E451EA1"/>
    <w:rsid w:val="0F542F2C"/>
    <w:rsid w:val="0F8E2C57"/>
    <w:rsid w:val="1059665E"/>
    <w:rsid w:val="10AC13BA"/>
    <w:rsid w:val="145A6C1B"/>
    <w:rsid w:val="14B73493"/>
    <w:rsid w:val="167A2FF9"/>
    <w:rsid w:val="171849FF"/>
    <w:rsid w:val="1764587C"/>
    <w:rsid w:val="185540E5"/>
    <w:rsid w:val="18581C69"/>
    <w:rsid w:val="1A0E09F0"/>
    <w:rsid w:val="1AEC0734"/>
    <w:rsid w:val="1DEF20B0"/>
    <w:rsid w:val="1F034470"/>
    <w:rsid w:val="1FF7AB17"/>
    <w:rsid w:val="214243FA"/>
    <w:rsid w:val="21AD613C"/>
    <w:rsid w:val="22467189"/>
    <w:rsid w:val="257A14F5"/>
    <w:rsid w:val="27196C26"/>
    <w:rsid w:val="27840543"/>
    <w:rsid w:val="29957C75"/>
    <w:rsid w:val="29EF086F"/>
    <w:rsid w:val="2BC34C59"/>
    <w:rsid w:val="2EFFE297"/>
    <w:rsid w:val="301437CA"/>
    <w:rsid w:val="349D1F0A"/>
    <w:rsid w:val="34DD0473"/>
    <w:rsid w:val="3A8E35DC"/>
    <w:rsid w:val="3C684897"/>
    <w:rsid w:val="3CBB3B19"/>
    <w:rsid w:val="3D900A16"/>
    <w:rsid w:val="433E495C"/>
    <w:rsid w:val="489F2FD7"/>
    <w:rsid w:val="4AC27CB3"/>
    <w:rsid w:val="4BAA4805"/>
    <w:rsid w:val="4BF72BEF"/>
    <w:rsid w:val="4C273F95"/>
    <w:rsid w:val="4FA90297"/>
    <w:rsid w:val="4FC41A43"/>
    <w:rsid w:val="515629DC"/>
    <w:rsid w:val="51DB3C59"/>
    <w:rsid w:val="550C0952"/>
    <w:rsid w:val="55762E42"/>
    <w:rsid w:val="57A7B272"/>
    <w:rsid w:val="58470068"/>
    <w:rsid w:val="58747CAC"/>
    <w:rsid w:val="5A1720F9"/>
    <w:rsid w:val="5AB41F84"/>
    <w:rsid w:val="5B8F7EAA"/>
    <w:rsid w:val="5B9C37C2"/>
    <w:rsid w:val="5BA7C654"/>
    <w:rsid w:val="5DF716AE"/>
    <w:rsid w:val="5EB724E2"/>
    <w:rsid w:val="5F9F507E"/>
    <w:rsid w:val="60A54109"/>
    <w:rsid w:val="61D01CDF"/>
    <w:rsid w:val="64C0607C"/>
    <w:rsid w:val="65756C86"/>
    <w:rsid w:val="674D385B"/>
    <w:rsid w:val="676F09E1"/>
    <w:rsid w:val="687130F4"/>
    <w:rsid w:val="6A5E5D0F"/>
    <w:rsid w:val="71691990"/>
    <w:rsid w:val="71793A80"/>
    <w:rsid w:val="7357290B"/>
    <w:rsid w:val="735F6D3B"/>
    <w:rsid w:val="756E3DEA"/>
    <w:rsid w:val="76FB1693"/>
    <w:rsid w:val="798524E4"/>
    <w:rsid w:val="7A7F1C49"/>
    <w:rsid w:val="7B5B7AE6"/>
    <w:rsid w:val="7B7B6628"/>
    <w:rsid w:val="7BA7071E"/>
    <w:rsid w:val="7BDF6DA8"/>
    <w:rsid w:val="7C7EDC1A"/>
    <w:rsid w:val="7CCED98D"/>
    <w:rsid w:val="7D08410F"/>
    <w:rsid w:val="7DB96DED"/>
    <w:rsid w:val="7DD3AD81"/>
    <w:rsid w:val="7DF4644C"/>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41"/>
    <w:basedOn w:val="11"/>
    <w:qFormat/>
    <w:uiPriority w:val="0"/>
    <w:rPr>
      <w:rFonts w:hint="eastAsia" w:ascii="宋体" w:hAnsi="宋体" w:eastAsia="宋体" w:cs="宋体"/>
      <w:color w:val="000000"/>
      <w:sz w:val="13"/>
      <w:szCs w:val="13"/>
      <w:u w:val="none"/>
    </w:rPr>
  </w:style>
  <w:style w:type="character" w:customStyle="1" w:styleId="21">
    <w:name w:val="font31"/>
    <w:basedOn w:val="11"/>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2993.58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zero"/>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1661.73</c:v>
                </c:pt>
                <c:pt idx="1">
                  <c:v>1426.47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zero"/>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3811</Words>
  <Characters>4309</Characters>
  <Lines>31</Lines>
  <Paragraphs>8</Paragraphs>
  <TotalTime>0</TotalTime>
  <ScaleCrop>false</ScaleCrop>
  <LinksUpToDate>false</LinksUpToDate>
  <CharactersWithSpaces>4364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梁✨</cp:lastModifiedBy>
  <cp:lastPrinted>2020-08-09T03:39:00Z</cp:lastPrinted>
  <dcterms:modified xsi:type="dcterms:W3CDTF">2025-09-26T07:55:34Z</dcterms:modified>
  <dc:title>北京市财政局关于做好向市人大常委会报送2015年度市级部门决算（草案）</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eyJoZGlkIjoiYTJkNDUxZTRhYmE5ZjlkMmI1NWQ5MzhlZDZkNDg5ZjQiLCJ1c2VySWQiOiI1ODI4NjU0ODgifQ==</vt:lpwstr>
  </property>
</Properties>
</file>