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A3466D" w:rsidTr="0057096E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3466D" w:rsidRDefault="00A3466D" w:rsidP="0057096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 w:rsidR="00A3466D" w:rsidRDefault="00A3466D" w:rsidP="0057096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A3466D" w:rsidTr="0057096E">
        <w:trPr>
          <w:trHeight w:hRule="exact" w:val="537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物业管理-3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</w:tr>
      <w:tr w:rsidR="00A3466D" w:rsidTr="0057096E">
        <w:trPr>
          <w:trHeight w:hRule="exact" w:val="68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040-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大兴区瀛海镇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第一中心幼儿园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864000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864000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863028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99.89%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864000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864000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863028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72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719B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中央直达资金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3466D" w:rsidTr="0057096E">
        <w:trPr>
          <w:trHeight w:hRule="exact" w:val="138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2023年保安经费，以较少的人力物力投入，取得最大效益为原则。12名保安人员负责各园址安全，保证全天在岗。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12名保安坚守岗位，认真履行职责，保证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了师幼安全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，及正常的驾驭教学开展。</w:t>
            </w:r>
          </w:p>
        </w:tc>
      </w:tr>
      <w:tr w:rsidR="00A3466D" w:rsidTr="0057096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指标1：保安人数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5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指标1：保安队伍稳定性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指标1：按实结算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指标1：人均成本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48000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47946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5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指标1：维护校园安全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4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师幼家长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A3466D" w:rsidRDefault="00A3466D" w:rsidP="00A3466D"/>
    <w:p w:rsidR="00A3466D" w:rsidRDefault="00A3466D" w:rsidP="00A3466D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928"/>
      </w:tblGrid>
      <w:tr w:rsidR="00A3466D" w:rsidTr="0057096E">
        <w:trPr>
          <w:trHeight w:hRule="exact" w:val="440"/>
          <w:jc w:val="center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tblpXSpec="center" w:tblpY="1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78"/>
              <w:gridCol w:w="963"/>
              <w:gridCol w:w="1092"/>
              <w:gridCol w:w="718"/>
              <w:gridCol w:w="1114"/>
              <w:gridCol w:w="279"/>
              <w:gridCol w:w="839"/>
              <w:gridCol w:w="1094"/>
              <w:gridCol w:w="127"/>
              <w:gridCol w:w="298"/>
              <w:gridCol w:w="291"/>
              <w:gridCol w:w="134"/>
              <w:gridCol w:w="702"/>
              <w:gridCol w:w="699"/>
            </w:tblGrid>
            <w:tr w:rsidR="00A3466D" w:rsidRPr="00E82729" w:rsidTr="0057096E">
              <w:trPr>
                <w:trHeight w:val="194"/>
              </w:trPr>
              <w:tc>
                <w:tcPr>
                  <w:tcW w:w="8928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466D" w:rsidRPr="00E82729" w:rsidRDefault="00A3466D" w:rsidP="0057096E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2"/>
                    </w:rPr>
                  </w:pPr>
                </w:p>
                <w:p w:rsidR="00A3466D" w:rsidRPr="00E82729" w:rsidRDefault="00A3466D" w:rsidP="0057096E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kern w:val="0"/>
                      <w:sz w:val="28"/>
                      <w:szCs w:val="28"/>
                    </w:rPr>
                  </w:pPr>
                </w:p>
                <w:p w:rsidR="00A3466D" w:rsidRPr="00E82729" w:rsidRDefault="00A3466D" w:rsidP="0057096E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kern w:val="0"/>
                      <w:sz w:val="28"/>
                      <w:szCs w:val="28"/>
                    </w:rPr>
                  </w:pPr>
                </w:p>
                <w:p w:rsidR="00A3466D" w:rsidRPr="00E82729" w:rsidRDefault="00A3466D" w:rsidP="0057096E">
                  <w:pPr>
                    <w:widowControl/>
                    <w:ind w:firstLineChars="1200" w:firstLine="3373"/>
                    <w:rPr>
                      <w:rFonts w:ascii="宋体" w:hAnsi="宋体" w:cs="宋体"/>
                      <w:kern w:val="0"/>
                      <w:sz w:val="22"/>
                    </w:rPr>
                  </w:pPr>
                  <w:r w:rsidRPr="00E82729">
                    <w:rPr>
                      <w:rFonts w:ascii="宋体" w:hAnsi="宋体" w:cs="宋体" w:hint="eastAsia"/>
                      <w:b/>
                      <w:bCs/>
                      <w:kern w:val="0"/>
                      <w:sz w:val="28"/>
                      <w:szCs w:val="28"/>
                    </w:rPr>
                    <w:t>项目支出绩效自评表</w:t>
                  </w:r>
                </w:p>
                <w:p w:rsidR="00A3466D" w:rsidRPr="00E82729" w:rsidRDefault="00A3466D" w:rsidP="0057096E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2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22"/>
                    </w:rPr>
                    <w:t>（2024年度）</w:t>
                  </w:r>
                </w:p>
              </w:tc>
            </w:tr>
            <w:tr w:rsidR="00A3466D" w:rsidRPr="00E82729" w:rsidTr="0057096E">
              <w:trPr>
                <w:trHeight w:hRule="exact" w:val="537"/>
              </w:trPr>
              <w:tc>
                <w:tcPr>
                  <w:tcW w:w="15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7387" w:type="dxa"/>
                  <w:gridSpan w:val="1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  <w:highlight w:val="yellow"/>
                    </w:rPr>
                    <w:t>2024年临时辅助用工项目经费-瀛海</w:t>
                  </w:r>
                  <w:proofErr w:type="gramStart"/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  <w:highlight w:val="yellow"/>
                    </w:rPr>
                    <w:t>一</w:t>
                  </w:r>
                  <w:proofErr w:type="gramEnd"/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  <w:highlight w:val="yellow"/>
                    </w:rPr>
                    <w:t>幼</w:t>
                  </w:r>
                </w:p>
              </w:tc>
            </w:tr>
            <w:tr w:rsidR="00A3466D" w:rsidRPr="00E82729" w:rsidTr="0057096E">
              <w:trPr>
                <w:trHeight w:hRule="exact" w:val="811"/>
              </w:trPr>
              <w:tc>
                <w:tcPr>
                  <w:tcW w:w="15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042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jc w:val="center"/>
                    <w:rPr>
                      <w:rFonts w:ascii="等线" w:eastAsia="等线" w:hAnsi="宋体" w:cs="宋体"/>
                      <w:color w:val="000000"/>
                      <w:sz w:val="18"/>
                      <w:szCs w:val="18"/>
                    </w:rPr>
                  </w:pPr>
                  <w:r w:rsidRPr="00E82729">
                    <w:rPr>
                      <w:rFonts w:ascii="等线" w:eastAsia="等线" w:hint="eastAsia"/>
                      <w:color w:val="000000"/>
                      <w:sz w:val="18"/>
                      <w:szCs w:val="18"/>
                    </w:rPr>
                    <w:t>040-</w:t>
                  </w:r>
                  <w:proofErr w:type="gramStart"/>
                  <w:r w:rsidRPr="00E82729">
                    <w:rPr>
                      <w:rFonts w:ascii="等线" w:eastAsia="等线" w:hint="eastAsia"/>
                      <w:color w:val="000000"/>
                      <w:sz w:val="18"/>
                      <w:szCs w:val="18"/>
                    </w:rPr>
                    <w:t>大兴区</w:t>
                  </w:r>
                  <w:proofErr w:type="gramEnd"/>
                  <w:r w:rsidRPr="00E82729">
                    <w:rPr>
                      <w:rFonts w:ascii="等线" w:eastAsia="等线" w:hint="eastAsia"/>
                      <w:color w:val="000000"/>
                      <w:sz w:val="18"/>
                      <w:szCs w:val="18"/>
                    </w:rPr>
                    <w:t>教育委员会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实施单位</w:t>
                  </w:r>
                </w:p>
              </w:tc>
              <w:tc>
                <w:tcPr>
                  <w:tcW w:w="212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北京市</w:t>
                  </w:r>
                  <w:proofErr w:type="gramStart"/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大兴区瀛海镇</w:t>
                  </w:r>
                  <w:proofErr w:type="gramEnd"/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第一中心幼儿园</w:t>
                  </w: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15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项目</w:t>
                  </w:r>
                  <w:r w:rsidRPr="00E82729"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  <w:t>负责人</w:t>
                  </w:r>
                </w:p>
              </w:tc>
              <w:tc>
                <w:tcPr>
                  <w:tcW w:w="4042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proofErr w:type="gramStart"/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赵书臣</w:t>
                  </w:r>
                  <w:proofErr w:type="gramEnd"/>
                </w:p>
              </w:tc>
              <w:tc>
                <w:tcPr>
                  <w:tcW w:w="12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  <w:t>联系电话</w:t>
                  </w:r>
                </w:p>
              </w:tc>
              <w:tc>
                <w:tcPr>
                  <w:tcW w:w="212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jc w:val="center"/>
                    <w:rPr>
                      <w:rFonts w:ascii="等线" w:eastAsia="等线" w:hAnsi="宋体" w:cs="宋体"/>
                      <w:color w:val="000000"/>
                      <w:sz w:val="18"/>
                      <w:szCs w:val="18"/>
                    </w:rPr>
                  </w:pPr>
                  <w:r w:rsidRPr="00E82729">
                    <w:rPr>
                      <w:rFonts w:ascii="等线" w:eastAsia="等线" w:hint="eastAsia"/>
                      <w:color w:val="000000"/>
                      <w:sz w:val="18"/>
                      <w:szCs w:val="18"/>
                    </w:rPr>
                    <w:t>13621397210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154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项目资金</w:t>
                  </w: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br/>
                    <w:t>（万元）</w:t>
                  </w:r>
                </w:p>
              </w:tc>
              <w:tc>
                <w:tcPr>
                  <w:tcW w:w="181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年初预算</w:t>
                  </w:r>
                </w:p>
              </w:tc>
              <w:tc>
                <w:tcPr>
                  <w:tcW w:w="1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全年预算数</w:t>
                  </w:r>
                </w:p>
              </w:tc>
              <w:tc>
                <w:tcPr>
                  <w:tcW w:w="12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全年执行数</w:t>
                  </w:r>
                </w:p>
              </w:tc>
              <w:tc>
                <w:tcPr>
                  <w:tcW w:w="5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分值</w:t>
                  </w:r>
                </w:p>
              </w:tc>
              <w:tc>
                <w:tcPr>
                  <w:tcW w:w="8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执行率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得分</w:t>
                  </w:r>
                </w:p>
              </w:tc>
            </w:tr>
            <w:tr w:rsidR="00A3466D" w:rsidRPr="00E82729" w:rsidTr="0057096E">
              <w:trPr>
                <w:trHeight w:hRule="exact" w:val="373"/>
              </w:trPr>
              <w:tc>
                <w:tcPr>
                  <w:tcW w:w="154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7186935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7186935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7075024.72</w:t>
                  </w:r>
                </w:p>
              </w:tc>
              <w:tc>
                <w:tcPr>
                  <w:tcW w:w="5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95.37%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</w:tr>
            <w:tr w:rsidR="00A3466D" w:rsidRPr="00E82729" w:rsidTr="0057096E">
              <w:trPr>
                <w:trHeight w:hRule="exact" w:val="370"/>
              </w:trPr>
              <w:tc>
                <w:tcPr>
                  <w:tcW w:w="154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其中：当年财政拨款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7186935</w:t>
                  </w:r>
                </w:p>
                <w:p w:rsidR="00A3466D" w:rsidRPr="00E82729" w:rsidRDefault="00A3466D" w:rsidP="0057096E">
                  <w:pPr>
                    <w:jc w:val="center"/>
                    <w:rPr>
                      <w:rFonts w:ascii="等线" w:eastAsia="等线" w:hAnsi="宋体" w:cs="宋体"/>
                      <w:color w:val="000000"/>
                      <w:sz w:val="18"/>
                      <w:szCs w:val="18"/>
                    </w:rPr>
                  </w:pP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7186935</w:t>
                  </w:r>
                </w:p>
                <w:p w:rsidR="00A3466D" w:rsidRPr="00E82729" w:rsidRDefault="00A3466D" w:rsidP="0057096E">
                  <w:pPr>
                    <w:jc w:val="center"/>
                    <w:rPr>
                      <w:rFonts w:ascii="等线" w:eastAsia="等线" w:hAnsi="宋体" w:cs="宋体"/>
                      <w:color w:val="000000"/>
                      <w:sz w:val="18"/>
                      <w:szCs w:val="18"/>
                    </w:rPr>
                  </w:pP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7075024.72</w:t>
                  </w:r>
                </w:p>
              </w:tc>
              <w:tc>
                <w:tcPr>
                  <w:tcW w:w="5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95.37%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—</w:t>
                  </w:r>
                </w:p>
              </w:tc>
            </w:tr>
            <w:tr w:rsidR="00A3466D" w:rsidRPr="00E82729" w:rsidTr="0057096E">
              <w:trPr>
                <w:trHeight w:hRule="exact" w:val="272"/>
              </w:trPr>
              <w:tc>
                <w:tcPr>
                  <w:tcW w:w="154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 xml:space="preserve">     上年结转资金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—</w:t>
                  </w: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154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 xml:space="preserve">  其他资金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—</w:t>
                  </w: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154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b/>
                      <w:bCs/>
                      <w:kern w:val="0"/>
                      <w:sz w:val="13"/>
                      <w:szCs w:val="13"/>
                    </w:rPr>
                    <w:t>中央直达资金</w:t>
                  </w:r>
                  <w:r w:rsidRPr="00E82729">
                    <w:rPr>
                      <w:rFonts w:ascii="宋体" w:hAnsi="宋体" w:cs="宋体" w:hint="eastAsia"/>
                      <w:kern w:val="0"/>
                      <w:sz w:val="13"/>
                      <w:szCs w:val="13"/>
                    </w:rPr>
                    <w:t xml:space="preserve"> 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—</w:t>
                  </w: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年度总体目标</w:t>
                  </w:r>
                </w:p>
              </w:tc>
              <w:tc>
                <w:tcPr>
                  <w:tcW w:w="5005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预期目标</w:t>
                  </w:r>
                </w:p>
              </w:tc>
              <w:tc>
                <w:tcPr>
                  <w:tcW w:w="3345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实际完成情况</w:t>
                  </w:r>
                </w:p>
              </w:tc>
            </w:tr>
            <w:tr w:rsidR="00A3466D" w:rsidRPr="00E82729" w:rsidTr="0057096E">
              <w:trPr>
                <w:trHeight w:hRule="exact" w:val="1771"/>
              </w:trPr>
              <w:tc>
                <w:tcPr>
                  <w:tcW w:w="57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005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本项目资金主要用于临时辅助用工的工资、社保、住房公积金等支出。确保我园工作有效运转，促进临时辅助用工按标准配备，保障园所教育教学正常有序开展，提升我园办学水平，改善办学条件，推动教师保教水平的提高，提高临时辅助用工的工作积极性和稳定性。维护行业安全健康发展和首都的安全稳定，保障在校学生安全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345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我园的工作有效运转，临时辅助用工按标准配备，保障了园所教育教学正常有序开展，提升了我园办学水平，改善办学条件，推动了教师保教水平的提高，提高了临时辅助用工的工作积极性和稳定性。维护行业安全健康发展和首都的安全稳定，保障了在校学生安全</w:t>
                  </w:r>
                </w:p>
              </w:tc>
            </w:tr>
            <w:tr w:rsidR="00A3466D" w:rsidRPr="00E82729" w:rsidTr="0057096E">
              <w:trPr>
                <w:trHeight w:hRule="exact" w:val="517"/>
              </w:trPr>
              <w:tc>
                <w:tcPr>
                  <w:tcW w:w="57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绩</w:t>
                  </w: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br/>
                    <w:t>效</w:t>
                  </w: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br/>
                    <w:t>指</w:t>
                  </w: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br/>
                    <w:t>标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一级指标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年度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实际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完成值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分值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得分</w:t>
                  </w: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偏差原因分析及改进措施</w:t>
                  </w: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产出指标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（50分）</w:t>
                  </w:r>
                </w:p>
              </w:tc>
              <w:tc>
                <w:tcPr>
                  <w:tcW w:w="10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指标1：保障人数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指标2：服务期限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507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指标1：严格按照合同执行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优良以上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ind w:firstLineChars="100" w:firstLine="180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优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3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570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指标1：按月拨付劳务派遣公司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544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 w:rsidRPr="00E82729"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708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效益指标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（30分）</w:t>
                  </w:r>
                </w:p>
              </w:tc>
              <w:tc>
                <w:tcPr>
                  <w:tcW w:w="10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经济效益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指标1：经费预算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≤7186935元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7075024.72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53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社会效益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指标1：教育教学正常开展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优良以上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ind w:firstLineChars="100" w:firstLine="180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优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生态效益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3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429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满意度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指标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（10分）</w:t>
                  </w:r>
                </w:p>
              </w:tc>
              <w:tc>
                <w:tcPr>
                  <w:tcW w:w="10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指标1：园所对工作人员满意度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≥</w:t>
                  </w:r>
                  <w:r w:rsidRPr="00E82729"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  <w:t>90</w:t>
                  </w: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0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≥</w:t>
                  </w:r>
                  <w:r w:rsidRPr="00E82729"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  <w:t>90</w:t>
                  </w: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667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总分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98</w:t>
                  </w:r>
                </w:p>
              </w:tc>
              <w:tc>
                <w:tcPr>
                  <w:tcW w:w="14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3466D" w:rsidRDefault="00A3466D" w:rsidP="0057096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 w:rsidR="00A3466D" w:rsidTr="0057096E">
        <w:trPr>
          <w:trHeight w:val="8221"/>
          <w:jc w:val="center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tblpXSpec="center" w:tblpY="1"/>
              <w:tblOverlap w:val="never"/>
              <w:tblW w:w="8928" w:type="dxa"/>
              <w:tblLayout w:type="fixed"/>
              <w:tblLook w:val="0000" w:firstRow="0" w:lastRow="0" w:firstColumn="0" w:lastColumn="0" w:noHBand="0" w:noVBand="0"/>
            </w:tblPr>
            <w:tblGrid>
              <w:gridCol w:w="578"/>
              <w:gridCol w:w="963"/>
              <w:gridCol w:w="1092"/>
              <w:gridCol w:w="718"/>
              <w:gridCol w:w="1114"/>
              <w:gridCol w:w="279"/>
              <w:gridCol w:w="839"/>
              <w:gridCol w:w="1094"/>
              <w:gridCol w:w="127"/>
              <w:gridCol w:w="426"/>
              <w:gridCol w:w="425"/>
              <w:gridCol w:w="574"/>
              <w:gridCol w:w="699"/>
            </w:tblGrid>
            <w:tr w:rsidR="00A3466D" w:rsidRPr="00E82729" w:rsidTr="0057096E">
              <w:trPr>
                <w:trHeight w:val="194"/>
              </w:trPr>
              <w:tc>
                <w:tcPr>
                  <w:tcW w:w="8928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466D" w:rsidRPr="00E82729" w:rsidRDefault="00A3466D" w:rsidP="0057096E">
                  <w:pPr>
                    <w:widowControl/>
                    <w:rPr>
                      <w:rFonts w:ascii="宋体" w:hAnsi="宋体" w:cs="宋体"/>
                      <w:kern w:val="0"/>
                      <w:sz w:val="22"/>
                    </w:rPr>
                  </w:pPr>
                </w:p>
                <w:p w:rsidR="00A3466D" w:rsidRDefault="00A3466D" w:rsidP="0057096E">
                  <w:pPr>
                    <w:widowControl/>
                    <w:ind w:firstLineChars="1200" w:firstLine="3373"/>
                    <w:rPr>
                      <w:rFonts w:ascii="宋体" w:hAnsi="宋体" w:cs="宋体"/>
                      <w:b/>
                      <w:bCs/>
                      <w:kern w:val="0"/>
                      <w:sz w:val="28"/>
                      <w:szCs w:val="28"/>
                    </w:rPr>
                  </w:pPr>
                </w:p>
                <w:p w:rsidR="00A3466D" w:rsidRPr="00E82729" w:rsidRDefault="00A3466D" w:rsidP="0057096E">
                  <w:pPr>
                    <w:widowControl/>
                    <w:ind w:firstLineChars="1200" w:firstLine="3373"/>
                    <w:rPr>
                      <w:rFonts w:ascii="宋体" w:hAnsi="宋体" w:cs="宋体"/>
                      <w:kern w:val="0"/>
                      <w:sz w:val="22"/>
                    </w:rPr>
                  </w:pPr>
                  <w:r w:rsidRPr="00E82729">
                    <w:rPr>
                      <w:rFonts w:ascii="宋体" w:hAnsi="宋体" w:cs="宋体" w:hint="eastAsia"/>
                      <w:b/>
                      <w:bCs/>
                      <w:kern w:val="0"/>
                      <w:sz w:val="28"/>
                      <w:szCs w:val="28"/>
                    </w:rPr>
                    <w:t>项目支出绩效自评表</w:t>
                  </w:r>
                </w:p>
                <w:p w:rsidR="00A3466D" w:rsidRPr="00E82729" w:rsidRDefault="00A3466D" w:rsidP="0057096E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2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22"/>
                    </w:rPr>
                    <w:t>（2024年度）</w:t>
                  </w:r>
                </w:p>
              </w:tc>
            </w:tr>
            <w:tr w:rsidR="00A3466D" w:rsidRPr="00E82729" w:rsidTr="0057096E">
              <w:trPr>
                <w:trHeight w:hRule="exact" w:val="537"/>
              </w:trPr>
              <w:tc>
                <w:tcPr>
                  <w:tcW w:w="15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7387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294EFE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2024年临时辅助用工项目经费-瀛海</w:t>
                  </w:r>
                  <w:proofErr w:type="gramStart"/>
                  <w:r w:rsidRPr="00294EFE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一</w:t>
                  </w:r>
                  <w:proofErr w:type="gramEnd"/>
                  <w:r w:rsidRPr="00294EFE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幼</w:t>
                  </w:r>
                </w:p>
              </w:tc>
            </w:tr>
            <w:tr w:rsidR="00A3466D" w:rsidRPr="00E82729" w:rsidTr="0057096E">
              <w:trPr>
                <w:trHeight w:hRule="exact" w:val="717"/>
              </w:trPr>
              <w:tc>
                <w:tcPr>
                  <w:tcW w:w="15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042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294EFE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040-</w:t>
                  </w:r>
                  <w:proofErr w:type="gramStart"/>
                  <w:r w:rsidRPr="00294EFE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大兴区</w:t>
                  </w:r>
                  <w:proofErr w:type="gramEnd"/>
                  <w:r w:rsidRPr="00294EFE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教育委员会</w:t>
                  </w:r>
                </w:p>
              </w:tc>
              <w:tc>
                <w:tcPr>
                  <w:tcW w:w="12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实施单位</w:t>
                  </w:r>
                </w:p>
              </w:tc>
              <w:tc>
                <w:tcPr>
                  <w:tcW w:w="2124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北京市</w:t>
                  </w:r>
                  <w:proofErr w:type="gramStart"/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大兴区瀛海镇</w:t>
                  </w:r>
                  <w:proofErr w:type="gramEnd"/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第一中心幼儿园</w:t>
                  </w: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154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项目资金</w:t>
                  </w: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br/>
                    <w:t>（万元）</w:t>
                  </w:r>
                </w:p>
              </w:tc>
              <w:tc>
                <w:tcPr>
                  <w:tcW w:w="181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年初预算</w:t>
                  </w:r>
                </w:p>
              </w:tc>
              <w:tc>
                <w:tcPr>
                  <w:tcW w:w="1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全年预算数</w:t>
                  </w:r>
                </w:p>
              </w:tc>
              <w:tc>
                <w:tcPr>
                  <w:tcW w:w="12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全年执行数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分值</w:t>
                  </w: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执行率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得分</w:t>
                  </w:r>
                </w:p>
              </w:tc>
            </w:tr>
            <w:tr w:rsidR="00A3466D" w:rsidRPr="00E82729" w:rsidTr="0057096E">
              <w:trPr>
                <w:trHeight w:hRule="exact" w:val="373"/>
              </w:trPr>
              <w:tc>
                <w:tcPr>
                  <w:tcW w:w="154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7186935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7186935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7075024.72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95.37%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8</w:t>
                  </w:r>
                </w:p>
              </w:tc>
            </w:tr>
            <w:tr w:rsidR="00A3466D" w:rsidRPr="00E82729" w:rsidTr="0057096E">
              <w:trPr>
                <w:trHeight w:hRule="exact" w:val="370"/>
              </w:trPr>
              <w:tc>
                <w:tcPr>
                  <w:tcW w:w="154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其中：当年财政拨款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7186935</w:t>
                  </w:r>
                </w:p>
                <w:p w:rsidR="00A3466D" w:rsidRPr="00E82729" w:rsidRDefault="00A3466D" w:rsidP="0057096E">
                  <w:pPr>
                    <w:jc w:val="center"/>
                    <w:rPr>
                      <w:rFonts w:ascii="等线" w:eastAsia="等线" w:hAnsi="宋体" w:cs="宋体"/>
                      <w:color w:val="000000"/>
                      <w:sz w:val="18"/>
                      <w:szCs w:val="18"/>
                    </w:rPr>
                  </w:pP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7186935</w:t>
                  </w:r>
                </w:p>
                <w:p w:rsidR="00A3466D" w:rsidRPr="00E82729" w:rsidRDefault="00A3466D" w:rsidP="0057096E">
                  <w:pPr>
                    <w:jc w:val="center"/>
                    <w:rPr>
                      <w:rFonts w:ascii="等线" w:eastAsia="等线" w:hAnsi="宋体" w:cs="宋体"/>
                      <w:color w:val="000000"/>
                      <w:sz w:val="18"/>
                      <w:szCs w:val="18"/>
                    </w:rPr>
                  </w:pP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7075024.72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—</w:t>
                  </w: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95.37%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—</w:t>
                  </w:r>
                </w:p>
              </w:tc>
            </w:tr>
            <w:tr w:rsidR="00A3466D" w:rsidRPr="00E82729" w:rsidTr="0057096E">
              <w:trPr>
                <w:trHeight w:hRule="exact" w:val="272"/>
              </w:trPr>
              <w:tc>
                <w:tcPr>
                  <w:tcW w:w="154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 xml:space="preserve">     上年结转资金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—</w:t>
                  </w: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—</w:t>
                  </w: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154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 xml:space="preserve">  其他资金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—</w:t>
                  </w: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—</w:t>
                  </w: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154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ind w:firstLineChars="200" w:firstLine="360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3719BA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中央直达资金</w:t>
                  </w:r>
                  <w:r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—</w:t>
                  </w: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—</w:t>
                  </w: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年度总体目标</w:t>
                  </w:r>
                </w:p>
              </w:tc>
              <w:tc>
                <w:tcPr>
                  <w:tcW w:w="5005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预期目标</w:t>
                  </w:r>
                </w:p>
              </w:tc>
              <w:tc>
                <w:tcPr>
                  <w:tcW w:w="3345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实际完成情况</w:t>
                  </w:r>
                </w:p>
              </w:tc>
            </w:tr>
            <w:tr w:rsidR="00A3466D" w:rsidRPr="00E82729" w:rsidTr="0057096E">
              <w:trPr>
                <w:trHeight w:hRule="exact" w:val="1771"/>
              </w:trPr>
              <w:tc>
                <w:tcPr>
                  <w:tcW w:w="57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005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本项目资金主要用于临时辅助用工的工资、社保、住房公积金等支出。确保我园工作有效运转，促进临时辅助用工按标准配备，保障园所教育教学正常有序开展，提升我园办学水平，改善办学条件，推动教师保教水平的提高，提高临时辅助用工的工作积极性和稳定性。维护行业安全健康发展和首都的安全稳定，保障在校学生安全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345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我园的工作有效运转，临时辅助用工按标准配备，保障了园所教育教学正常有序开展，提升了我园办学水平，改善办学条件，推动了教师保教水平的提高，提高了临时辅助用工的工作积极性和稳定性。维护行业安全健康发展和首都的安全稳定，保障了在校学生安全</w:t>
                  </w:r>
                </w:p>
              </w:tc>
            </w:tr>
            <w:tr w:rsidR="00A3466D" w:rsidRPr="00E82729" w:rsidTr="0057096E">
              <w:trPr>
                <w:trHeight w:hRule="exact" w:val="517"/>
              </w:trPr>
              <w:tc>
                <w:tcPr>
                  <w:tcW w:w="57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绩</w:t>
                  </w: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br/>
                    <w:t>效</w:t>
                  </w: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br/>
                    <w:t>指</w:t>
                  </w: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br/>
                    <w:t>标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一级指标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年度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实际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完成值</w:t>
                  </w: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分值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得分</w:t>
                  </w: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偏差原因分析及改进措施</w:t>
                  </w: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产出指标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（50分）</w:t>
                  </w:r>
                </w:p>
              </w:tc>
              <w:tc>
                <w:tcPr>
                  <w:tcW w:w="10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指标1：保障人数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指标2：服务期限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507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指标1：严格按照合同执行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优良以上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ind w:firstLineChars="100" w:firstLine="180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优</w:t>
                  </w: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3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570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指标1：按月拨付劳务派遣公司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544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 w:rsidRPr="00E82729"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708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效益指标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（30分）</w:t>
                  </w:r>
                </w:p>
              </w:tc>
              <w:tc>
                <w:tcPr>
                  <w:tcW w:w="10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经济效益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指标1：经费预算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≤7186935元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7075024.72</w:t>
                  </w: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53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社会效益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指标1：教育教学正常开展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优良以上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ind w:firstLineChars="100" w:firstLine="180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优</w:t>
                  </w: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生态效益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3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429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满意度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指标</w:t>
                  </w:r>
                </w:p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（10分）</w:t>
                  </w:r>
                </w:p>
              </w:tc>
              <w:tc>
                <w:tcPr>
                  <w:tcW w:w="10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指标1：园所对工作人员满意度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≥</w:t>
                  </w:r>
                  <w:r w:rsidRPr="00E82729"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  <w:t>90</w:t>
                  </w: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0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≥</w:t>
                  </w:r>
                  <w:r w:rsidRPr="00E82729"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  <w:t>90</w:t>
                  </w: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5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57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……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A3466D" w:rsidRPr="00E82729" w:rsidTr="0057096E">
              <w:trPr>
                <w:trHeight w:hRule="exact" w:val="291"/>
              </w:trPr>
              <w:tc>
                <w:tcPr>
                  <w:tcW w:w="667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总分</w:t>
                  </w:r>
                </w:p>
              </w:tc>
              <w:tc>
                <w:tcPr>
                  <w:tcW w:w="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E82729"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98</w:t>
                  </w:r>
                </w:p>
              </w:tc>
              <w:tc>
                <w:tcPr>
                  <w:tcW w:w="12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466D" w:rsidRPr="00E82729" w:rsidRDefault="00A3466D" w:rsidP="0057096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3466D" w:rsidRDefault="00A3466D" w:rsidP="0057096E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</w:p>
        </w:tc>
      </w:tr>
    </w:tbl>
    <w:p w:rsidR="00A3466D" w:rsidRDefault="00A3466D" w:rsidP="00A3466D"/>
    <w:p w:rsidR="00A3466D" w:rsidRDefault="00A3466D" w:rsidP="00A3466D"/>
    <w:p w:rsidR="00A3466D" w:rsidRDefault="00A3466D" w:rsidP="00A3466D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092"/>
        <w:gridCol w:w="718"/>
        <w:gridCol w:w="1199"/>
        <w:gridCol w:w="194"/>
        <w:gridCol w:w="940"/>
        <w:gridCol w:w="993"/>
        <w:gridCol w:w="398"/>
        <w:gridCol w:w="159"/>
        <w:gridCol w:w="416"/>
        <w:gridCol w:w="141"/>
        <w:gridCol w:w="695"/>
        <w:gridCol w:w="699"/>
      </w:tblGrid>
      <w:tr w:rsidR="00A3466D" w:rsidTr="0057096E">
        <w:trPr>
          <w:trHeight w:val="194"/>
          <w:jc w:val="center"/>
        </w:trPr>
        <w:tc>
          <w:tcPr>
            <w:tcW w:w="918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3466D" w:rsidRDefault="00A3466D" w:rsidP="0057096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项目支出绩效自评表</w:t>
            </w:r>
          </w:p>
          <w:p w:rsidR="00A3466D" w:rsidRDefault="00A3466D" w:rsidP="0057096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一般因素法-2024年瀛海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幼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南苑区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玩具购置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</w:tr>
      <w:tr w:rsidR="00A3466D" w:rsidTr="0057096E">
        <w:trPr>
          <w:trHeight w:hRule="exact" w:val="615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040-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大兴区瀛海镇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第一中心幼儿园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3466D" w:rsidTr="0057096E">
        <w:trPr>
          <w:trHeight w:hRule="exact" w:val="293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300000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  <w:t xml:space="preserve">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300000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  <w:t xml:space="preserve">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284350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94.78%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300000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  <w:t xml:space="preserve">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300000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  <w:t xml:space="preserve">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284350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72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ind w:firstLineChars="200"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719BA">
              <w:rPr>
                <w:rFonts w:ascii="宋体" w:hAnsi="宋体" w:cs="宋体" w:hint="eastAsia"/>
                <w:kern w:val="0"/>
                <w:sz w:val="18"/>
                <w:szCs w:val="18"/>
              </w:rPr>
              <w:t>中央直达资金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3466D" w:rsidTr="0057096E">
        <w:trPr>
          <w:trHeight w:hRule="exact" w:val="99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96728"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 w:rsidRPr="00096728">
              <w:rPr>
                <w:rFonts w:ascii="宋体" w:hAnsi="宋体" w:cs="宋体" w:hint="eastAsia"/>
                <w:kern w:val="0"/>
                <w:sz w:val="18"/>
                <w:szCs w:val="18"/>
              </w:rPr>
              <w:t>大兴区瀛海镇</w:t>
            </w:r>
            <w:proofErr w:type="gramEnd"/>
            <w:r w:rsidRPr="00096728">
              <w:rPr>
                <w:rFonts w:ascii="宋体" w:hAnsi="宋体" w:cs="宋体" w:hint="eastAsia"/>
                <w:kern w:val="0"/>
                <w:sz w:val="18"/>
                <w:szCs w:val="18"/>
              </w:rPr>
              <w:t>第一中心幼儿园</w:t>
            </w:r>
            <w:proofErr w:type="gramStart"/>
            <w:r w:rsidRPr="00096728">
              <w:rPr>
                <w:rFonts w:ascii="宋体" w:hAnsi="宋体" w:cs="宋体" w:hint="eastAsia"/>
                <w:kern w:val="0"/>
                <w:sz w:val="18"/>
                <w:szCs w:val="18"/>
              </w:rPr>
              <w:t>南苑区</w:t>
            </w:r>
            <w:proofErr w:type="gramEnd"/>
            <w:r w:rsidRPr="00096728">
              <w:rPr>
                <w:rFonts w:ascii="宋体" w:hAnsi="宋体" w:cs="宋体" w:hint="eastAsia"/>
                <w:kern w:val="0"/>
                <w:sz w:val="18"/>
                <w:szCs w:val="18"/>
              </w:rPr>
              <w:t>于2023年9月开园办学，按照5个班进行建设。2024年9月预计新增教学班级3个，特此申请新增3个班级玩具。玩具包括建筑区、运动区、</w:t>
            </w:r>
            <w:proofErr w:type="gramStart"/>
            <w:r w:rsidRPr="00096728">
              <w:rPr>
                <w:rFonts w:ascii="宋体" w:hAnsi="宋体" w:cs="宋体" w:hint="eastAsia"/>
                <w:kern w:val="0"/>
                <w:sz w:val="18"/>
                <w:szCs w:val="18"/>
              </w:rPr>
              <w:t>科学区</w:t>
            </w:r>
            <w:proofErr w:type="gramEnd"/>
            <w:r w:rsidRPr="00096728">
              <w:rPr>
                <w:rFonts w:ascii="宋体" w:hAnsi="宋体" w:cs="宋体" w:hint="eastAsia"/>
                <w:kern w:val="0"/>
                <w:sz w:val="18"/>
                <w:szCs w:val="18"/>
              </w:rPr>
              <w:t>等共计142件套。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96728"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 w:rsidRPr="00096728">
              <w:rPr>
                <w:rFonts w:ascii="宋体" w:hAnsi="宋体" w:cs="宋体" w:hint="eastAsia"/>
                <w:kern w:val="0"/>
                <w:sz w:val="18"/>
                <w:szCs w:val="18"/>
              </w:rPr>
              <w:t>大兴区瀛海镇</w:t>
            </w:r>
            <w:proofErr w:type="gramEnd"/>
            <w:r w:rsidRPr="00096728">
              <w:rPr>
                <w:rFonts w:ascii="宋体" w:hAnsi="宋体" w:cs="宋体" w:hint="eastAsia"/>
                <w:kern w:val="0"/>
                <w:sz w:val="18"/>
                <w:szCs w:val="18"/>
              </w:rPr>
              <w:t>第一中心幼儿园</w:t>
            </w:r>
            <w:proofErr w:type="gramStart"/>
            <w:r w:rsidRPr="00096728">
              <w:rPr>
                <w:rFonts w:ascii="宋体" w:hAnsi="宋体" w:cs="宋体" w:hint="eastAsia"/>
                <w:kern w:val="0"/>
                <w:sz w:val="18"/>
                <w:szCs w:val="18"/>
              </w:rPr>
              <w:t>南苑区</w:t>
            </w:r>
            <w:proofErr w:type="gramEnd"/>
            <w:r w:rsidRPr="00096728">
              <w:rPr>
                <w:rFonts w:ascii="宋体" w:hAnsi="宋体" w:cs="宋体" w:hint="eastAsia"/>
                <w:kern w:val="0"/>
                <w:sz w:val="18"/>
                <w:szCs w:val="18"/>
              </w:rPr>
              <w:t>于2023年9月开园办学，按照5个班进行建设。2024年9月预计新增教学班级3个，特此申请新增3个班级玩具。玩具包括建筑区、运动区、</w:t>
            </w:r>
            <w:proofErr w:type="gramStart"/>
            <w:r w:rsidRPr="00096728">
              <w:rPr>
                <w:rFonts w:ascii="宋体" w:hAnsi="宋体" w:cs="宋体" w:hint="eastAsia"/>
                <w:kern w:val="0"/>
                <w:sz w:val="18"/>
                <w:szCs w:val="18"/>
              </w:rPr>
              <w:t>科学区</w:t>
            </w:r>
            <w:proofErr w:type="gramEnd"/>
            <w:r w:rsidRPr="00096728">
              <w:rPr>
                <w:rFonts w:ascii="宋体" w:hAnsi="宋体" w:cs="宋体" w:hint="eastAsia"/>
                <w:kern w:val="0"/>
                <w:sz w:val="18"/>
                <w:szCs w:val="18"/>
              </w:rPr>
              <w:t>等共计142件套。</w:t>
            </w:r>
          </w:p>
        </w:tc>
      </w:tr>
      <w:tr w:rsidR="00A3466D" w:rsidTr="0057096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指标1：采购数量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指标1：设备验收合格率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指标1：设备采购成本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≤30万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28.435万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指标1：国产化率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指标2：设备利用率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指标1：预计使用年限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指标1：使用人员满意度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66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A3466D" w:rsidTr="0057096E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3466D" w:rsidRDefault="00A3466D" w:rsidP="0057096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项目支出绩效自评表</w:t>
            </w:r>
          </w:p>
          <w:p w:rsidR="00A3466D" w:rsidRDefault="00A3466D" w:rsidP="0057096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ind w:firstLineChars="800" w:firstLine="144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一般因素法-2023年新建校开办-信息化建设项目-瀛海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幼+尾款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</w:tr>
      <w:tr w:rsidR="00A3466D" w:rsidTr="0057096E">
        <w:trPr>
          <w:trHeight w:hRule="exact" w:val="705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040-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大兴区瀛海镇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第一中心幼儿园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186353.98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181502.05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181502.05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186353.98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181502.05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181502.05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72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ind w:firstLineChars="200"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719B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中央直达资金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3466D" w:rsidTr="0057096E">
        <w:trPr>
          <w:trHeight w:hRule="exact" w:val="106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该项目为保障保育教育的顺利开展，申请信息化建设项目资金，主要包括广播系统、监控系统、巡更系统等项目。该项目合同金额931769.87元，项目已完工，按照项目进展已拨付合同的80%。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信息化建设项目，主要包括广播系统、监控系统、巡更系统等项目，项目已完工。</w:t>
            </w:r>
          </w:p>
        </w:tc>
      </w:tr>
      <w:tr w:rsidR="00A3466D" w:rsidTr="0057096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3466D" w:rsidTr="0057096E">
        <w:trPr>
          <w:trHeight w:hRule="exact" w:val="10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指标1：室内外广播系统2套，视频监控系统1套，阳光餐饮1套，巡更系统1套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指标1：验收达到合格标准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4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指标1：项目完成后及时足额支付资金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及时足额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及时足额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9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指标1：资金控制在186353.98元内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≤181502.05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181502.05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7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指标1：对瀛海地区的学前教育的影响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促进学前教育发展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促进学前教育发展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5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指标1：信息化系统使用年限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指标1：教师满意度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092"/>
        <w:gridCol w:w="718"/>
        <w:gridCol w:w="1114"/>
        <w:gridCol w:w="85"/>
        <w:gridCol w:w="194"/>
        <w:gridCol w:w="799"/>
        <w:gridCol w:w="40"/>
        <w:gridCol w:w="837"/>
        <w:gridCol w:w="257"/>
        <w:gridCol w:w="20"/>
        <w:gridCol w:w="280"/>
        <w:gridCol w:w="267"/>
        <w:gridCol w:w="149"/>
        <w:gridCol w:w="141"/>
        <w:gridCol w:w="277"/>
        <w:gridCol w:w="418"/>
        <w:gridCol w:w="699"/>
      </w:tblGrid>
      <w:tr w:rsidR="00A3466D" w:rsidTr="0057096E">
        <w:trPr>
          <w:trHeight w:val="194"/>
          <w:jc w:val="center"/>
        </w:trPr>
        <w:tc>
          <w:tcPr>
            <w:tcW w:w="892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3466D" w:rsidRDefault="00A3466D" w:rsidP="0057096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项目支出绩效自评表</w:t>
            </w:r>
          </w:p>
          <w:p w:rsidR="00A3466D" w:rsidRDefault="00A3466D" w:rsidP="0057096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一般因素法-瀛海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幼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西苑区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屋顶防水工程+尾款</w:t>
            </w:r>
          </w:p>
        </w:tc>
      </w:tr>
      <w:tr w:rsidR="00A3466D" w:rsidTr="0057096E">
        <w:trPr>
          <w:trHeight w:hRule="exact" w:val="479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040-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大兴区瀛海镇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第一中心幼儿园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57629.77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55147.38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55147.38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57629.77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55147.38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55147.38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72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ind w:firstLineChars="200"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719BA">
              <w:rPr>
                <w:rFonts w:ascii="宋体" w:hAnsi="宋体" w:cs="宋体" w:hint="eastAsia"/>
                <w:kern w:val="0"/>
                <w:sz w:val="18"/>
                <w:szCs w:val="18"/>
              </w:rPr>
              <w:t>中央直达资金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1074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3466D" w:rsidTr="0057096E">
        <w:trPr>
          <w:trHeight w:hRule="exact" w:val="277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"我单位瀛海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幼西苑区，地址为瀛海镇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瀛坤路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号院19号楼，为瀛海地区回迁安置配套园，2013年建园至今已10年。从前年开始，每至雨季，三楼库房、卫生间等地均有不同程度的漏水现象，影响了幼儿园正常教育教学和正常办公。我们曾维修过两次，由于每次只是修补，没有从根本上解决漏水问题，今年的2场大雨，又出现漏水问题，为保证幼儿园安全，现申请对瀛海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幼屋顶进行全面防水改造。经实地测量，需改造防水面积为1086平方米，使用广联达编制预算为288148.81元。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我单位将按照内控制度、招标程序择优选取施工单位，确保此项目有序开展，防水工程质量必须达到国家相关标准，保证师生在园安全。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对瀛海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幼屋顶进行了全面防水改造。经实地测量，改造了防水面积为1086平方米，编制预算为288148.81元。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我单位按照内控制度、招标程序择优选取了施工单位，确保此项目有序开展，防水工程质量达到了国家相关标准，保证了师生在园安全。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</w:tr>
      <w:tr w:rsidR="00A3466D" w:rsidTr="0057096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3466D" w:rsidTr="0057096E">
        <w:trPr>
          <w:trHeight w:hRule="exact" w:val="6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指标1：防水面积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1086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1086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11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指标1：施工质量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施工质量符合国家相关标准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施工质量符合国家相关标准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7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指标1：提前做好防水建设，确保雨季来临前房屋安全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8月前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6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指标1：施工采购成本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≤57629.77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55147.38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7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指标1：保证教育教学正常开展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保证师生在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园安全</w:t>
            </w:r>
            <w:proofErr w:type="gramEnd"/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保证师生在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园安全</w:t>
            </w:r>
            <w:proofErr w:type="gramEnd"/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指标1：预计使用年限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≥5年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≥5年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指标1：使用人满意度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64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val="194"/>
          <w:jc w:val="center"/>
        </w:trPr>
        <w:tc>
          <w:tcPr>
            <w:tcW w:w="892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3466D" w:rsidRDefault="00A3466D" w:rsidP="0057096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项目支出绩效自评表</w:t>
            </w:r>
          </w:p>
          <w:p w:rsidR="00A3466D" w:rsidRDefault="00A3466D" w:rsidP="0057096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A3466D" w:rsidTr="0057096E">
        <w:trPr>
          <w:trHeight w:hRule="exact" w:val="515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一般因素法-瀛海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幼电路改造工程+尾款</w:t>
            </w:r>
          </w:p>
        </w:tc>
      </w:tr>
      <w:tr w:rsidR="00A3466D" w:rsidTr="0057096E">
        <w:trPr>
          <w:trHeight w:hRule="exact" w:val="479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E6330">
              <w:rPr>
                <w:rFonts w:ascii="宋体" w:hAnsi="宋体" w:cs="宋体" w:hint="eastAsia"/>
                <w:kern w:val="0"/>
                <w:sz w:val="18"/>
                <w:szCs w:val="18"/>
              </w:rPr>
              <w:t>040-</w:t>
            </w:r>
            <w:proofErr w:type="gramStart"/>
            <w:r w:rsidRPr="008E6330"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 w:rsidRPr="008E6330">
              <w:rPr>
                <w:rFonts w:ascii="宋体" w:hAnsi="宋体" w:cs="宋体" w:hint="eastAsia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大兴区瀛海镇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第一中心幼儿园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86406.39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82089.43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82089.43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86406.39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82089.43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82089.43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72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E633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中央直达资金 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589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3466D" w:rsidTr="0057096E">
        <w:trPr>
          <w:trHeight w:hRule="exact" w:val="299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"我单位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大兴区瀛海镇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第一中心幼儿园西苑区， 2013年建园至今已10年。随着大型电器设备日益增多，室内供电运转时远超正常标准值，存在过载发热，线路老化等现象，电力设施已满负荷运转了较长时间，在日常检查中我们业发现存在着墙体电源熏黑，频繁短路等情况。我园虽然采取多种措施力保不出安全事故，但是在恢复正常线下教学后，电线短路，跳闸等现象越发频繁，现已不能满足正常的教育教学工作，为保证在园幼儿及教职工安全，特此申请对全楼电线，控制器，照明等电力系统金星更新改造。我单位将按照内控制度，招投标程序择优选取施工单位，确保此项目有序开展，电路改造工程质量必须达到国家相关标准，保证师生在园安全。</w:t>
            </w:r>
          </w:p>
        </w:tc>
        <w:tc>
          <w:tcPr>
            <w:tcW w:w="33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对全楼电线，控制器，照明等电力系统进行了更新改造。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我单位按照内控制度，招投标程序择优选取了施工单位，确保此项目有序地开展，电路改造工程质量达到了国家相关标准，保证了师生在园安全。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</w:tr>
      <w:tr w:rsidR="00A3466D" w:rsidTr="0057096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3466D" w:rsidTr="0057096E">
        <w:trPr>
          <w:trHeight w:hRule="exact" w:val="6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指标1：电路改造面积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2392.82平方米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2392.82平方米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11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指标1：改造质量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施工质量符合国家相关标准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施工质量符合国家相关标准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7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指标1：提前做好保护措施，保证开学之前完成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9月前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7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指标1：施工采购成本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≤86406.39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82089.43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7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指标1：保证教育教学正常开展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保证师生在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园安全</w:t>
            </w:r>
            <w:proofErr w:type="gramEnd"/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保证师生在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园安全</w:t>
            </w:r>
            <w:proofErr w:type="gramEnd"/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指标1：预计使用年限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≥5年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≥5年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指标1：使用人满意度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64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440"/>
          <w:jc w:val="center"/>
        </w:trPr>
        <w:tc>
          <w:tcPr>
            <w:tcW w:w="8928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66D" w:rsidRDefault="00A3466D" w:rsidP="0057096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项目支出绩效自评表</w:t>
            </w:r>
          </w:p>
        </w:tc>
      </w:tr>
      <w:tr w:rsidR="00A3466D" w:rsidTr="0057096E">
        <w:trPr>
          <w:trHeight w:val="194"/>
          <w:jc w:val="center"/>
        </w:trPr>
        <w:tc>
          <w:tcPr>
            <w:tcW w:w="892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3466D" w:rsidRDefault="00A3466D" w:rsidP="0057096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2024年名师工作室项目-瀛海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幼</w:t>
            </w:r>
          </w:p>
        </w:tc>
      </w:tr>
      <w:tr w:rsidR="00A3466D" w:rsidTr="0057096E">
        <w:trPr>
          <w:trHeight w:hRule="exact" w:val="636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040-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1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大兴区瀛海镇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第一中心幼儿园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3466D" w:rsidTr="0057096E">
        <w:trPr>
          <w:trHeight w:hRule="exact" w:val="529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50000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11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49868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99.74%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A3466D" w:rsidTr="0057096E">
        <w:trPr>
          <w:trHeight w:hRule="exact" w:val="519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50000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Pr="00096728" w:rsidRDefault="00A3466D" w:rsidP="0057096E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50000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49868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72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中央直达资金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46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ind w:firstLineChars="600" w:firstLine="108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3466D" w:rsidTr="0057096E">
        <w:trPr>
          <w:trHeight w:hRule="exact" w:val="203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>充分发挥名师示范、引领、带动和辐射作用，本着“以</w:t>
            </w:r>
            <w:proofErr w:type="gramStart"/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>研</w:t>
            </w:r>
            <w:proofErr w:type="gramEnd"/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>聚智，以智促行”的工作总目标，把工作室建成一个优秀教师的孵化器。以营造研究氛围，提升研究水平，充分发挥名师的专业引领作用为目的，打造</w:t>
            </w:r>
            <w:proofErr w:type="gramStart"/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>支具有思考力、研究力、执行力的优秀教师团队，带动相关幼儿园乃至全区学前教育质量的提升。</w:t>
            </w:r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33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>充分发挥名师示范、引领、带动和辐射作用，本着“以</w:t>
            </w:r>
            <w:proofErr w:type="gramStart"/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>研</w:t>
            </w:r>
            <w:proofErr w:type="gramEnd"/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>聚智，以智促行”的工作总目标，把工作室建成一个优秀教师的孵化器。以营造研究氛围，提升研究水平，充分发挥名师的专业引领作用为目的，打造</w:t>
            </w:r>
            <w:proofErr w:type="gramStart"/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>支具有思考力、研究力、执行力的优秀教师团队，带动相关幼儿园乃至全区学前教育质量的提升。</w:t>
            </w:r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E03C50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</w:tr>
      <w:tr w:rsidR="00A3466D" w:rsidTr="0057096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03C5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购置图书</w:t>
            </w:r>
            <w:r w:rsidRPr="00E03C5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200本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200本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4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Pr="00E03C50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E03C5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专家指导、外出交流研讨</w:t>
            </w:r>
            <w:r w:rsidRPr="00E03C5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2次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2次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10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Pr="00E03C50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sz w:val="20"/>
                <w:szCs w:val="20"/>
              </w:rPr>
              <w:t>提高工作室成员教师业务水平</w:t>
            </w:r>
          </w:p>
          <w:p w:rsidR="00A3466D" w:rsidRPr="00E03C50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良好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良好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6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Pr="00E03C50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sz w:val="20"/>
                <w:szCs w:val="20"/>
              </w:rPr>
              <w:t>专家指导、交流等活动</w:t>
            </w:r>
          </w:p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6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指标1：经费预算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≤50000元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49868元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7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Pr="008B07C7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sz w:val="20"/>
                <w:szCs w:val="20"/>
              </w:rPr>
              <w:t>提高幼儿全面发展质量</w:t>
            </w:r>
          </w:p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Pr="008B07C7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7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Pr="008B07C7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提高工作室成员教师业务水平</w:t>
            </w:r>
          </w:p>
          <w:p w:rsidR="00A3466D" w:rsidRPr="008B07C7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Pr="008B07C7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4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Pr="00E03C50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03C5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促进工作室成员教师专业能力提升</w:t>
            </w:r>
            <w:r w:rsidRPr="00E03C5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5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Pr="008B07C7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sz w:val="20"/>
                <w:szCs w:val="20"/>
              </w:rPr>
              <w:t>工作室成员教师满意度</w:t>
            </w:r>
          </w:p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Pr="008B07C7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66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XSpec="center" w:tblpY="-7178"/>
        <w:tblW w:w="0" w:type="auto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092"/>
        <w:gridCol w:w="718"/>
        <w:gridCol w:w="1199"/>
        <w:gridCol w:w="279"/>
        <w:gridCol w:w="1082"/>
        <w:gridCol w:w="1234"/>
        <w:gridCol w:w="696"/>
        <w:gridCol w:w="12"/>
        <w:gridCol w:w="567"/>
        <w:gridCol w:w="438"/>
        <w:gridCol w:w="1210"/>
      </w:tblGrid>
      <w:tr w:rsidR="00C436CA" w:rsidTr="00C436CA">
        <w:trPr>
          <w:trHeight w:hRule="exact" w:val="440"/>
        </w:trPr>
        <w:tc>
          <w:tcPr>
            <w:tcW w:w="1006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36CA" w:rsidRDefault="00C436CA" w:rsidP="00C436C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项目支出绩效自评表</w:t>
            </w:r>
          </w:p>
        </w:tc>
      </w:tr>
      <w:tr w:rsidR="00C436CA" w:rsidTr="00C436CA">
        <w:trPr>
          <w:trHeight w:val="194"/>
        </w:trPr>
        <w:tc>
          <w:tcPr>
            <w:tcW w:w="1006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436CA" w:rsidRDefault="00C436CA" w:rsidP="00C436C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C436CA" w:rsidTr="00C436CA">
        <w:trPr>
          <w:trHeight w:hRule="exact" w:val="291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2024年员额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制项目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经费-瀛海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幼</w:t>
            </w:r>
          </w:p>
        </w:tc>
      </w:tr>
      <w:tr w:rsidR="00C436CA" w:rsidTr="00C436CA">
        <w:trPr>
          <w:trHeight w:hRule="exact" w:val="575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040-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大兴区瀛海镇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第一中心幼儿园</w:t>
            </w:r>
          </w:p>
        </w:tc>
      </w:tr>
      <w:tr w:rsidR="00C436CA" w:rsidTr="00C436CA">
        <w:trPr>
          <w:trHeight w:hRule="exact" w:val="291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436CA" w:rsidTr="00C436CA">
        <w:trPr>
          <w:trHeight w:hRule="exact" w:val="291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2287045.44</w:t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2604309.67</w:t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2604309.67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436CA" w:rsidTr="00C436CA">
        <w:trPr>
          <w:trHeight w:hRule="exact" w:val="291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2287045.44</w:t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2604309.67</w:t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2604309.67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436CA" w:rsidTr="00C436CA">
        <w:trPr>
          <w:trHeight w:hRule="exact" w:val="272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436CA" w:rsidTr="00C436CA">
        <w:trPr>
          <w:trHeight w:hRule="exact" w:val="291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436CA" w:rsidTr="00C436CA">
        <w:trPr>
          <w:trHeight w:hRule="exact" w:val="291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中央直达资金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436CA" w:rsidTr="00C436CA">
        <w:trPr>
          <w:trHeight w:hRule="exact" w:val="545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436CA" w:rsidTr="00C436CA">
        <w:trPr>
          <w:trHeight w:hRule="exact" w:val="2394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"北京市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育委员会文件发布的京兴教【2022】33号文件-《北京市大兴区教育委员会公办幼儿园“额度管理人员”管理暂行办法》的文件，结合我单位具体情况，需要聘用员额制人员。按照人事科的文件要求签订合同按月结算，申请此项资金。本项目资金主要用于员额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制职工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的工资福利等支出。确保我校工作有效运转，促进临时辅助用工按标准配备，保障学校教育教学正常有序开展，提升学校办学水平，改善办学条件，推动教师教学水平的提高。维护行业安全健康发展和首都的安全稳定，保障在校学生安全。</w:t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1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本项目资金主要用于员额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制职工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的工资福利等支出。确保了我校工作有效运转，促进临时辅助用工按标准配备，保障学校教育教学正常有序开展，提升了学校办学水平，改善了办学条件，推动了教师教学水平的提高。维护行业安全健康发展和首都的安全稳定，保障了在校学生安全。</w:t>
            </w:r>
          </w:p>
        </w:tc>
      </w:tr>
      <w:tr w:rsidR="00C436CA" w:rsidTr="00C436CA">
        <w:trPr>
          <w:trHeight w:hRule="exact" w:val="517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指标1：服务期限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12个月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12个月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指标2：经费保障人数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14人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449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指标1：严格按照合同执行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优良以上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569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指标2：保证员额制人员权益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优良以上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3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609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指标1：资金及时发放情况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12次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12次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703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指标2：按月发放工资、支付社保、公积金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12次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12次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956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指标1：经费预算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≤2604309.67元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2604309.67元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566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指标1：教育教学正常开展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优良以上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3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563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指标1：园所对员额制人员工作满意度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57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指标2：幼儿及家长满意度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436CA" w:rsidTr="00C436CA">
        <w:trPr>
          <w:trHeight w:hRule="exact" w:val="291"/>
        </w:trPr>
        <w:tc>
          <w:tcPr>
            <w:tcW w:w="7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6CA" w:rsidRDefault="00C436CA" w:rsidP="00C43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092"/>
        <w:gridCol w:w="718"/>
        <w:gridCol w:w="1199"/>
        <w:gridCol w:w="279"/>
        <w:gridCol w:w="1082"/>
        <w:gridCol w:w="1234"/>
        <w:gridCol w:w="696"/>
        <w:gridCol w:w="12"/>
        <w:gridCol w:w="567"/>
        <w:gridCol w:w="438"/>
        <w:gridCol w:w="1210"/>
      </w:tblGrid>
      <w:tr w:rsidR="00A3466D" w:rsidTr="0057096E">
        <w:trPr>
          <w:trHeight w:hRule="exact" w:val="440"/>
          <w:jc w:val="center"/>
        </w:trPr>
        <w:tc>
          <w:tcPr>
            <w:tcW w:w="1006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66D" w:rsidRDefault="00A3466D" w:rsidP="0057096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项目支出绩效自评表</w:t>
            </w:r>
          </w:p>
        </w:tc>
      </w:tr>
      <w:tr w:rsidR="00A3466D" w:rsidTr="0057096E">
        <w:trPr>
          <w:trHeight w:val="194"/>
          <w:jc w:val="center"/>
        </w:trPr>
        <w:tc>
          <w:tcPr>
            <w:tcW w:w="1006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3466D" w:rsidRDefault="00A3466D" w:rsidP="0057096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2024年党建活动经费-瀛海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幼</w:t>
            </w:r>
          </w:p>
        </w:tc>
      </w:tr>
      <w:tr w:rsidR="00A3466D" w:rsidTr="0057096E">
        <w:trPr>
          <w:trHeight w:hRule="exact" w:val="575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ind w:firstLineChars="800" w:firstLine="144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040-</w:t>
            </w:r>
            <w:proofErr w:type="gramStart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>教育委员会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大兴区瀛海镇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第一中心幼儿园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4000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4000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3998.8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99.97%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4000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4000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3998.8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72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4EFE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中央直达资金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466D" w:rsidTr="0057096E">
        <w:trPr>
          <w:trHeight w:hRule="exact" w:val="485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3466D" w:rsidTr="0057096E">
        <w:trPr>
          <w:trHeight w:hRule="exact" w:val="140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D0791">
              <w:rPr>
                <w:rFonts w:ascii="宋体" w:hAnsi="宋体" w:cs="宋体" w:hint="eastAsia"/>
                <w:kern w:val="0"/>
                <w:sz w:val="18"/>
                <w:szCs w:val="18"/>
              </w:rPr>
              <w:t>党组织党员人数10人*400元/人=4000元、计划观看红色电影、参观红色教育基地、购买党刊</w:t>
            </w:r>
            <w:proofErr w:type="gramStart"/>
            <w:r w:rsidRPr="001D0791">
              <w:rPr>
                <w:rFonts w:ascii="宋体" w:hAnsi="宋体" w:cs="宋体" w:hint="eastAsia"/>
                <w:kern w:val="0"/>
                <w:sz w:val="18"/>
                <w:szCs w:val="18"/>
              </w:rPr>
              <w:t>党报党建</w:t>
            </w:r>
            <w:proofErr w:type="gramEnd"/>
            <w:r w:rsidRPr="001D0791">
              <w:rPr>
                <w:rFonts w:ascii="宋体" w:hAnsi="宋体" w:cs="宋体" w:hint="eastAsia"/>
                <w:kern w:val="0"/>
                <w:sz w:val="18"/>
                <w:szCs w:val="18"/>
              </w:rPr>
              <w:t>书籍、制作活动条幅等。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1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D0791">
              <w:rPr>
                <w:rFonts w:ascii="宋体" w:hAnsi="宋体" w:cs="宋体" w:hint="eastAsia"/>
                <w:kern w:val="0"/>
                <w:sz w:val="18"/>
                <w:szCs w:val="18"/>
              </w:rPr>
              <w:t>党组织党员人数10人*400元/人=4000元、计划观看红色电影、参观红色教育基地、购买党刊</w:t>
            </w:r>
            <w:proofErr w:type="gramStart"/>
            <w:r w:rsidRPr="001D0791">
              <w:rPr>
                <w:rFonts w:ascii="宋体" w:hAnsi="宋体" w:cs="宋体" w:hint="eastAsia"/>
                <w:kern w:val="0"/>
                <w:sz w:val="18"/>
                <w:szCs w:val="18"/>
              </w:rPr>
              <w:t>党报党建</w:t>
            </w:r>
            <w:proofErr w:type="gramEnd"/>
            <w:r w:rsidRPr="001D0791">
              <w:rPr>
                <w:rFonts w:ascii="宋体" w:hAnsi="宋体" w:cs="宋体" w:hint="eastAsia"/>
                <w:kern w:val="0"/>
                <w:sz w:val="18"/>
                <w:szCs w:val="18"/>
              </w:rPr>
              <w:t>书籍、制作活动条幅等。</w:t>
            </w:r>
          </w:p>
        </w:tc>
      </w:tr>
      <w:tr w:rsidR="00A3466D" w:rsidTr="0057096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1D079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党员活动次数</w:t>
            </w:r>
            <w:r w:rsidRPr="001D079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D0791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1次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D0791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1次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4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Pr="001D0791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经费支出效果</w:t>
            </w:r>
          </w:p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D0791">
              <w:rPr>
                <w:rFonts w:ascii="宋体" w:hAnsi="宋体" w:cs="宋体" w:hint="eastAsia"/>
                <w:kern w:val="0"/>
                <w:sz w:val="18"/>
                <w:szCs w:val="18"/>
              </w:rPr>
              <w:t>符合上级有关规定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D0791">
              <w:rPr>
                <w:rFonts w:ascii="宋体" w:hAnsi="宋体" w:cs="宋体" w:hint="eastAsia"/>
                <w:kern w:val="0"/>
                <w:sz w:val="18"/>
                <w:szCs w:val="18"/>
              </w:rPr>
              <w:t>符合上级有关规定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5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12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完成时限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D0791">
              <w:rPr>
                <w:rFonts w:ascii="宋体" w:hAnsi="宋体" w:cs="宋体" w:hint="eastAsia"/>
                <w:kern w:val="0"/>
                <w:sz w:val="18"/>
                <w:szCs w:val="18"/>
              </w:rPr>
              <w:t>1.2024年7月底之前，完成70%左右支出。2.2024年11月底之前，完成全部支出。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D0791">
              <w:rPr>
                <w:rFonts w:ascii="宋体" w:hAnsi="宋体" w:cs="宋体" w:hint="eastAsia"/>
                <w:kern w:val="0"/>
                <w:sz w:val="18"/>
                <w:szCs w:val="18"/>
              </w:rPr>
              <w:t>1.2024年7月底之前，完成70%左右支出。2.2024年11月底之前，完成全部支出。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7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1D079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项目总预算</w:t>
            </w:r>
            <w:r w:rsidRPr="001D079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4000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3998.8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9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Pr="001D0791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sz w:val="20"/>
                <w:szCs w:val="20"/>
              </w:rPr>
              <w:t>提高党员思想政治素养和理论水平</w:t>
            </w:r>
          </w:p>
          <w:p w:rsidR="00A3466D" w:rsidRPr="001D0791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不断提升</w:t>
            </w:r>
          </w:p>
          <w:p w:rsidR="00A3466D" w:rsidRPr="001D0791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不断提升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56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Pr="001D0791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党员满意度</w:t>
            </w:r>
          </w:p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Pr="001D0791" w:rsidRDefault="00A3466D" w:rsidP="0057096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5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466D" w:rsidTr="0057096E">
        <w:trPr>
          <w:trHeight w:hRule="exact" w:val="291"/>
          <w:jc w:val="center"/>
        </w:trPr>
        <w:tc>
          <w:tcPr>
            <w:tcW w:w="7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66D" w:rsidRDefault="00A3466D" w:rsidP="00570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A3466D" w:rsidRDefault="00A3466D" w:rsidP="00A3466D"/>
    <w:p w:rsidR="00A3466D" w:rsidRDefault="00A3466D" w:rsidP="00A3466D"/>
    <w:p w:rsidR="00A3466D" w:rsidRDefault="00A3466D" w:rsidP="00A3466D"/>
    <w:p w:rsidR="00A3466D" w:rsidRDefault="00A3466D" w:rsidP="00A3466D"/>
    <w:p w:rsidR="003C1FBC" w:rsidRDefault="003C1FBC"/>
    <w:sectPr w:rsidR="003C1FBC">
      <w:footerReference w:type="even" r:id="rId7"/>
      <w:footerReference w:type="default" r:id="rId8"/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86B" w:rsidRDefault="0067586B" w:rsidP="00A3466D">
      <w:r>
        <w:separator/>
      </w:r>
    </w:p>
  </w:endnote>
  <w:endnote w:type="continuationSeparator" w:id="0">
    <w:p w:rsidR="0067586B" w:rsidRDefault="0067586B" w:rsidP="00A3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65D" w:rsidRDefault="0067586B">
    <w:pPr>
      <w:pStyle w:val="a4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>
      <w:rPr>
        <w:rStyle w:val="ab"/>
      </w:rPr>
      <w:t>15</w:t>
    </w:r>
    <w:r>
      <w:fldChar w:fldCharType="end"/>
    </w:r>
  </w:p>
  <w:p w:rsidR="002B765D" w:rsidRDefault="00C436C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65D" w:rsidRDefault="0067586B">
    <w:pPr>
      <w:pStyle w:val="a4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 w:rsidR="00C436CA">
      <w:rPr>
        <w:rStyle w:val="ab"/>
        <w:noProof/>
      </w:rPr>
      <w:t>7</w:t>
    </w:r>
    <w:r>
      <w:fldChar w:fldCharType="end"/>
    </w:r>
  </w:p>
  <w:p w:rsidR="002B765D" w:rsidRDefault="00C436C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86B" w:rsidRDefault="0067586B" w:rsidP="00A3466D">
      <w:r>
        <w:separator/>
      </w:r>
    </w:p>
  </w:footnote>
  <w:footnote w:type="continuationSeparator" w:id="0">
    <w:p w:rsidR="0067586B" w:rsidRDefault="0067586B" w:rsidP="00A346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130"/>
    <w:rsid w:val="003C1FBC"/>
    <w:rsid w:val="005E2905"/>
    <w:rsid w:val="0067586B"/>
    <w:rsid w:val="00A3466D"/>
    <w:rsid w:val="00C26130"/>
    <w:rsid w:val="00C4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Date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6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A3466D"/>
    <w:pPr>
      <w:keepNext/>
      <w:keepLines/>
      <w:spacing w:before="100" w:beforeAutospacing="1" w:after="100" w:afterAutospacing="1"/>
      <w:outlineLvl w:val="1"/>
    </w:pPr>
    <w:rPr>
      <w:rFonts w:ascii="Cambria" w:eastAsia="黑体" w:hAnsi="Cambria"/>
      <w:b/>
      <w:bCs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A346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qFormat/>
    <w:rsid w:val="00A3466D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A346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qFormat/>
    <w:rsid w:val="00A3466D"/>
    <w:rPr>
      <w:sz w:val="18"/>
      <w:szCs w:val="18"/>
    </w:rPr>
  </w:style>
  <w:style w:type="character" w:customStyle="1" w:styleId="2Char">
    <w:name w:val="标题 2 Char"/>
    <w:basedOn w:val="a0"/>
    <w:link w:val="2"/>
    <w:rsid w:val="00A3466D"/>
    <w:rPr>
      <w:rFonts w:ascii="Cambria" w:eastAsia="黑体" w:hAnsi="Cambria" w:cs="Times New Roman"/>
      <w:b/>
      <w:bCs/>
      <w:kern w:val="0"/>
      <w:sz w:val="36"/>
      <w:szCs w:val="32"/>
    </w:rPr>
  </w:style>
  <w:style w:type="paragraph" w:styleId="a5">
    <w:name w:val="Normal Indent"/>
    <w:basedOn w:val="a"/>
    <w:qFormat/>
    <w:rsid w:val="00A3466D"/>
    <w:pPr>
      <w:ind w:firstLineChars="200" w:firstLine="200"/>
    </w:pPr>
  </w:style>
  <w:style w:type="paragraph" w:styleId="a6">
    <w:name w:val="Body Text Indent"/>
    <w:basedOn w:val="a"/>
    <w:link w:val="Char1"/>
    <w:qFormat/>
    <w:rsid w:val="00A3466D"/>
    <w:pPr>
      <w:ind w:firstLine="645"/>
    </w:pPr>
    <w:rPr>
      <w:rFonts w:ascii="仿宋_GB2312" w:eastAsia="仿宋_GB2312" w:hAnsi="Calibri"/>
      <w:sz w:val="32"/>
      <w:szCs w:val="32"/>
    </w:rPr>
  </w:style>
  <w:style w:type="character" w:customStyle="1" w:styleId="Char1">
    <w:name w:val="正文文本缩进 Char"/>
    <w:basedOn w:val="a0"/>
    <w:link w:val="a6"/>
    <w:rsid w:val="00A3466D"/>
    <w:rPr>
      <w:rFonts w:ascii="仿宋_GB2312" w:eastAsia="仿宋_GB2312" w:hAnsi="Calibri" w:cs="Times New Roman"/>
      <w:sz w:val="32"/>
      <w:szCs w:val="32"/>
    </w:rPr>
  </w:style>
  <w:style w:type="paragraph" w:styleId="a7">
    <w:name w:val="Date"/>
    <w:basedOn w:val="a"/>
    <w:next w:val="a"/>
    <w:link w:val="Char2"/>
    <w:rsid w:val="00A3466D"/>
    <w:pPr>
      <w:ind w:leftChars="2500" w:left="100"/>
    </w:pPr>
  </w:style>
  <w:style w:type="character" w:customStyle="1" w:styleId="Char2">
    <w:name w:val="日期 Char"/>
    <w:basedOn w:val="a0"/>
    <w:link w:val="a7"/>
    <w:rsid w:val="00A3466D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Char3"/>
    <w:semiHidden/>
    <w:qFormat/>
    <w:rsid w:val="00A3466D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A3466D"/>
    <w:rPr>
      <w:rFonts w:ascii="Times New Roman" w:eastAsia="宋体" w:hAnsi="Times New Roman" w:cs="Times New Roman"/>
      <w:sz w:val="18"/>
      <w:szCs w:val="18"/>
    </w:rPr>
  </w:style>
  <w:style w:type="paragraph" w:styleId="a9">
    <w:name w:val="Normal (Web)"/>
    <w:basedOn w:val="a"/>
    <w:unhideWhenUsed/>
    <w:qFormat/>
    <w:rsid w:val="00A3466D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aa">
    <w:name w:val="Strong"/>
    <w:qFormat/>
    <w:rsid w:val="00A3466D"/>
    <w:rPr>
      <w:b/>
    </w:rPr>
  </w:style>
  <w:style w:type="character" w:styleId="ab">
    <w:name w:val="page number"/>
    <w:qFormat/>
    <w:rsid w:val="00A3466D"/>
  </w:style>
  <w:style w:type="paragraph" w:customStyle="1" w:styleId="CharCharCharCharCharCharChar">
    <w:name w:val="Char Char Char Char Char Char Char"/>
    <w:basedOn w:val="a"/>
    <w:qFormat/>
    <w:rsid w:val="00A3466D"/>
    <w:rPr>
      <w:rFonts w:ascii="Tahoma" w:hAnsi="Tahoma"/>
      <w:sz w:val="24"/>
      <w:szCs w:val="20"/>
    </w:rPr>
  </w:style>
  <w:style w:type="paragraph" w:customStyle="1" w:styleId="Char1CharCharChar">
    <w:name w:val="Char1 Char Char Char"/>
    <w:basedOn w:val="a"/>
    <w:qFormat/>
    <w:rsid w:val="00A3466D"/>
    <w:pPr>
      <w:widowControl/>
      <w:spacing w:after="160" w:line="240" w:lineRule="exact"/>
      <w:jc w:val="left"/>
    </w:pPr>
    <w:rPr>
      <w:szCs w:val="20"/>
    </w:rPr>
  </w:style>
  <w:style w:type="paragraph" w:customStyle="1" w:styleId="Char4">
    <w:name w:val="Char"/>
    <w:basedOn w:val="a"/>
    <w:qFormat/>
    <w:rsid w:val="00A3466D"/>
    <w:rPr>
      <w:rFonts w:ascii="Tahoma" w:hAnsi="Tahoma"/>
      <w:sz w:val="24"/>
      <w:szCs w:val="20"/>
    </w:rPr>
  </w:style>
  <w:style w:type="paragraph" w:customStyle="1" w:styleId="CharChar3CharChar">
    <w:name w:val="Char Char3 Char Char"/>
    <w:basedOn w:val="a"/>
    <w:qFormat/>
    <w:rsid w:val="00A3466D"/>
    <w:rPr>
      <w:szCs w:val="21"/>
    </w:rPr>
  </w:style>
  <w:style w:type="character" w:customStyle="1" w:styleId="font21">
    <w:name w:val="font21"/>
    <w:basedOn w:val="a0"/>
    <w:qFormat/>
    <w:rsid w:val="00A3466D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qFormat/>
    <w:rsid w:val="00A3466D"/>
    <w:rPr>
      <w:rFonts w:ascii="宋体" w:eastAsia="宋体" w:hAnsi="宋体" w:cs="宋体" w:hint="eastAsia"/>
      <w:color w:val="000000"/>
      <w:sz w:val="13"/>
      <w:szCs w:val="13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Date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6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A3466D"/>
    <w:pPr>
      <w:keepNext/>
      <w:keepLines/>
      <w:spacing w:before="100" w:beforeAutospacing="1" w:after="100" w:afterAutospacing="1"/>
      <w:outlineLvl w:val="1"/>
    </w:pPr>
    <w:rPr>
      <w:rFonts w:ascii="Cambria" w:eastAsia="黑体" w:hAnsi="Cambria"/>
      <w:b/>
      <w:bCs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A346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qFormat/>
    <w:rsid w:val="00A3466D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A346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qFormat/>
    <w:rsid w:val="00A3466D"/>
    <w:rPr>
      <w:sz w:val="18"/>
      <w:szCs w:val="18"/>
    </w:rPr>
  </w:style>
  <w:style w:type="character" w:customStyle="1" w:styleId="2Char">
    <w:name w:val="标题 2 Char"/>
    <w:basedOn w:val="a0"/>
    <w:link w:val="2"/>
    <w:rsid w:val="00A3466D"/>
    <w:rPr>
      <w:rFonts w:ascii="Cambria" w:eastAsia="黑体" w:hAnsi="Cambria" w:cs="Times New Roman"/>
      <w:b/>
      <w:bCs/>
      <w:kern w:val="0"/>
      <w:sz w:val="36"/>
      <w:szCs w:val="32"/>
    </w:rPr>
  </w:style>
  <w:style w:type="paragraph" w:styleId="a5">
    <w:name w:val="Normal Indent"/>
    <w:basedOn w:val="a"/>
    <w:qFormat/>
    <w:rsid w:val="00A3466D"/>
    <w:pPr>
      <w:ind w:firstLineChars="200" w:firstLine="200"/>
    </w:pPr>
  </w:style>
  <w:style w:type="paragraph" w:styleId="a6">
    <w:name w:val="Body Text Indent"/>
    <w:basedOn w:val="a"/>
    <w:link w:val="Char1"/>
    <w:qFormat/>
    <w:rsid w:val="00A3466D"/>
    <w:pPr>
      <w:ind w:firstLine="645"/>
    </w:pPr>
    <w:rPr>
      <w:rFonts w:ascii="仿宋_GB2312" w:eastAsia="仿宋_GB2312" w:hAnsi="Calibri"/>
      <w:sz w:val="32"/>
      <w:szCs w:val="32"/>
    </w:rPr>
  </w:style>
  <w:style w:type="character" w:customStyle="1" w:styleId="Char1">
    <w:name w:val="正文文本缩进 Char"/>
    <w:basedOn w:val="a0"/>
    <w:link w:val="a6"/>
    <w:rsid w:val="00A3466D"/>
    <w:rPr>
      <w:rFonts w:ascii="仿宋_GB2312" w:eastAsia="仿宋_GB2312" w:hAnsi="Calibri" w:cs="Times New Roman"/>
      <w:sz w:val="32"/>
      <w:szCs w:val="32"/>
    </w:rPr>
  </w:style>
  <w:style w:type="paragraph" w:styleId="a7">
    <w:name w:val="Date"/>
    <w:basedOn w:val="a"/>
    <w:next w:val="a"/>
    <w:link w:val="Char2"/>
    <w:rsid w:val="00A3466D"/>
    <w:pPr>
      <w:ind w:leftChars="2500" w:left="100"/>
    </w:pPr>
  </w:style>
  <w:style w:type="character" w:customStyle="1" w:styleId="Char2">
    <w:name w:val="日期 Char"/>
    <w:basedOn w:val="a0"/>
    <w:link w:val="a7"/>
    <w:rsid w:val="00A3466D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Char3"/>
    <w:semiHidden/>
    <w:qFormat/>
    <w:rsid w:val="00A3466D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A3466D"/>
    <w:rPr>
      <w:rFonts w:ascii="Times New Roman" w:eastAsia="宋体" w:hAnsi="Times New Roman" w:cs="Times New Roman"/>
      <w:sz w:val="18"/>
      <w:szCs w:val="18"/>
    </w:rPr>
  </w:style>
  <w:style w:type="paragraph" w:styleId="a9">
    <w:name w:val="Normal (Web)"/>
    <w:basedOn w:val="a"/>
    <w:unhideWhenUsed/>
    <w:qFormat/>
    <w:rsid w:val="00A3466D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aa">
    <w:name w:val="Strong"/>
    <w:qFormat/>
    <w:rsid w:val="00A3466D"/>
    <w:rPr>
      <w:b/>
    </w:rPr>
  </w:style>
  <w:style w:type="character" w:styleId="ab">
    <w:name w:val="page number"/>
    <w:qFormat/>
    <w:rsid w:val="00A3466D"/>
  </w:style>
  <w:style w:type="paragraph" w:customStyle="1" w:styleId="CharCharCharCharCharCharChar">
    <w:name w:val="Char Char Char Char Char Char Char"/>
    <w:basedOn w:val="a"/>
    <w:qFormat/>
    <w:rsid w:val="00A3466D"/>
    <w:rPr>
      <w:rFonts w:ascii="Tahoma" w:hAnsi="Tahoma"/>
      <w:sz w:val="24"/>
      <w:szCs w:val="20"/>
    </w:rPr>
  </w:style>
  <w:style w:type="paragraph" w:customStyle="1" w:styleId="Char1CharCharChar">
    <w:name w:val="Char1 Char Char Char"/>
    <w:basedOn w:val="a"/>
    <w:qFormat/>
    <w:rsid w:val="00A3466D"/>
    <w:pPr>
      <w:widowControl/>
      <w:spacing w:after="160" w:line="240" w:lineRule="exact"/>
      <w:jc w:val="left"/>
    </w:pPr>
    <w:rPr>
      <w:szCs w:val="20"/>
    </w:rPr>
  </w:style>
  <w:style w:type="paragraph" w:customStyle="1" w:styleId="Char4">
    <w:name w:val="Char"/>
    <w:basedOn w:val="a"/>
    <w:qFormat/>
    <w:rsid w:val="00A3466D"/>
    <w:rPr>
      <w:rFonts w:ascii="Tahoma" w:hAnsi="Tahoma"/>
      <w:sz w:val="24"/>
      <w:szCs w:val="20"/>
    </w:rPr>
  </w:style>
  <w:style w:type="paragraph" w:customStyle="1" w:styleId="CharChar3CharChar">
    <w:name w:val="Char Char3 Char Char"/>
    <w:basedOn w:val="a"/>
    <w:qFormat/>
    <w:rsid w:val="00A3466D"/>
    <w:rPr>
      <w:szCs w:val="21"/>
    </w:rPr>
  </w:style>
  <w:style w:type="character" w:customStyle="1" w:styleId="font21">
    <w:name w:val="font21"/>
    <w:basedOn w:val="a0"/>
    <w:qFormat/>
    <w:rsid w:val="00A3466D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qFormat/>
    <w:rsid w:val="00A3466D"/>
    <w:rPr>
      <w:rFonts w:ascii="宋体" w:eastAsia="宋体" w:hAnsi="宋体" w:cs="宋体" w:hint="eastAsia"/>
      <w:color w:val="000000"/>
      <w:sz w:val="13"/>
      <w:szCs w:val="13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1874</Words>
  <Characters>10688</Characters>
  <Application>Microsoft Office Word</Application>
  <DocSecurity>0</DocSecurity>
  <Lines>89</Lines>
  <Paragraphs>25</Paragraphs>
  <ScaleCrop>false</ScaleCrop>
  <Company/>
  <LinksUpToDate>false</LinksUpToDate>
  <CharactersWithSpaces>12537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2025-06-30T09:07:00Z</dcterms:created>
  <dcterms:modified xsi:type="dcterms:W3CDTF">2025-09-22T02:43:00Z</dcterms:modified>
</cp:coreProperties>
</file>