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机构</w:t>
      </w:r>
      <w:r>
        <w:rPr>
          <w:rFonts w:hint="eastAsia" w:ascii="仿宋_GB2312" w:eastAsia="仿宋_GB2312"/>
          <w:sz w:val="28"/>
          <w:szCs w:val="28"/>
          <w:lang w:val="en-US" w:eastAsia="zh-CN"/>
        </w:rPr>
        <w:t>设置</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 xml:space="preserve">   我园下设园长办公室、总务办公室、前勤办公室、行政办公室、财务室、教研办公室、保健室、中控办公室、安保室等部门。</w:t>
      </w:r>
    </w:p>
    <w:p>
      <w:pPr>
        <w:jc w:val="left"/>
        <w:rPr>
          <w:rFonts w:hint="eastAsia" w:ascii="仿宋" w:hAnsi="仿宋" w:eastAsia="仿宋" w:cs="仿宋"/>
          <w:sz w:val="30"/>
          <w:szCs w:val="30"/>
        </w:rPr>
      </w:pPr>
      <w:r>
        <w:rPr>
          <w:rFonts w:hint="eastAsia" w:ascii="仿宋_GB2312" w:eastAsia="仿宋_GB2312"/>
          <w:sz w:val="28"/>
          <w:szCs w:val="28"/>
          <w:lang w:val="en-US" w:eastAsia="zh-CN"/>
        </w:rPr>
        <w:t xml:space="preserve">    2、</w:t>
      </w:r>
      <w:r>
        <w:rPr>
          <w:rFonts w:hint="eastAsia" w:ascii="仿宋" w:hAnsi="仿宋" w:eastAsia="仿宋" w:cs="仿宋"/>
          <w:sz w:val="30"/>
          <w:szCs w:val="30"/>
        </w:rPr>
        <w:t>主要</w:t>
      </w:r>
      <w:r>
        <w:rPr>
          <w:rFonts w:hint="eastAsia" w:ascii="仿宋" w:hAnsi="仿宋" w:eastAsia="仿宋" w:cs="仿宋"/>
          <w:sz w:val="30"/>
          <w:szCs w:val="30"/>
          <w:lang w:val="en-US" w:eastAsia="zh-CN"/>
        </w:rPr>
        <w:t>职责</w:t>
      </w:r>
      <w:r>
        <w:rPr>
          <w:rFonts w:hint="eastAsia" w:ascii="仿宋" w:hAnsi="仿宋" w:eastAsia="仿宋" w:cs="仿宋"/>
          <w:sz w:val="30"/>
          <w:szCs w:val="30"/>
        </w:rPr>
        <w:t>：</w:t>
      </w:r>
    </w:p>
    <w:p>
      <w:pPr>
        <w:rPr>
          <w:rFonts w:hint="eastAsia" w:ascii="仿宋_GB2312" w:eastAsia="仿宋_GB2312"/>
          <w:sz w:val="28"/>
          <w:szCs w:val="28"/>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认真贯彻落实党的教育方针，为本地学龄前儿童提供优质的保育教育服务，积极配合教育行政部门做好教育教学指导工作。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1066.97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230.73</w:t>
      </w:r>
      <w:r>
        <w:rPr>
          <w:rFonts w:hint="eastAsia" w:ascii="仿宋_GB2312" w:eastAsia="仿宋_GB2312"/>
          <w:sz w:val="28"/>
          <w:szCs w:val="28"/>
        </w:rPr>
        <w:t>万元，增长</w:t>
      </w:r>
      <w:r>
        <w:rPr>
          <w:rFonts w:hint="eastAsia" w:ascii="仿宋_GB2312" w:eastAsia="仿宋_GB2312"/>
          <w:sz w:val="28"/>
          <w:szCs w:val="28"/>
          <w:lang w:val="en-US" w:eastAsia="zh-CN"/>
        </w:rPr>
        <w:t>27.59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1045.97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211.33</w:t>
      </w:r>
      <w:r>
        <w:rPr>
          <w:rFonts w:hint="eastAsia" w:ascii="仿宋_GB2312" w:eastAsia="仿宋_GB2312"/>
          <w:sz w:val="28"/>
          <w:szCs w:val="28"/>
        </w:rPr>
        <w:t>万元，增长</w:t>
      </w:r>
      <w:r>
        <w:rPr>
          <w:rFonts w:hint="eastAsia" w:ascii="仿宋_GB2312" w:eastAsia="仿宋_GB2312"/>
          <w:sz w:val="28"/>
          <w:szCs w:val="28"/>
          <w:lang w:val="en-US" w:eastAsia="zh-CN"/>
        </w:rPr>
        <w:t>25.32</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1045.97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1045.97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ascii="Times New Roman" w:hAnsi="Times New Roman" w:eastAsia="宋体" w:cs="Times New Roman"/>
          <w:kern w:val="2"/>
          <w:sz w:val="21"/>
          <w:szCs w:val="24"/>
          <w:lang w:val="en-US" w:eastAsia="zh-CN" w:bidi="ar-SA"/>
        </w:rPr>
        <w:pict>
          <v:shape id="_x0000_i1025" o:spt="75" type="#_x0000_t75" style="height:183.35pt;width:317.85pt;" fillcolor="#FFFFFF" filled="f" o:preferrelative="t" stroked="f" coordsize="21600,21600">
            <v:path/>
            <v:fill on="f" color2="#FFFFFF" focussize="0,0"/>
            <v:stroke on="f"/>
            <v:imagedata r:id="rId7" gain="65536f" blacklevel="0f" gamma="0" o:title=""/>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1066.97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230.73</w:t>
      </w:r>
      <w:r>
        <w:rPr>
          <w:rFonts w:hint="eastAsia" w:ascii="仿宋_GB2312" w:eastAsia="仿宋_GB2312"/>
          <w:sz w:val="28"/>
          <w:szCs w:val="28"/>
        </w:rPr>
        <w:t>万元，增长</w:t>
      </w:r>
      <w:r>
        <w:rPr>
          <w:rFonts w:hint="eastAsia" w:ascii="仿宋_GB2312" w:eastAsia="仿宋_GB2312"/>
          <w:sz w:val="28"/>
          <w:szCs w:val="28"/>
          <w:lang w:val="en-US" w:eastAsia="zh-CN"/>
        </w:rPr>
        <w:t>27.59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420.08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39.37</w:t>
      </w:r>
      <w:r>
        <w:rPr>
          <w:rFonts w:hint="eastAsia" w:ascii="仿宋_GB2312" w:eastAsia="仿宋_GB2312"/>
          <w:sz w:val="28"/>
          <w:szCs w:val="28"/>
          <w:highlight w:val="none"/>
        </w:rPr>
        <w:t>%；项目支出</w:t>
      </w:r>
      <w:r>
        <w:rPr>
          <w:rFonts w:ascii="仿宋_GB2312" w:eastAsia="仿宋_GB2312"/>
          <w:sz w:val="28"/>
          <w:szCs w:val="28"/>
          <w:highlight w:val="none"/>
        </w:rPr>
        <w:t>646.89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60.63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_x0000_i1027" o:spt="75" type="#_x0000_t75" style="height:216pt;width:360pt;" fillcolor="#FFFFFF" filled="f" o:preferrelative="t" stroked="f" coordsize="21600,21600">
            <v:path/>
            <v:fill on="f" color2="#FFFFFF" focussize="0,0"/>
            <v:stroke on="f"/>
            <v:imagedata r:id="rId8" gain="65536f" blacklevel="0f" gamma="0" o:title=""/>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1066.97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230.73</w:t>
      </w:r>
      <w:r>
        <w:rPr>
          <w:rFonts w:hint="eastAsia" w:ascii="仿宋_GB2312" w:eastAsia="仿宋_GB2312"/>
          <w:sz w:val="28"/>
          <w:szCs w:val="28"/>
        </w:rPr>
        <w:t>万元，增长</w:t>
      </w:r>
      <w:r>
        <w:rPr>
          <w:rFonts w:hint="eastAsia" w:ascii="仿宋_GB2312" w:eastAsia="仿宋_GB2312"/>
          <w:sz w:val="28"/>
          <w:szCs w:val="28"/>
          <w:lang w:val="en-US" w:eastAsia="zh-CN"/>
        </w:rPr>
        <w:t>27.59</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1066.97</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w:t>
      </w:r>
      <w:r>
        <w:rPr>
          <w:rFonts w:hint="eastAsia" w:ascii="仿宋_GB2312" w:eastAsia="仿宋_GB2312"/>
          <w:sz w:val="28"/>
          <w:szCs w:val="28"/>
        </w:rPr>
        <w:t>981.8</w:t>
      </w:r>
      <w:r>
        <w:rPr>
          <w:rFonts w:hint="eastAsia" w:ascii="仿宋_GB2312" w:eastAsia="仿宋_GB2312"/>
          <w:sz w:val="28"/>
          <w:szCs w:val="28"/>
          <w:lang w:val="en-US" w:eastAsia="zh-CN"/>
        </w:rPr>
        <w:t>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92.03</w:t>
      </w:r>
      <w:r>
        <w:rPr>
          <w:rFonts w:hint="eastAsia" w:ascii="仿宋_GB2312" w:eastAsia="仿宋_GB2312"/>
          <w:sz w:val="28"/>
          <w:szCs w:val="28"/>
        </w:rPr>
        <w:t>%；社会保障和就业支出36.6</w:t>
      </w:r>
      <w:r>
        <w:rPr>
          <w:rFonts w:hint="eastAsia" w:ascii="仿宋_GB2312" w:eastAsia="仿宋_GB2312"/>
          <w:sz w:val="28"/>
          <w:szCs w:val="28"/>
          <w:lang w:val="en-US" w:eastAsia="zh-CN"/>
        </w:rPr>
        <w:t>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3.43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highlight w:val="none"/>
          <w:lang w:val="en-US" w:eastAsia="zh-CN"/>
        </w:rPr>
        <w:t>卫生健康支出27.43万元，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2.57%；住房保障支出21万元，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1.97</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992.22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981.89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992.22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981.89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98.96</w:t>
      </w:r>
      <w:r>
        <w:rPr>
          <w:rFonts w:hint="eastAsia" w:ascii="仿宋_GB2312" w:eastAsia="仿宋_GB2312"/>
          <w:sz w:val="28"/>
          <w:szCs w:val="28"/>
        </w:rPr>
        <w:t>%。主要原因：</w:t>
      </w:r>
      <w:r>
        <w:rPr>
          <w:rFonts w:hint="eastAsia" w:ascii="仿宋_GB2312" w:eastAsia="仿宋_GB2312"/>
          <w:sz w:val="28"/>
          <w:szCs w:val="28"/>
          <w:lang w:val="en-US" w:eastAsia="zh-CN"/>
        </w:rPr>
        <w:t>临时辅助用工人员减少，临时辅助用工项目经费减少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highlight w:val="none"/>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107.7</w:t>
      </w:r>
      <w:r>
        <w:rPr>
          <w:rFonts w:hint="eastAsia" w:ascii="仿宋_GB2312" w:eastAsia="仿宋_GB2312"/>
          <w:sz w:val="28"/>
          <w:szCs w:val="28"/>
        </w:rPr>
        <w:t>%。主要原因：</w:t>
      </w:r>
      <w:r>
        <w:rPr>
          <w:rFonts w:hint="eastAsia" w:ascii="仿宋_GB2312" w:eastAsia="仿宋_GB2312"/>
          <w:sz w:val="28"/>
          <w:szCs w:val="28"/>
          <w:lang w:val="en-US" w:eastAsia="zh-CN"/>
        </w:rPr>
        <w:t>本年度单位</w:t>
      </w:r>
      <w:r>
        <w:rPr>
          <w:rFonts w:hint="eastAsia" w:ascii="仿宋_GB2312" w:eastAsia="仿宋_GB2312"/>
          <w:sz w:val="28"/>
          <w:szCs w:val="28"/>
          <w:highlight w:val="none"/>
        </w:rPr>
        <w:t>教职工</w:t>
      </w:r>
      <w:r>
        <w:rPr>
          <w:rFonts w:hint="eastAsia" w:ascii="仿宋_GB2312" w:eastAsia="仿宋_GB2312"/>
          <w:sz w:val="28"/>
          <w:szCs w:val="28"/>
          <w:highlight w:val="none"/>
          <w:lang w:eastAsia="zh-CN"/>
        </w:rPr>
        <w:t>养老</w:t>
      </w:r>
      <w:r>
        <w:rPr>
          <w:rFonts w:hint="eastAsia" w:ascii="仿宋_GB2312" w:eastAsia="仿宋_GB2312"/>
          <w:sz w:val="28"/>
          <w:szCs w:val="28"/>
          <w:highlight w:val="none"/>
        </w:rPr>
        <w:t>保险</w:t>
      </w:r>
      <w:r>
        <w:rPr>
          <w:rFonts w:hint="eastAsia" w:ascii="仿宋_GB2312" w:eastAsia="仿宋_GB2312"/>
          <w:sz w:val="28"/>
          <w:szCs w:val="28"/>
          <w:highlight w:val="none"/>
          <w:lang w:val="en-US" w:eastAsia="zh-CN"/>
        </w:rPr>
        <w:t>缴费</w:t>
      </w:r>
      <w:r>
        <w:rPr>
          <w:rFonts w:hint="eastAsia" w:ascii="仿宋_GB2312" w:eastAsia="仿宋_GB2312"/>
          <w:sz w:val="28"/>
          <w:szCs w:val="28"/>
          <w:highlight w:val="none"/>
        </w:rPr>
        <w:t>基数</w:t>
      </w:r>
      <w:r>
        <w:rPr>
          <w:rFonts w:hint="eastAsia" w:ascii="仿宋_GB2312" w:eastAsia="仿宋_GB2312"/>
          <w:sz w:val="28"/>
          <w:szCs w:val="28"/>
          <w:highlight w:val="none"/>
          <w:lang w:val="en-US" w:eastAsia="zh-CN"/>
        </w:rPr>
        <w:t>上涨</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highlight w:val="none"/>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106.19</w:t>
      </w:r>
      <w:r>
        <w:rPr>
          <w:rFonts w:hint="eastAsia" w:ascii="仿宋_GB2312" w:eastAsia="仿宋_GB2312"/>
          <w:sz w:val="28"/>
          <w:szCs w:val="28"/>
        </w:rPr>
        <w:t>%。主要原因：</w:t>
      </w:r>
      <w:r>
        <w:rPr>
          <w:rFonts w:hint="eastAsia" w:ascii="仿宋_GB2312" w:eastAsia="仿宋_GB2312"/>
          <w:sz w:val="28"/>
          <w:szCs w:val="28"/>
          <w:lang w:val="en-US" w:eastAsia="zh-CN"/>
        </w:rPr>
        <w:t>本年度单位</w:t>
      </w:r>
      <w:r>
        <w:rPr>
          <w:rFonts w:hint="eastAsia" w:ascii="仿宋_GB2312" w:eastAsia="仿宋_GB2312"/>
          <w:sz w:val="28"/>
          <w:szCs w:val="28"/>
          <w:highlight w:val="none"/>
        </w:rPr>
        <w:t>教职工</w:t>
      </w:r>
      <w:r>
        <w:rPr>
          <w:rFonts w:hint="eastAsia" w:ascii="仿宋_GB2312" w:eastAsia="仿宋_GB2312"/>
          <w:sz w:val="28"/>
          <w:szCs w:val="28"/>
          <w:highlight w:val="none"/>
          <w:lang w:val="en-US" w:eastAsia="zh-CN"/>
        </w:rPr>
        <w:t>医疗</w:t>
      </w:r>
      <w:r>
        <w:rPr>
          <w:rFonts w:hint="eastAsia" w:ascii="仿宋_GB2312" w:eastAsia="仿宋_GB2312"/>
          <w:sz w:val="28"/>
          <w:szCs w:val="28"/>
          <w:highlight w:val="none"/>
        </w:rPr>
        <w:t>保险</w:t>
      </w:r>
      <w:r>
        <w:rPr>
          <w:rFonts w:hint="eastAsia" w:ascii="仿宋_GB2312" w:eastAsia="仿宋_GB2312"/>
          <w:sz w:val="28"/>
          <w:szCs w:val="28"/>
          <w:highlight w:val="none"/>
          <w:lang w:val="en-US" w:eastAsia="zh-CN"/>
        </w:rPr>
        <w:t>缴费</w:t>
      </w:r>
      <w:r>
        <w:rPr>
          <w:rFonts w:hint="eastAsia" w:ascii="仿宋_GB2312" w:eastAsia="仿宋_GB2312"/>
          <w:sz w:val="28"/>
          <w:szCs w:val="28"/>
          <w:highlight w:val="none"/>
        </w:rPr>
        <w:t>基数</w:t>
      </w:r>
      <w:r>
        <w:rPr>
          <w:rFonts w:hint="eastAsia" w:ascii="仿宋_GB2312" w:eastAsia="仿宋_GB2312"/>
          <w:sz w:val="28"/>
          <w:szCs w:val="28"/>
          <w:highlight w:val="none"/>
          <w:lang w:val="en-US" w:eastAsia="zh-CN"/>
        </w:rPr>
        <w:t>上涨</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highlight w:val="none"/>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此项目为补发在职教职工住房补贴（第三批）项目。</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本单位2024年度无国有资本经营预算财政拨款</w:t>
      </w:r>
      <w:r>
        <w:rPr>
          <w:rFonts w:hint="eastAsia" w:ascii="仿宋_GB2312" w:eastAsia="仿宋_GB2312"/>
          <w:sz w:val="28"/>
          <w:szCs w:val="28"/>
          <w:lang w:val="en-US" w:eastAsia="zh-CN"/>
        </w:rPr>
        <w:t>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420.08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住房公积金</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办公费、手续费、水费、电费、取暖费、差旅费、维修（护）费、培训费、福利费、公务用车运行维护费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奖励金支出</w:t>
      </w:r>
      <w:r>
        <w:rPr>
          <w:rFonts w:hint="eastAsia" w:ascii="仿宋_GB2312" w:eastAsia="仿宋_GB2312"/>
          <w:sz w:val="28"/>
          <w:szCs w:val="28"/>
          <w:lang w:eastAsia="zh-CN"/>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0.37</w:t>
      </w:r>
      <w:r>
        <w:rPr>
          <w:rFonts w:hint="eastAsia" w:ascii="仿宋_GB2312" w:eastAsia="仿宋_GB2312"/>
          <w:sz w:val="28"/>
          <w:szCs w:val="28"/>
        </w:rPr>
        <w:t>万元。其中：</w:t>
      </w:r>
    </w:p>
    <w:p>
      <w:pPr>
        <w:spacing w:line="560" w:lineRule="exact"/>
        <w:ind w:firstLine="600"/>
        <w:rPr>
          <w:rFonts w:hint="eastAsia" w:ascii="仿宋_GB2312" w:hAnsi="Times New Roman" w:eastAsia="仿宋_GB2312" w:cs="Times New Roman"/>
          <w:color w:val="000000"/>
          <w:kern w:val="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0.37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2024年未购置公务用车。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0.37</w:t>
      </w:r>
      <w:r>
        <w:rPr>
          <w:rFonts w:hint="eastAsia" w:ascii="仿宋_GB2312" w:eastAsia="仿宋_GB2312"/>
          <w:sz w:val="28"/>
          <w:szCs w:val="28"/>
        </w:rPr>
        <w:t>万元，主要原因：</w:t>
      </w:r>
      <w:bookmarkStart w:id="0" w:name="OLE_LINK1"/>
      <w:r>
        <w:rPr>
          <w:rFonts w:hint="eastAsia" w:ascii="仿宋_GB2312" w:eastAsia="仿宋_GB2312"/>
          <w:sz w:val="28"/>
          <w:szCs w:val="28"/>
          <w:lang w:eastAsia="zh-CN"/>
        </w:rPr>
        <w:t>我单位</w:t>
      </w:r>
      <w:r>
        <w:rPr>
          <w:rFonts w:hint="eastAsia" w:ascii="仿宋_GB2312" w:hAnsi="Times New Roman" w:eastAsia="仿宋_GB2312"/>
          <w:b w:val="0"/>
          <w:bCs w:val="0"/>
          <w:kern w:val="2"/>
          <w:sz w:val="28"/>
          <w:szCs w:val="28"/>
        </w:rPr>
        <w:t>2023年新购公务车于2024年提车</w:t>
      </w:r>
      <w:r>
        <w:rPr>
          <w:rFonts w:hint="eastAsia" w:ascii="仿宋_GB2312" w:eastAsia="仿宋_GB2312"/>
          <w:b w:val="0"/>
          <w:bCs w:val="0"/>
          <w:kern w:val="2"/>
          <w:sz w:val="28"/>
          <w:szCs w:val="28"/>
          <w:lang w:eastAsia="zh-CN"/>
        </w:rPr>
        <w:t>，</w:t>
      </w:r>
      <w:r>
        <w:rPr>
          <w:rFonts w:hint="eastAsia" w:ascii="仿宋_GB2312" w:eastAsia="仿宋_GB2312"/>
          <w:sz w:val="28"/>
          <w:szCs w:val="28"/>
          <w:lang w:eastAsia="zh-CN"/>
        </w:rPr>
        <w:t>追加公车运行经费</w:t>
      </w:r>
      <w:r>
        <w:rPr>
          <w:rFonts w:hint="eastAsia" w:ascii="仿宋_GB2312" w:eastAsia="仿宋_GB2312"/>
          <w:sz w:val="28"/>
          <w:szCs w:val="28"/>
        </w:rPr>
        <w:t>。</w:t>
      </w:r>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本单位2024年度无机关运行经费支出</w:t>
      </w:r>
      <w:r>
        <w:rPr>
          <w:rFonts w:hint="eastAsia" w:ascii="仿宋_GB2312" w:eastAsia="仿宋_GB2312"/>
          <w:sz w:val="28"/>
          <w:szCs w:val="28"/>
          <w:lang w:eastAsia="zh-CN"/>
        </w:rPr>
        <w:t>。</w:t>
      </w:r>
      <w:bookmarkStart w:id="1" w:name="_GoBack"/>
      <w:bookmarkEnd w:id="1"/>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2.13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0.27</w:t>
      </w:r>
      <w:r>
        <w:rPr>
          <w:rFonts w:hint="eastAsia" w:ascii="仿宋_GB2312" w:eastAsia="仿宋_GB2312"/>
          <w:sz w:val="28"/>
          <w:szCs w:val="28"/>
        </w:rPr>
        <w:t>万元。授予中小企业合同金额</w:t>
      </w:r>
      <w:r>
        <w:rPr>
          <w:rFonts w:ascii="仿宋_GB2312" w:eastAsia="仿宋_GB2312"/>
          <w:sz w:val="28"/>
          <w:szCs w:val="28"/>
        </w:rPr>
        <w:t>2.4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2.13</w:t>
      </w:r>
      <w:r>
        <w:rPr>
          <w:rFonts w:hint="eastAsia" w:ascii="仿宋_GB2312" w:eastAsia="仿宋_GB2312"/>
          <w:sz w:val="28"/>
          <w:szCs w:val="28"/>
        </w:rPr>
        <w:t>万元，占政府采购支出总额的</w:t>
      </w:r>
      <w:r>
        <w:rPr>
          <w:rFonts w:ascii="仿宋_GB2312" w:eastAsia="仿宋_GB2312"/>
          <w:sz w:val="28"/>
          <w:szCs w:val="28"/>
        </w:rPr>
        <w:t>88.61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12月31日，北京市大兴区瀛海第四幼儿园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left="540"/>
        <w:rPr>
          <w:rFonts w:hint="eastAsia" w:ascii="仿宋_GB2312" w:eastAsia="仿宋_GB2312"/>
          <w:sz w:val="28"/>
          <w:szCs w:val="28"/>
          <w:lang w:val="en-US" w:eastAsia="zh-CN"/>
        </w:rPr>
      </w:pPr>
      <w:r>
        <w:rPr>
          <w:rFonts w:hint="eastAsia" w:ascii="仿宋_GB2312" w:eastAsia="仿宋_GB2312"/>
          <w:sz w:val="28"/>
          <w:szCs w:val="28"/>
        </w:rPr>
        <w:t>本单位2024年度无政府购买服务支出</w:t>
      </w:r>
      <w:r>
        <w:rPr>
          <w:rFonts w:hint="eastAsia" w:ascii="仿宋_GB2312" w:eastAsia="仿宋_GB2312"/>
          <w:sz w:val="28"/>
          <w:szCs w:val="28"/>
          <w:lang w:eastAsia="zh-CN"/>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hAnsi="宋体" w:eastAsia="仿宋_GB2312"/>
          <w:sz w:val="28"/>
          <w:szCs w:val="28"/>
        </w:rPr>
      </w:pPr>
      <w:r>
        <w:rPr>
          <w:rFonts w:hint="eastAsia" w:ascii="仿宋_GB2312" w:eastAsia="仿宋_GB2312"/>
          <w:sz w:val="28"/>
          <w:szCs w:val="28"/>
          <w:lang w:val="en-US" w:eastAsia="zh-CN"/>
        </w:rPr>
        <w:t xml:space="preserve"> </w:t>
      </w:r>
      <w:r>
        <w:rPr>
          <w:rFonts w:ascii="仿宋_GB2312" w:eastAsia="仿宋_GB2312"/>
          <w:sz w:val="28"/>
          <w:szCs w:val="28"/>
        </w:rPr>
        <w:t>4.</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ascii="仿宋_GB2312" w:eastAsia="仿宋_GB2312"/>
          <w:sz w:val="28"/>
          <w:szCs w:val="28"/>
        </w:rPr>
        <w:t>5.政府购买服务：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6</w:t>
      </w:r>
      <w:r>
        <w:rPr>
          <w:rFonts w:hint="eastAsia" w:ascii="仿宋_GB2312" w:eastAsia="仿宋_GB2312"/>
          <w:sz w:val="28"/>
          <w:szCs w:val="28"/>
        </w:rPr>
        <w:t>. 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ascii="仿宋_GB2312" w:eastAsia="仿宋_GB2312"/>
          <w:sz w:val="28"/>
          <w:szCs w:val="28"/>
        </w:rPr>
        <w:t>7</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 w:hAnsi="仿宋" w:eastAsia="仿宋"/>
          <w:sz w:val="28"/>
          <w:szCs w:val="28"/>
        </w:rPr>
      </w:pPr>
      <w:r>
        <w:rPr>
          <w:rFonts w:hint="eastAsia" w:ascii="仿宋_GB2312" w:eastAsia="仿宋_GB2312"/>
          <w:sz w:val="28"/>
          <w:szCs w:val="28"/>
        </w:rPr>
        <w:t xml:space="preserve"> </w:t>
      </w:r>
      <w:r>
        <w:rPr>
          <w:rFonts w:ascii="仿宋_GB2312" w:eastAsia="仿宋_GB2312"/>
          <w:sz w:val="28"/>
          <w:szCs w:val="28"/>
        </w:rPr>
        <w:t>8</w:t>
      </w:r>
      <w:r>
        <w:rPr>
          <w:rFonts w:hint="eastAsia" w:ascii="仿宋_GB2312" w:eastAsia="仿宋_GB2312"/>
          <w:sz w:val="28"/>
          <w:szCs w:val="28"/>
        </w:rPr>
        <w:t>.卫生健康支出（类）行政事业单位医疗（款）事业单位医疗支出（项）：</w:t>
      </w:r>
      <w:r>
        <w:rPr>
          <w:rFonts w:hint="eastAsia" w:ascii="仿宋" w:hAnsi="仿宋" w:eastAsia="仿宋"/>
          <w:sz w:val="28"/>
          <w:szCs w:val="28"/>
        </w:rPr>
        <w:t>反应财政部门安排的事业单位基本医疗保险缴费经费，未参加医疗保险的事业单位的公费医疗经费，按国家规定享受离休人员待遇的医疗经费。</w:t>
      </w:r>
    </w:p>
    <w:p>
      <w:pPr>
        <w:ind w:firstLine="420" w:firstLineChars="150"/>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9</w:t>
      </w:r>
      <w:r>
        <w:rPr>
          <w:rFonts w:hint="eastAsia" w:ascii="仿宋" w:hAnsi="仿宋" w:eastAsia="仿宋"/>
          <w:sz w:val="28"/>
          <w:szCs w:val="28"/>
        </w:rPr>
        <w:t>.</w:t>
      </w:r>
      <w:r>
        <w:rPr>
          <w:rFonts w:hint="eastAsia" w:ascii="仿宋_GB2312" w:eastAsia="仿宋_GB2312"/>
          <w:sz w:val="28"/>
          <w:szCs w:val="28"/>
        </w:rPr>
        <w:t>卫生健康支出（类）行政事业单位医疗（款）</w:t>
      </w:r>
      <w:r>
        <w:rPr>
          <w:rFonts w:hint="eastAsia" w:ascii="仿宋" w:hAnsi="仿宋" w:eastAsia="仿宋"/>
          <w:sz w:val="28"/>
          <w:szCs w:val="28"/>
        </w:rPr>
        <w:t>公务员医疗补助支出：反映财政部门安排的公务员医疗补助经费。</w:t>
      </w:r>
    </w:p>
    <w:p>
      <w:pPr>
        <w:ind w:firstLine="420" w:firstLineChars="150"/>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10</w:t>
      </w:r>
      <w:r>
        <w:rPr>
          <w:rFonts w:hint="eastAsia" w:ascii="仿宋" w:hAnsi="仿宋" w:eastAsia="仿宋"/>
          <w:sz w:val="28"/>
          <w:szCs w:val="28"/>
        </w:rPr>
        <w:t>.教育支出（类）普通教育支出（款）学前教育支出（项）：反映各部门举办的学前教育支出。政府各部门对社会组织等举办的幼儿园的资助，如捐赠、补贴等，也在本科目中反映。</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p>
      <w:pPr>
        <w:pStyle w:val="2"/>
      </w:pPr>
    </w:p>
    <w:p/>
    <w:p>
      <w:pPr>
        <w:pStyle w:val="2"/>
      </w:pPr>
    </w:p>
    <w:p>
      <w:pPr>
        <w:pStyle w:val="2"/>
      </w:pPr>
    </w:p>
    <w:p/>
    <w:p>
      <w:pPr>
        <w:pStyle w:val="2"/>
      </w:pPr>
    </w:p>
    <w:p>
      <w:pPr>
        <w:spacing w:line="520" w:lineRule="exact"/>
        <w:rPr>
          <w:rFonts w:hint="eastAsia" w:ascii="黑体" w:hAnsi="黑体" w:eastAsia="黑体" w:cs="黑体"/>
          <w:bCs/>
          <w:color w:val="000000"/>
          <w:kern w:val="0"/>
          <w:sz w:val="32"/>
          <w:szCs w:val="32"/>
        </w:rPr>
      </w:pPr>
    </w:p>
    <w:p>
      <w:pPr>
        <w:pStyle w:val="2"/>
        <w:rPr>
          <w:rFonts w:hint="eastAsia"/>
        </w:rPr>
      </w:pPr>
    </w:p>
    <w:tbl>
      <w:tblPr>
        <w:tblStyle w:val="10"/>
        <w:tblW w:w="10201" w:type="dxa"/>
        <w:jc w:val="center"/>
        <w:tblInd w:w="-10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5"/>
        <w:gridCol w:w="981"/>
        <w:gridCol w:w="989"/>
        <w:gridCol w:w="679"/>
        <w:gridCol w:w="678"/>
        <w:gridCol w:w="207"/>
        <w:gridCol w:w="1237"/>
        <w:gridCol w:w="1140"/>
        <w:gridCol w:w="645"/>
        <w:gridCol w:w="326"/>
        <w:gridCol w:w="452"/>
        <w:gridCol w:w="679"/>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201"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201" w:type="dxa"/>
            <w:gridSpan w:val="13"/>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8956"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2024年党建活动经费—瀛海四幼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4771"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045"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49"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4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0.28</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0.28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0.28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0.28</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0.28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0.28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477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185"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6" w:hRule="exact"/>
          <w:jc w:val="center"/>
        </w:trPr>
        <w:tc>
          <w:tcPr>
            <w:tcW w:w="124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771"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w:t>
            </w:r>
            <w:r>
              <w:rPr>
                <w:rFonts w:hint="eastAsia" w:ascii="宋体" w:hAnsi="宋体" w:cs="宋体"/>
                <w:kern w:val="0"/>
                <w:sz w:val="18"/>
                <w:szCs w:val="18"/>
              </w:rPr>
              <w:t>通过购买党建所需物品、开展相关活动等多种形式，进一步提高党建活力、水平，提升支部凝聚力、战斗力，提高党员思想政治素养和理论水平，以高质量党建推动教育高质量发展。</w:t>
            </w:r>
          </w:p>
        </w:tc>
        <w:tc>
          <w:tcPr>
            <w:tcW w:w="4185"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w:t>
            </w:r>
            <w:r>
              <w:rPr>
                <w:rFonts w:hint="eastAsia" w:ascii="宋体" w:hAnsi="宋体" w:cs="宋体"/>
                <w:kern w:val="0"/>
                <w:sz w:val="18"/>
                <w:szCs w:val="18"/>
              </w:rPr>
              <w:t>通过购买党建所需物品、开展相关活动等多种形式，进一步提高党建活力、水平，提升支部凝聚力、战斗力，提高党员思想政治素养和理论水平，以高质量党建推动教育高质量发展。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24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981"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62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指标1：党员人数</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7人</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7人</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20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各类党建活动的完成</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党员活动经费支出</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≦1年</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≦1年</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245" w:type="dxa"/>
            <w:tcBorders>
              <w:left w:val="single" w:color="auto" w:sz="4" w:space="0"/>
              <w:right w:val="single" w:color="auto" w:sz="4" w:space="0"/>
            </w:tcBorders>
            <w:vAlign w:val="center"/>
          </w:tcPr>
          <w:p>
            <w:pPr>
              <w:jc w:val="center"/>
              <w:rPr>
                <w:rFonts w:ascii="宋体" w:hAnsi="宋体" w:cs="宋体"/>
                <w:b w:val="0"/>
                <w:bCs w:val="0"/>
                <w:kern w:val="0"/>
                <w:sz w:val="18"/>
                <w:szCs w:val="18"/>
              </w:rPr>
            </w:pPr>
          </w:p>
        </w:tc>
        <w:tc>
          <w:tcPr>
            <w:tcW w:w="981"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b w:val="0"/>
                <w:bCs w:val="0"/>
                <w:kern w:val="0"/>
                <w:sz w:val="18"/>
                <w:szCs w:val="18"/>
              </w:rPr>
            </w:pPr>
            <w:r>
              <w:rPr>
                <w:rFonts w:hint="eastAsia" w:ascii="宋体" w:hAnsi="宋体" w:cs="宋体"/>
                <w:b w:val="0"/>
                <w:bCs w:val="0"/>
                <w:color w:val="000000"/>
                <w:kern w:val="0"/>
                <w:sz w:val="18"/>
                <w:szCs w:val="18"/>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指标1：预算控制数</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≦0.28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≦0.28</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b w:val="0"/>
                <w:bCs w:val="0"/>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b w:val="0"/>
                <w:bCs w:val="0"/>
                <w:kern w:val="0"/>
                <w:sz w:val="18"/>
                <w:szCs w:val="18"/>
              </w:rPr>
            </w:pPr>
            <w:r>
              <w:rPr>
                <w:rFonts w:hint="eastAsia" w:ascii="宋体" w:hAnsi="宋体" w:cs="宋体"/>
                <w:b w:val="0"/>
                <w:bCs w:val="0"/>
                <w:color w:val="000000"/>
                <w:kern w:val="0"/>
                <w:sz w:val="18"/>
                <w:szCs w:val="18"/>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指标1：提高党员思想政治素养和理论水平</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指标1：党员职工满意度</w:t>
            </w:r>
          </w:p>
        </w:tc>
        <w:tc>
          <w:tcPr>
            <w:tcW w:w="1237"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≧95%</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3" w:hRule="exact"/>
          <w:jc w:val="center"/>
        </w:trPr>
        <w:tc>
          <w:tcPr>
            <w:tcW w:w="124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15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622"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p>
      <w:pPr>
        <w:rPr>
          <w:rFonts w:hint="eastAsia"/>
        </w:rPr>
      </w:pPr>
    </w:p>
    <w:p>
      <w:pPr>
        <w:rPr>
          <w:rFonts w:hint="eastAsia"/>
        </w:rPr>
      </w:pPr>
    </w:p>
    <w:p>
      <w:pPr>
        <w:pStyle w:val="2"/>
        <w:rPr>
          <w:rFonts w:hint="eastAsia"/>
        </w:rPr>
      </w:pPr>
    </w:p>
    <w:p>
      <w:pPr>
        <w:rPr>
          <w:rFonts w:hint="eastAsia"/>
        </w:rPr>
      </w:pPr>
    </w:p>
    <w:tbl>
      <w:tblPr>
        <w:tblStyle w:val="10"/>
        <w:tblW w:w="10201" w:type="dxa"/>
        <w:jc w:val="center"/>
        <w:tblInd w:w="-10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5"/>
        <w:gridCol w:w="981"/>
        <w:gridCol w:w="989"/>
        <w:gridCol w:w="679"/>
        <w:gridCol w:w="678"/>
        <w:gridCol w:w="207"/>
        <w:gridCol w:w="1237"/>
        <w:gridCol w:w="1140"/>
        <w:gridCol w:w="645"/>
        <w:gridCol w:w="326"/>
        <w:gridCol w:w="452"/>
        <w:gridCol w:w="679"/>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201"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201" w:type="dxa"/>
            <w:gridSpan w:val="13"/>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8956"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物业管理-3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4771"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045"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49"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4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28.8</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28.7988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28.7988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678" w:type="dxa"/>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28.8</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28.7988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28.7988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477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185"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6" w:hRule="exact"/>
          <w:jc w:val="center"/>
        </w:trPr>
        <w:tc>
          <w:tcPr>
            <w:tcW w:w="124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771"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为加强幼儿园安全管理，保障师生安全，根据《北京市中小学幼儿园安全管理规定》要求配备校园保安。</w:t>
            </w:r>
          </w:p>
        </w:tc>
        <w:tc>
          <w:tcPr>
            <w:tcW w:w="4185"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为加强幼儿园安全管理，保障师生安全，根据《北京市中小学幼儿园安全管理规定》要求配备校园保安。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24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981"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62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指标1：聘任保安数量</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6人</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6人</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20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提供安全保卫服务</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按月拨付第三方劳务派遣公司费用</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12</w:t>
            </w:r>
            <w:r>
              <w:rPr>
                <w:rFonts w:hint="eastAsia" w:ascii="宋体" w:hAnsi="宋体" w:cs="宋体"/>
                <w:kern w:val="0"/>
                <w:sz w:val="18"/>
                <w:szCs w:val="18"/>
              </w:rPr>
              <w:t>次</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12</w:t>
            </w:r>
            <w:r>
              <w:rPr>
                <w:rFonts w:hint="eastAsia" w:ascii="宋体" w:hAnsi="宋体" w:cs="宋体"/>
                <w:kern w:val="0"/>
                <w:sz w:val="18"/>
                <w:szCs w:val="18"/>
              </w:rPr>
              <w:t>次</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245" w:type="dxa"/>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指标1：预算控制数</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28.8</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28.7988</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指标1：保障幼儿园安全稳定</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幼儿园</w:t>
            </w:r>
          </w:p>
        </w:tc>
        <w:tc>
          <w:tcPr>
            <w:tcW w:w="1237"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r>
              <w:rPr>
                <w:rFonts w:hint="eastAsia" w:ascii="宋体" w:hAnsi="宋体" w:cs="宋体"/>
                <w:kern w:val="0"/>
                <w:sz w:val="18"/>
                <w:szCs w:val="18"/>
                <w:lang w:val="en-US" w:eastAsia="zh-CN"/>
              </w:rPr>
              <w:t>0</w:t>
            </w:r>
            <w:r>
              <w:rPr>
                <w:rFonts w:hint="eastAsia" w:ascii="宋体" w:hAnsi="宋体" w:cs="宋体"/>
                <w:kern w:val="0"/>
                <w:sz w:val="18"/>
                <w:szCs w:val="18"/>
              </w:rPr>
              <w:t>%</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3" w:hRule="exact"/>
          <w:jc w:val="center"/>
        </w:trPr>
        <w:tc>
          <w:tcPr>
            <w:tcW w:w="124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15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622"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0774" w:type="dxa"/>
        <w:jc w:val="center"/>
        <w:tblInd w:w="-44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1165"/>
        <w:gridCol w:w="1306"/>
        <w:gridCol w:w="1388"/>
        <w:gridCol w:w="1413"/>
        <w:gridCol w:w="1140"/>
        <w:gridCol w:w="645"/>
        <w:gridCol w:w="326"/>
        <w:gridCol w:w="452"/>
        <w:gridCol w:w="679"/>
        <w:gridCol w:w="1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774" w:type="dxa"/>
            <w:gridSpan w:val="11"/>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774" w:type="dxa"/>
            <w:gridSpan w:val="11"/>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9589" w:type="dxa"/>
            <w:gridSpan w:val="10"/>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2024年临时辅助用工项目经费—瀛海四幼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5272"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177"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471"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13"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332.20536</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248.795208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225.028099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7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1388" w:type="dxa"/>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332.20536</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248.795208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225.028099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13" w:type="dxa"/>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13" w:type="dxa"/>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13" w:type="dxa"/>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5272" w:type="dxa"/>
            <w:gridSpan w:val="4"/>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317"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6" w:hRule="exact"/>
          <w:jc w:val="center"/>
        </w:trPr>
        <w:tc>
          <w:tcPr>
            <w:tcW w:w="118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5272" w:type="dxa"/>
            <w:gridSpan w:val="4"/>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保障幼儿园日常工作的正常开展，提高幼儿园的工作质量，维护临时辅助用工人员合法权益，形成和谐稳定的劳动关系。</w:t>
            </w:r>
          </w:p>
        </w:tc>
        <w:tc>
          <w:tcPr>
            <w:tcW w:w="4317"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保障幼儿园日常工作的正常开展，提高幼儿园的工作质量，维护临时辅助用工人员合法权益，形成和谐稳定的劳动关系。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18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165"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1306"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388"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41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75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1306"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指标1：服务期限</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指标2：经费保障38人</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38人</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25人</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3</w:t>
            </w:r>
          </w:p>
        </w:tc>
        <w:tc>
          <w:tcPr>
            <w:tcW w:w="1754" w:type="dxa"/>
            <w:gridSpan w:val="2"/>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因员工离职，故人员减少，会进一步加强人员稳定管理。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保障社会权益</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时效指标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按月拨付劳务派遣公司款项</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12次/年</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12次/年</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18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nil"/>
              <w:left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restart"/>
            <w:tcBorders>
              <w:top w:val="nil"/>
              <w:left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指标2：保障工资按时发放</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185" w:type="dxa"/>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成本指标（10分）</w:t>
            </w:r>
          </w:p>
        </w:tc>
        <w:tc>
          <w:tcPr>
            <w:tcW w:w="1306"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指标1：预算控制数</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≦248.795208</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225.028099</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306"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社会成本指标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1306"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指标1：行业安全健康</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13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临时辅助用工及幼儿园满意度</w:t>
            </w:r>
          </w:p>
        </w:tc>
        <w:tc>
          <w:tcPr>
            <w:tcW w:w="1413"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r>
              <w:rPr>
                <w:rFonts w:hint="eastAsia" w:ascii="宋体" w:hAnsi="宋体" w:cs="宋体"/>
                <w:kern w:val="0"/>
                <w:sz w:val="18"/>
                <w:szCs w:val="18"/>
                <w:lang w:val="en-US" w:eastAsia="zh-CN"/>
              </w:rPr>
              <w:t>8</w:t>
            </w:r>
            <w:r>
              <w:rPr>
                <w:rFonts w:hint="eastAsia" w:ascii="宋体" w:hAnsi="宋体" w:cs="宋体"/>
                <w:kern w:val="0"/>
                <w:sz w:val="18"/>
                <w:szCs w:val="18"/>
              </w:rPr>
              <w:t>%</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3" w:hRule="exact"/>
          <w:jc w:val="center"/>
        </w:trPr>
        <w:tc>
          <w:tcPr>
            <w:tcW w:w="118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0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597" w:type="dxa"/>
            <w:gridSpan w:val="6"/>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97.04</w:t>
            </w:r>
          </w:p>
        </w:tc>
        <w:tc>
          <w:tcPr>
            <w:tcW w:w="1754"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p>
      <w:pPr>
        <w:rPr>
          <w:rFonts w:hint="eastAsia"/>
        </w:rPr>
      </w:pPr>
    </w:p>
    <w:p>
      <w:pPr>
        <w:rPr>
          <w:rFonts w:hint="eastAsia"/>
        </w:rPr>
      </w:pPr>
    </w:p>
    <w:tbl>
      <w:tblPr>
        <w:tblStyle w:val="10"/>
        <w:tblW w:w="10774" w:type="dxa"/>
        <w:jc w:val="center"/>
        <w:tblInd w:w="-145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1165"/>
        <w:gridCol w:w="1155"/>
        <w:gridCol w:w="151"/>
        <w:gridCol w:w="1388"/>
        <w:gridCol w:w="1413"/>
        <w:gridCol w:w="1140"/>
        <w:gridCol w:w="645"/>
        <w:gridCol w:w="326"/>
        <w:gridCol w:w="452"/>
        <w:gridCol w:w="679"/>
        <w:gridCol w:w="1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774" w:type="dxa"/>
            <w:gridSpan w:val="12"/>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774" w:type="dxa"/>
            <w:gridSpan w:val="12"/>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9589" w:type="dxa"/>
            <w:gridSpan w:val="11"/>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2024年员额制项目经费—瀛海四幼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5272"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177"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471"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13"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276.35495</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276.35495</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264.14597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107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1388" w:type="dxa"/>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276.35495</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276.35495</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264.14597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13" w:type="dxa"/>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13" w:type="dxa"/>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47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138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13" w:type="dxa"/>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5272"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317"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6" w:hRule="exact"/>
          <w:jc w:val="center"/>
        </w:trPr>
        <w:tc>
          <w:tcPr>
            <w:tcW w:w="118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5272" w:type="dxa"/>
            <w:gridSpan w:val="5"/>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为确保我园工作有效运转，保障园所教育教学正常有序开展，提升幼儿园办学水平，改善办学条件，推动教师教学水平的提高。维护行业安全健康发展和首都的安全稳定，保障在园幼儿安全。</w:t>
            </w:r>
          </w:p>
        </w:tc>
        <w:tc>
          <w:tcPr>
            <w:tcW w:w="4317"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为确保我园工作有效运转，保障园所教育教学正常有序开展，提升幼儿园办学水平，改善办学条件，推动教师教学水平的提高。维护行业安全健康发展和首都的安全稳定，保障在园幼儿安全。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18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165"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1155"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41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75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115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指标1：服务期限</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指标2：经费保障</w:t>
            </w:r>
            <w:r>
              <w:rPr>
                <w:rFonts w:hint="eastAsia" w:ascii="宋体" w:hAnsi="宋体" w:cs="宋体"/>
                <w:color w:val="000000"/>
                <w:kern w:val="0"/>
                <w:sz w:val="18"/>
                <w:szCs w:val="18"/>
                <w:lang w:val="en-US" w:eastAsia="zh-CN"/>
              </w:rPr>
              <w:t>人数</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10人</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9人</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4</w:t>
            </w:r>
          </w:p>
        </w:tc>
        <w:tc>
          <w:tcPr>
            <w:tcW w:w="1754" w:type="dxa"/>
            <w:gridSpan w:val="2"/>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因员工离职，故人员减少，会进一步加强人员稳定管理。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保障工资按时发放</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指标2：保障社会权益</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rPr>
            </w:pPr>
          </w:p>
        </w:tc>
        <w:tc>
          <w:tcPr>
            <w:tcW w:w="115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时效指标</w:t>
            </w:r>
          </w:p>
        </w:tc>
        <w:tc>
          <w:tcPr>
            <w:tcW w:w="1539"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按月发放工资</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12次/年</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12次/年</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6" w:hRule="exact"/>
          <w:jc w:val="center"/>
        </w:trPr>
        <w:tc>
          <w:tcPr>
            <w:tcW w:w="118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rPr>
            </w:pPr>
          </w:p>
        </w:tc>
        <w:tc>
          <w:tcPr>
            <w:tcW w:w="1539"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185" w:type="dxa"/>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single" w:color="auto" w:sz="4" w:space="0"/>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成本指标（10分）</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指标1：人员经费预算</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≦276.35495</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264.14597</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55"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社会成本指标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115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指标1：行业安全健康</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41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115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对工作和工资匹配满意程度</w:t>
            </w:r>
          </w:p>
        </w:tc>
        <w:tc>
          <w:tcPr>
            <w:tcW w:w="1413"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r>
              <w:rPr>
                <w:rFonts w:hint="eastAsia" w:ascii="宋体" w:hAnsi="宋体" w:cs="宋体"/>
                <w:kern w:val="0"/>
                <w:sz w:val="18"/>
                <w:szCs w:val="18"/>
                <w:lang w:val="en-US" w:eastAsia="zh-CN"/>
              </w:rPr>
              <w:t>8</w:t>
            </w:r>
            <w:r>
              <w:rPr>
                <w:rFonts w:hint="eastAsia" w:ascii="宋体" w:hAnsi="宋体" w:cs="宋体"/>
                <w:kern w:val="0"/>
                <w:sz w:val="18"/>
                <w:szCs w:val="18"/>
              </w:rPr>
              <w:t>%</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18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3" w:hRule="exact"/>
          <w:jc w:val="center"/>
        </w:trPr>
        <w:tc>
          <w:tcPr>
            <w:tcW w:w="118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6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3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41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5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597"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98.56</w:t>
            </w:r>
          </w:p>
        </w:tc>
        <w:tc>
          <w:tcPr>
            <w:tcW w:w="1754"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tbl>
      <w:tblPr>
        <w:tblStyle w:val="10"/>
        <w:tblW w:w="10201" w:type="dxa"/>
        <w:jc w:val="center"/>
        <w:tblInd w:w="-10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5"/>
        <w:gridCol w:w="981"/>
        <w:gridCol w:w="989"/>
        <w:gridCol w:w="679"/>
        <w:gridCol w:w="678"/>
        <w:gridCol w:w="207"/>
        <w:gridCol w:w="1237"/>
        <w:gridCol w:w="1140"/>
        <w:gridCol w:w="645"/>
        <w:gridCol w:w="326"/>
        <w:gridCol w:w="452"/>
        <w:gridCol w:w="679"/>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201"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201" w:type="dxa"/>
            <w:gridSpan w:val="13"/>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8956"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一般因素法-2024年学前扩班-大兴区瀛海第四幼儿园新增班级室内区域、户外运动器械玩具购置项目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4771"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045"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49"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4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w:t>
            </w:r>
            <w:r>
              <w:rPr>
                <w:rFonts w:hint="eastAsia" w:ascii="宋体" w:hAnsi="宋体" w:cs="宋体"/>
                <w:kern w:val="0"/>
                <w:sz w:val="18"/>
                <w:szCs w:val="18"/>
                <w:lang w:val="en-US" w:eastAsia="zh-CN"/>
              </w:rPr>
              <w:t>0</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38.5339</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38.5339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678" w:type="dxa"/>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20</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38.5339</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38.5339</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477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185"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6" w:hRule="exact"/>
          <w:jc w:val="center"/>
        </w:trPr>
        <w:tc>
          <w:tcPr>
            <w:tcW w:w="124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771"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为保障新增班级幼儿玩教具、图书的正常使用，进一步丰富园内游戏活动内容，向幼儿提供有智、有趣的玩教具及图书，保证幼儿园正常的教育教学需求。</w:t>
            </w:r>
          </w:p>
        </w:tc>
        <w:tc>
          <w:tcPr>
            <w:tcW w:w="4185"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为保障新增班级幼儿玩教具、图书的正常使用，进一步丰富园内游戏活动内容，向幼儿提供有智、有趣的玩教具及图书，保证幼儿园正常的教育教学需求。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24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981"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62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989"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指标1：托班室内区域玩具</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≧7套</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7套</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指标2：托班户外运动器械玩具</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≧2套</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2套</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指标3：</w:t>
            </w:r>
            <w:r>
              <w:rPr>
                <w:rFonts w:hint="eastAsia" w:ascii="宋体" w:hAnsi="宋体" w:cs="宋体"/>
                <w:color w:val="000000"/>
                <w:kern w:val="0"/>
                <w:sz w:val="18"/>
                <w:szCs w:val="18"/>
              </w:rPr>
              <w:t>班级区域玩教具</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≧10套</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0套</w:t>
            </w:r>
          </w:p>
        </w:tc>
        <w:tc>
          <w:tcPr>
            <w:tcW w:w="645"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指标4：幼儿图书</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≧10套</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w:t>
            </w:r>
            <w:r>
              <w:rPr>
                <w:rFonts w:hint="eastAsia" w:ascii="宋体" w:hAnsi="宋体" w:cs="宋体"/>
                <w:kern w:val="0"/>
                <w:sz w:val="18"/>
                <w:szCs w:val="18"/>
              </w:rPr>
              <w:t>0套</w:t>
            </w:r>
          </w:p>
        </w:tc>
        <w:tc>
          <w:tcPr>
            <w:tcW w:w="645"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5</w:t>
            </w: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产品质量</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购置时限</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≦1年</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≦1年</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245" w:type="dxa"/>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指标1：预算控制数</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≦40</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38.5339</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指标1：公共服务能力</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幼儿、家长满意度</w:t>
            </w:r>
          </w:p>
        </w:tc>
        <w:tc>
          <w:tcPr>
            <w:tcW w:w="1237"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r>
              <w:rPr>
                <w:rFonts w:hint="eastAsia" w:ascii="宋体" w:hAnsi="宋体" w:cs="宋体"/>
                <w:kern w:val="0"/>
                <w:sz w:val="18"/>
                <w:szCs w:val="18"/>
                <w:lang w:val="en-US" w:eastAsia="zh-CN"/>
              </w:rPr>
              <w:t>5</w:t>
            </w:r>
            <w:r>
              <w:rPr>
                <w:rFonts w:hint="eastAsia" w:ascii="宋体" w:hAnsi="宋体" w:cs="宋体"/>
                <w:kern w:val="0"/>
                <w:sz w:val="18"/>
                <w:szCs w:val="18"/>
              </w:rPr>
              <w:t>%</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exact"/>
          <w:jc w:val="center"/>
        </w:trPr>
        <w:tc>
          <w:tcPr>
            <w:tcW w:w="124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15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622"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p>
      <w:pPr>
        <w:rPr>
          <w:rFonts w:hint="eastAsia"/>
        </w:rPr>
      </w:pPr>
    </w:p>
    <w:p>
      <w:pPr>
        <w:rPr>
          <w:rFonts w:hint="eastAsia"/>
        </w:rPr>
      </w:pPr>
    </w:p>
    <w:p>
      <w:pPr>
        <w:pStyle w:val="2"/>
        <w:rPr>
          <w:rFonts w:hint="eastAsia"/>
        </w:rPr>
      </w:pPr>
    </w:p>
    <w:tbl>
      <w:tblPr>
        <w:tblStyle w:val="10"/>
        <w:tblW w:w="10201" w:type="dxa"/>
        <w:jc w:val="center"/>
        <w:tblInd w:w="-10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5"/>
        <w:gridCol w:w="981"/>
        <w:gridCol w:w="989"/>
        <w:gridCol w:w="679"/>
        <w:gridCol w:w="678"/>
        <w:gridCol w:w="207"/>
        <w:gridCol w:w="1237"/>
        <w:gridCol w:w="1140"/>
        <w:gridCol w:w="645"/>
        <w:gridCol w:w="326"/>
        <w:gridCol w:w="452"/>
        <w:gridCol w:w="679"/>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201"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201" w:type="dxa"/>
            <w:gridSpan w:val="13"/>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8956"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一般因素法-瀛海镇第四幼儿园楼道吊顶改造项目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4771"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045"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49"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4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22.721686</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22.721686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678" w:type="dxa"/>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22.721686</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22.721686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477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185"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6" w:hRule="exact"/>
          <w:jc w:val="center"/>
        </w:trPr>
        <w:tc>
          <w:tcPr>
            <w:tcW w:w="124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771"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由于出现安全隐患情况，为保障师生的安全，尽快改善师生的学习工作环境，消除安全隐患，急需对楼道吊顶进行改造。</w:t>
            </w:r>
          </w:p>
        </w:tc>
        <w:tc>
          <w:tcPr>
            <w:tcW w:w="4185"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由于出现安全隐患情况，为保障师生的安全，尽快改善师生的学习工作环境，消除安全隐患，急需对楼道吊顶进行改造。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24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981"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62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指标1：管道油漆新做</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1920平方米</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1920平方米</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指标2：墙面抹灰</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967平方米</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967平方米</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指标3：</w:t>
            </w:r>
            <w:r>
              <w:rPr>
                <w:rFonts w:hint="eastAsia" w:ascii="宋体" w:hAnsi="宋体" w:cs="宋体"/>
                <w:color w:val="000000"/>
                <w:kern w:val="0"/>
                <w:sz w:val="18"/>
                <w:szCs w:val="18"/>
              </w:rPr>
              <w:t>楼道吊顶整修</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960平方米</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960平方米</w:t>
            </w:r>
          </w:p>
        </w:tc>
        <w:tc>
          <w:tcPr>
            <w:tcW w:w="645"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验收合格率</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245" w:type="dxa"/>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成本指标（10分）</w:t>
            </w:r>
          </w:p>
        </w:tc>
        <w:tc>
          <w:tcPr>
            <w:tcW w:w="9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指标1：项目总预算</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22.721686</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22.721686</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指标1：保障师生正常学习生活</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师生满意度</w:t>
            </w:r>
          </w:p>
        </w:tc>
        <w:tc>
          <w:tcPr>
            <w:tcW w:w="1237"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r>
              <w:rPr>
                <w:rFonts w:hint="eastAsia" w:ascii="宋体" w:hAnsi="宋体" w:cs="宋体"/>
                <w:kern w:val="0"/>
                <w:sz w:val="18"/>
                <w:szCs w:val="18"/>
                <w:lang w:val="en-US" w:eastAsia="zh-CN"/>
              </w:rPr>
              <w:t>5</w:t>
            </w:r>
            <w:r>
              <w:rPr>
                <w:rFonts w:hint="eastAsia" w:ascii="宋体" w:hAnsi="宋体" w:cs="宋体"/>
                <w:kern w:val="0"/>
                <w:sz w:val="18"/>
                <w:szCs w:val="18"/>
              </w:rPr>
              <w:t>%</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exact"/>
          <w:jc w:val="center"/>
        </w:trPr>
        <w:tc>
          <w:tcPr>
            <w:tcW w:w="124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15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622"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0201" w:type="dxa"/>
        <w:jc w:val="center"/>
        <w:tblInd w:w="-10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5"/>
        <w:gridCol w:w="981"/>
        <w:gridCol w:w="989"/>
        <w:gridCol w:w="679"/>
        <w:gridCol w:w="678"/>
        <w:gridCol w:w="207"/>
        <w:gridCol w:w="1237"/>
        <w:gridCol w:w="1140"/>
        <w:gridCol w:w="645"/>
        <w:gridCol w:w="326"/>
        <w:gridCol w:w="452"/>
        <w:gridCol w:w="679"/>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10201"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10201" w:type="dxa"/>
            <w:gridSpan w:val="13"/>
            <w:tcBorders>
              <w:top w:val="nil"/>
              <w:left w:val="nil"/>
              <w:bottom w:val="nil"/>
              <w:right w:val="nil"/>
            </w:tcBorders>
            <w:vAlign w:val="top"/>
          </w:tcPr>
          <w:p>
            <w:pPr>
              <w:widowControl/>
              <w:jc w:val="center"/>
              <w:textAlignment w:val="top"/>
              <w:rPr>
                <w:rFonts w:ascii="宋体" w:hAnsi="宋体" w:cs="宋体"/>
                <w:kern w:val="0"/>
                <w:sz w:val="22"/>
              </w:rPr>
            </w:pPr>
            <w:r>
              <w:rPr>
                <w:rFonts w:hint="eastAsia" w:ascii="宋体" w:hAnsi="宋体" w:cs="宋体"/>
                <w:color w:val="000000"/>
                <w:kern w:val="0"/>
                <w:sz w:val="22"/>
                <w:szCs w:val="22"/>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项目名称</w:t>
            </w:r>
          </w:p>
        </w:tc>
        <w:tc>
          <w:tcPr>
            <w:tcW w:w="8956"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追加2024年员额制项目经费-瀛海四幼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主管部门</w:t>
            </w:r>
          </w:p>
        </w:tc>
        <w:tc>
          <w:tcPr>
            <w:tcW w:w="4771"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北京市大兴区教育委员会</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实施单位</w:t>
            </w:r>
          </w:p>
        </w:tc>
        <w:tc>
          <w:tcPr>
            <w:tcW w:w="3045"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北京市大兴区瀛海第四幼儿园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49"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年初预算</w:t>
            </w:r>
          </w:p>
        </w:tc>
        <w:tc>
          <w:tcPr>
            <w:tcW w:w="1444"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执行率</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67.379808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67.379808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10分</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其中：当年财政拨款</w:t>
            </w:r>
          </w:p>
        </w:tc>
        <w:tc>
          <w:tcPr>
            <w:tcW w:w="678" w:type="dxa"/>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w:t>
            </w:r>
          </w:p>
        </w:tc>
        <w:tc>
          <w:tcPr>
            <w:tcW w:w="1444"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67.379808</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67.379808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其他资金</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649"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1"/>
                <w:rFonts w:hint="default"/>
              </w:rPr>
              <w:t xml:space="preserve">        中央直达资金</w:t>
            </w:r>
            <w:r>
              <w:rPr>
                <w:rStyle w:val="20"/>
                <w:rFonts w:hint="default"/>
              </w:rPr>
              <w:t xml:space="preserve"> </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44" w:type="dxa"/>
            <w:gridSpan w:val="2"/>
            <w:tcBorders>
              <w:top w:val="nil"/>
              <w:left w:val="nil"/>
              <w:bottom w:val="single" w:color="auto" w:sz="4" w:space="0"/>
              <w:right w:val="single" w:color="auto" w:sz="4" w:space="0"/>
            </w:tcBorders>
            <w:vAlign w:val="center"/>
          </w:tcPr>
          <w:p>
            <w:pPr>
              <w:jc w:val="cente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年度总体目标</w:t>
            </w:r>
          </w:p>
        </w:tc>
        <w:tc>
          <w:tcPr>
            <w:tcW w:w="477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预期目标</w:t>
            </w:r>
          </w:p>
        </w:tc>
        <w:tc>
          <w:tcPr>
            <w:tcW w:w="4185"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6" w:hRule="exact"/>
          <w:jc w:val="center"/>
        </w:trPr>
        <w:tc>
          <w:tcPr>
            <w:tcW w:w="124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771"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由于出现安全隐患情况，为保障师生的安全，尽快改善师生的学习工作环境，消除安全隐患，急需对楼道吊顶进行改造。</w:t>
            </w:r>
          </w:p>
        </w:tc>
        <w:tc>
          <w:tcPr>
            <w:tcW w:w="4185" w:type="dxa"/>
            <w:gridSpan w:val="6"/>
            <w:tcBorders>
              <w:top w:val="single" w:color="auto" w:sz="4" w:space="0"/>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lang w:val="en-US" w:eastAsia="zh-CN"/>
              </w:rPr>
              <w:t xml:space="preserve">    由于出现安全隐患情况，为保障师生的安全，尽快改善师生的学习工作环境，消除安全隐患，急需对楼道吊顶进行改造。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exact"/>
          <w:jc w:val="center"/>
        </w:trPr>
        <w:tc>
          <w:tcPr>
            <w:tcW w:w="124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981"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年度指标值</w:t>
            </w:r>
          </w:p>
        </w:tc>
        <w:tc>
          <w:tcPr>
            <w:tcW w:w="114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实际完成值</w:t>
            </w:r>
          </w:p>
        </w:tc>
        <w:tc>
          <w:tcPr>
            <w:tcW w:w="645"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分值</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得分</w:t>
            </w:r>
          </w:p>
        </w:tc>
        <w:tc>
          <w:tcPr>
            <w:tcW w:w="162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产出指标（40分）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指标1：经费保障人数</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11人</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11人</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保障工资按时发放</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指标2：保障社会权益</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指标1：按月发放工资</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1245" w:type="dxa"/>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成本指标（10分）</w:t>
            </w:r>
          </w:p>
        </w:tc>
        <w:tc>
          <w:tcPr>
            <w:tcW w:w="9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指标1：人员经费预算</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≦67.379808</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67.379808</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restart"/>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经济效益指标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指标1：行业安全健康</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优良</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30</w:t>
            </w: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生态效益指标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可持续影响指标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14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645" w:type="dxa"/>
            <w:tcBorders>
              <w:top w:val="nil"/>
              <w:left w:val="nil"/>
              <w:bottom w:val="single" w:color="auto" w:sz="4" w:space="0"/>
              <w:right w:val="single" w:color="auto" w:sz="4" w:space="0"/>
            </w:tcBorders>
            <w:vAlign w:val="center"/>
          </w:tcPr>
          <w:p>
            <w:pPr>
              <w:jc w:val="center"/>
              <w:rPr>
                <w:rFonts w:hint="eastAsia" w:eastAsia="宋体"/>
                <w:lang w:val="en-US" w:eastAsia="zh-CN"/>
              </w:rPr>
            </w:pPr>
          </w:p>
        </w:tc>
        <w:tc>
          <w:tcPr>
            <w:tcW w:w="7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6"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对工作和工资匹配满意程度</w:t>
            </w:r>
          </w:p>
        </w:tc>
        <w:tc>
          <w:tcPr>
            <w:tcW w:w="1237"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r>
              <w:rPr>
                <w:rFonts w:hint="eastAsia" w:ascii="宋体" w:hAnsi="宋体" w:cs="宋体"/>
                <w:kern w:val="0"/>
                <w:sz w:val="18"/>
                <w:szCs w:val="18"/>
                <w:lang w:val="en-US" w:eastAsia="zh-CN"/>
              </w:rPr>
              <w:t>8</w:t>
            </w:r>
            <w:r>
              <w:rPr>
                <w:rFonts w:hint="eastAsia" w:ascii="宋体" w:hAnsi="宋体" w:cs="宋体"/>
                <w:kern w:val="0"/>
                <w:sz w:val="18"/>
                <w:szCs w:val="18"/>
              </w:rPr>
              <w:t>%</w:t>
            </w:r>
          </w:p>
        </w:tc>
        <w:tc>
          <w:tcPr>
            <w:tcW w:w="114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10</w:t>
            </w:r>
          </w:p>
        </w:tc>
        <w:tc>
          <w:tcPr>
            <w:tcW w:w="77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24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exact"/>
          <w:jc w:val="center"/>
        </w:trPr>
        <w:tc>
          <w:tcPr>
            <w:tcW w:w="1245"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4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45" w:type="dxa"/>
            <w:tcBorders>
              <w:top w:val="nil"/>
              <w:left w:val="nil"/>
              <w:bottom w:val="single" w:color="auto" w:sz="4" w:space="0"/>
              <w:right w:val="single" w:color="auto" w:sz="4" w:space="0"/>
            </w:tcBorders>
            <w:vAlign w:val="center"/>
          </w:tcPr>
          <w:p>
            <w:pPr>
              <w:jc w:val="center"/>
            </w:pPr>
          </w:p>
        </w:tc>
        <w:tc>
          <w:tcPr>
            <w:tcW w:w="77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715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rPr>
              <w:t>100</w:t>
            </w:r>
          </w:p>
        </w:tc>
        <w:tc>
          <w:tcPr>
            <w:tcW w:w="778"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622"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rPr>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19570F"/>
    <w:rsid w:val="079004AC"/>
    <w:rsid w:val="0AFB4013"/>
    <w:rsid w:val="0BA148CA"/>
    <w:rsid w:val="0C1165C4"/>
    <w:rsid w:val="0C1A6669"/>
    <w:rsid w:val="0CA30B4B"/>
    <w:rsid w:val="0D6D544B"/>
    <w:rsid w:val="0DD136FE"/>
    <w:rsid w:val="0F542F2C"/>
    <w:rsid w:val="0F8E2C57"/>
    <w:rsid w:val="0FCC6DFA"/>
    <w:rsid w:val="1059665E"/>
    <w:rsid w:val="10AC13BA"/>
    <w:rsid w:val="113450C7"/>
    <w:rsid w:val="144B565A"/>
    <w:rsid w:val="145A6C1B"/>
    <w:rsid w:val="148B7B54"/>
    <w:rsid w:val="14B73493"/>
    <w:rsid w:val="167A2FF9"/>
    <w:rsid w:val="1764587C"/>
    <w:rsid w:val="18581C69"/>
    <w:rsid w:val="1AEC0734"/>
    <w:rsid w:val="1C4554B5"/>
    <w:rsid w:val="1DEF20B0"/>
    <w:rsid w:val="1EC7098C"/>
    <w:rsid w:val="1FF7AB17"/>
    <w:rsid w:val="214243FA"/>
    <w:rsid w:val="21AD613C"/>
    <w:rsid w:val="22467189"/>
    <w:rsid w:val="247343DA"/>
    <w:rsid w:val="257A14F5"/>
    <w:rsid w:val="27196C26"/>
    <w:rsid w:val="29EF086F"/>
    <w:rsid w:val="2BC34C59"/>
    <w:rsid w:val="2DDE404C"/>
    <w:rsid w:val="2EFFE297"/>
    <w:rsid w:val="2F3A496B"/>
    <w:rsid w:val="301437CA"/>
    <w:rsid w:val="349D1F0A"/>
    <w:rsid w:val="34DD0473"/>
    <w:rsid w:val="3A8E35DC"/>
    <w:rsid w:val="3C684897"/>
    <w:rsid w:val="433E495C"/>
    <w:rsid w:val="489F2FD7"/>
    <w:rsid w:val="49963DC9"/>
    <w:rsid w:val="4AC27CB3"/>
    <w:rsid w:val="4ADA0BDD"/>
    <w:rsid w:val="4BF72BEF"/>
    <w:rsid w:val="4CC95E8A"/>
    <w:rsid w:val="4FA90297"/>
    <w:rsid w:val="4FC41A43"/>
    <w:rsid w:val="4FF449C5"/>
    <w:rsid w:val="50C82E97"/>
    <w:rsid w:val="51DB3C59"/>
    <w:rsid w:val="54D7233D"/>
    <w:rsid w:val="550C0952"/>
    <w:rsid w:val="55345F5A"/>
    <w:rsid w:val="55762E42"/>
    <w:rsid w:val="55DF63F2"/>
    <w:rsid w:val="569F51AC"/>
    <w:rsid w:val="57A7B272"/>
    <w:rsid w:val="57AA30DF"/>
    <w:rsid w:val="58470068"/>
    <w:rsid w:val="586A7C9A"/>
    <w:rsid w:val="58747CAC"/>
    <w:rsid w:val="5A1720F9"/>
    <w:rsid w:val="5B9C37C2"/>
    <w:rsid w:val="5BA7C654"/>
    <w:rsid w:val="5DF716AE"/>
    <w:rsid w:val="5F9F507E"/>
    <w:rsid w:val="60A54109"/>
    <w:rsid w:val="616650DA"/>
    <w:rsid w:val="61D01CDF"/>
    <w:rsid w:val="630B100E"/>
    <w:rsid w:val="64C0607C"/>
    <w:rsid w:val="65756C86"/>
    <w:rsid w:val="674D385B"/>
    <w:rsid w:val="676F09E1"/>
    <w:rsid w:val="67CF5B5C"/>
    <w:rsid w:val="68C04067"/>
    <w:rsid w:val="6E365FA9"/>
    <w:rsid w:val="6FC87D72"/>
    <w:rsid w:val="71691990"/>
    <w:rsid w:val="71793A80"/>
    <w:rsid w:val="7357290B"/>
    <w:rsid w:val="756E3DEA"/>
    <w:rsid w:val="75E605FD"/>
    <w:rsid w:val="76FB1693"/>
    <w:rsid w:val="7923774A"/>
    <w:rsid w:val="798524E4"/>
    <w:rsid w:val="7A7F1C49"/>
    <w:rsid w:val="7B5B7AE6"/>
    <w:rsid w:val="7B7B6628"/>
    <w:rsid w:val="7BA7071E"/>
    <w:rsid w:val="7BDF6DA8"/>
    <w:rsid w:val="7C7EDC1A"/>
    <w:rsid w:val="7CCED98D"/>
    <w:rsid w:val="7D08410F"/>
    <w:rsid w:val="7DB96DED"/>
    <w:rsid w:val="7DD3AD81"/>
    <w:rsid w:val="7DFFF77E"/>
    <w:rsid w:val="7E5C0C5B"/>
    <w:rsid w:val="7F311F38"/>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 w:type="character" w:customStyle="1" w:styleId="20">
    <w:name w:val="font01"/>
    <w:basedOn w:val="11"/>
    <w:qFormat/>
    <w:uiPriority w:val="0"/>
    <w:rPr>
      <w:rFonts w:hint="eastAsia" w:ascii="宋体" w:hAnsi="宋体" w:eastAsia="宋体" w:cs="宋体"/>
      <w:color w:val="000000"/>
      <w:sz w:val="13"/>
      <w:szCs w:val="13"/>
      <w:u w:val="none"/>
    </w:rPr>
  </w:style>
  <w:style w:type="character" w:customStyle="1" w:styleId="21">
    <w:name w:val="font2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2025-11-06T08:49:04Z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