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spacing w:line="580" w:lineRule="exact"/>
        <w:ind w:firstLine="840" w:firstLineChars="300"/>
        <w:rPr>
          <w:rFonts w:hint="eastAsia" w:ascii="仿宋_GB2312" w:eastAsia="仿宋_GB2312"/>
          <w:sz w:val="28"/>
          <w:szCs w:val="28"/>
        </w:rPr>
      </w:pPr>
      <w:r>
        <w:rPr>
          <w:rFonts w:hint="eastAsia" w:ascii="仿宋_GB2312" w:eastAsia="仿宋_GB2312"/>
          <w:sz w:val="28"/>
          <w:szCs w:val="28"/>
        </w:rPr>
        <w:t>本单位职责:</w:t>
      </w:r>
      <w:r>
        <w:rPr>
          <w:rFonts w:hint="eastAsia" w:ascii="仿宋_GB2312" w:eastAsia="仿宋_GB2312"/>
          <w:kern w:val="0"/>
          <w:sz w:val="28"/>
          <w:szCs w:val="28"/>
        </w:rPr>
        <w:t>贯彻党和国家的教育方针、政策，执行教育法律法规和教育、教学的组织管理，促进我校教育教学均衡发展。</w:t>
      </w:r>
    </w:p>
    <w:p>
      <w:pPr>
        <w:spacing w:line="580" w:lineRule="exact"/>
        <w:ind w:firstLine="840" w:firstLineChars="300"/>
        <w:rPr>
          <w:rFonts w:hint="eastAsia" w:ascii="仿宋_GB2312" w:eastAsia="仿宋_GB2312"/>
          <w:sz w:val="28"/>
          <w:szCs w:val="28"/>
          <w:lang w:val="en-US" w:eastAsia="zh-CN"/>
        </w:rPr>
      </w:pPr>
      <w:r>
        <w:rPr>
          <w:rFonts w:hint="eastAsia" w:ascii="仿宋_GB2312" w:eastAsia="仿宋_GB2312"/>
          <w:sz w:val="28"/>
          <w:szCs w:val="28"/>
        </w:rPr>
        <w:t>本单位机构</w:t>
      </w:r>
      <w:r>
        <w:rPr>
          <w:rFonts w:ascii="仿宋_GB2312" w:eastAsia="仿宋_GB2312"/>
          <w:sz w:val="28"/>
          <w:szCs w:val="28"/>
        </w:rPr>
        <w:t>设置</w:t>
      </w:r>
      <w:r>
        <w:rPr>
          <w:rFonts w:hint="eastAsia" w:ascii="仿宋_GB2312" w:eastAsia="仿宋_GB2312"/>
          <w:sz w:val="28"/>
          <w:szCs w:val="28"/>
        </w:rPr>
        <w:t>情况:</w:t>
      </w:r>
      <w:r>
        <w:rPr>
          <w:rFonts w:hint="eastAsia" w:ascii="仿宋_GB2312" w:eastAsia="仿宋_GB2312"/>
          <w:kern w:val="0"/>
          <w:sz w:val="28"/>
          <w:szCs w:val="28"/>
        </w:rPr>
        <w:t>设有教务处、政教处、办公室、总务处、工会等部门</w:t>
      </w:r>
      <w:r>
        <w:rPr>
          <w:rFonts w:hint="eastAsia" w:ascii="仿宋_GB2312" w:eastAsia="仿宋_GB2312"/>
          <w:kern w:val="0"/>
          <w:sz w:val="28"/>
          <w:szCs w:val="28"/>
          <w:lang w:eastAsia="zh-CN"/>
        </w:rPr>
        <w:t>。</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3004.89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ascii="仿宋_GB2312" w:eastAsia="仿宋_GB2312"/>
          <w:sz w:val="28"/>
          <w:szCs w:val="28"/>
        </w:rPr>
        <w:t>83.82</w:t>
      </w:r>
      <w:r>
        <w:rPr>
          <w:rFonts w:hint="eastAsia" w:ascii="仿宋_GB2312" w:eastAsia="仿宋_GB2312"/>
          <w:sz w:val="28"/>
          <w:szCs w:val="28"/>
        </w:rPr>
        <w:t>万元，下降2.71%。</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2780.41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ascii="仿宋_GB2312" w:eastAsia="仿宋_GB2312"/>
          <w:sz w:val="28"/>
          <w:szCs w:val="28"/>
        </w:rPr>
        <w:t>124.69</w:t>
      </w:r>
      <w:r>
        <w:rPr>
          <w:rFonts w:hint="eastAsia" w:ascii="仿宋_GB2312" w:eastAsia="仿宋_GB2312"/>
          <w:sz w:val="28"/>
          <w:szCs w:val="28"/>
        </w:rPr>
        <w:t>万元，增长下降4.29%。</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2780.41</w:t>
      </w:r>
      <w:r>
        <w:rPr>
          <w:rFonts w:hint="eastAsia" w:ascii="仿宋_GB2312" w:eastAsia="仿宋_GB2312"/>
          <w:sz w:val="28"/>
          <w:szCs w:val="28"/>
        </w:rPr>
        <w:t>万元，占收入合计的100%。其中：一般公共预算财政拨款收入</w:t>
      </w:r>
      <w:r>
        <w:rPr>
          <w:rFonts w:ascii="仿宋_GB2312" w:eastAsia="仿宋_GB2312"/>
          <w:sz w:val="28"/>
          <w:szCs w:val="28"/>
        </w:rPr>
        <w:t>2780.41</w:t>
      </w:r>
      <w:r>
        <w:rPr>
          <w:rFonts w:hint="eastAsia" w:ascii="仿宋_GB2312" w:eastAsia="仿宋_GB2312"/>
          <w:sz w:val="28"/>
          <w:szCs w:val="28"/>
        </w:rPr>
        <w:t>万元，占收入合计的100%；政府性基金预算财政拨款收入0万元，占收入合计的0%；国有资本经营预算财政拨款收入0万元，占收入合计的0%；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pPr>
        <w:pStyle w:val="2"/>
        <w:jc w:val="center"/>
      </w:pPr>
      <w:r>
        <w:rPr>
          <w:rFonts w:hint="eastAsia" w:ascii="仿宋_GB2312" w:eastAsia="仿宋_GB2312"/>
          <w:color w:val="000000"/>
          <w:sz w:val="32"/>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3004.89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减少</w:t>
      </w:r>
      <w:r>
        <w:rPr>
          <w:rFonts w:ascii="仿宋_GB2312" w:eastAsia="仿宋_GB2312"/>
          <w:sz w:val="28"/>
          <w:szCs w:val="28"/>
        </w:rPr>
        <w:t>83.82</w:t>
      </w:r>
      <w:r>
        <w:rPr>
          <w:rFonts w:hint="eastAsia" w:ascii="仿宋_GB2312" w:eastAsia="仿宋_GB2312"/>
          <w:sz w:val="28"/>
          <w:szCs w:val="28"/>
        </w:rPr>
        <w:t>万元，下降2.71%，其中：基本支出</w:t>
      </w:r>
      <w:r>
        <w:rPr>
          <w:rFonts w:ascii="仿宋_GB2312" w:eastAsia="仿宋_GB2312"/>
          <w:sz w:val="28"/>
          <w:szCs w:val="28"/>
        </w:rPr>
        <w:t>2899.97</w:t>
      </w:r>
      <w:r>
        <w:rPr>
          <w:rFonts w:hint="eastAsia" w:ascii="仿宋_GB2312" w:eastAsia="仿宋_GB2312"/>
          <w:sz w:val="28"/>
          <w:szCs w:val="28"/>
        </w:rPr>
        <w:t>万元，占支出合计的96.51%；项目支出</w:t>
      </w:r>
      <w:r>
        <w:rPr>
          <w:rFonts w:ascii="仿宋_GB2312" w:eastAsia="仿宋_GB2312"/>
          <w:sz w:val="28"/>
          <w:szCs w:val="28"/>
        </w:rPr>
        <w:t>104.92</w:t>
      </w:r>
      <w:r>
        <w:rPr>
          <w:rFonts w:hint="eastAsia" w:ascii="仿宋_GB2312" w:eastAsia="仿宋_GB2312"/>
          <w:sz w:val="28"/>
          <w:szCs w:val="28"/>
        </w:rPr>
        <w:t>万元，占支出合计的3.49%;上缴上级支出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pPr>
        <w:spacing w:line="560" w:lineRule="exact"/>
        <w:ind w:firstLine="640"/>
        <w:rPr>
          <w:rFonts w:ascii="仿宋_GB2312" w:eastAsia="仿宋_GB2312" w:cs="Droid Sans"/>
          <w:color w:val="000000"/>
          <w:sz w:val="32"/>
          <w:szCs w:val="32"/>
        </w:rPr>
      </w:pP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0795" b="1079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ind w:firstLine="560" w:firstLineChars="20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3004.89</w:t>
      </w:r>
      <w:r>
        <w:rPr>
          <w:rFonts w:hint="eastAsia" w:ascii="仿宋_GB2312" w:eastAsia="仿宋_GB2312"/>
          <w:sz w:val="28"/>
          <w:szCs w:val="28"/>
        </w:rPr>
        <w:t>万元，比上年减少83.82万元，下降2.71%。主要原因：人员经费收入支出减少。</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3004.89</w:t>
      </w:r>
      <w:r>
        <w:rPr>
          <w:rFonts w:hint="eastAsia" w:ascii="仿宋_GB2312" w:eastAsia="仿宋_GB2312"/>
          <w:sz w:val="28"/>
          <w:szCs w:val="28"/>
        </w:rPr>
        <w:t>万元，主要用于以下方面（按大类）：教育支出</w:t>
      </w:r>
      <w:r>
        <w:rPr>
          <w:rFonts w:ascii="仿宋_GB2312" w:eastAsia="仿宋_GB2312"/>
          <w:sz w:val="28"/>
          <w:szCs w:val="28"/>
        </w:rPr>
        <w:t>2103.28</w:t>
      </w:r>
      <w:r>
        <w:rPr>
          <w:rFonts w:hint="eastAsia" w:ascii="仿宋_GB2312" w:eastAsia="仿宋_GB2312"/>
          <w:sz w:val="28"/>
          <w:szCs w:val="28"/>
        </w:rPr>
        <w:t>万元，占本年财政拨款支出</w:t>
      </w:r>
      <w:r>
        <w:rPr>
          <w:rFonts w:ascii="仿宋_GB2312" w:eastAsia="仿宋_GB2312"/>
          <w:sz w:val="28"/>
          <w:szCs w:val="28"/>
        </w:rPr>
        <w:t>70.00</w:t>
      </w:r>
      <w:r>
        <w:rPr>
          <w:rFonts w:hint="eastAsia" w:ascii="仿宋_GB2312" w:eastAsia="仿宋_GB2312"/>
          <w:sz w:val="28"/>
          <w:szCs w:val="28"/>
        </w:rPr>
        <w:t>%；社会保障和就业支出</w:t>
      </w:r>
      <w:r>
        <w:rPr>
          <w:rFonts w:ascii="仿宋_GB2312" w:eastAsia="仿宋_GB2312"/>
          <w:sz w:val="28"/>
          <w:szCs w:val="28"/>
        </w:rPr>
        <w:t>456.13</w:t>
      </w:r>
      <w:r>
        <w:rPr>
          <w:rFonts w:hint="eastAsia" w:ascii="仿宋_GB2312" w:eastAsia="仿宋_GB2312"/>
          <w:sz w:val="28"/>
          <w:szCs w:val="28"/>
        </w:rPr>
        <w:t>万元，占本年财政拨款支出</w:t>
      </w:r>
      <w:r>
        <w:rPr>
          <w:rFonts w:ascii="仿宋_GB2312" w:eastAsia="仿宋_GB2312"/>
          <w:sz w:val="28"/>
          <w:szCs w:val="28"/>
        </w:rPr>
        <w:t>15.18</w:t>
      </w:r>
      <w:r>
        <w:rPr>
          <w:rFonts w:hint="eastAsia" w:ascii="仿宋_GB2312" w:eastAsia="仿宋_GB2312"/>
          <w:sz w:val="28"/>
          <w:szCs w:val="28"/>
        </w:rPr>
        <w:t>%；卫生健康支出</w:t>
      </w:r>
      <w:r>
        <w:rPr>
          <w:rFonts w:ascii="仿宋_GB2312" w:eastAsia="仿宋_GB2312"/>
          <w:sz w:val="28"/>
          <w:szCs w:val="28"/>
        </w:rPr>
        <w:t>221.00</w:t>
      </w:r>
      <w:r>
        <w:rPr>
          <w:rFonts w:hint="eastAsia" w:ascii="仿宋_GB2312" w:eastAsia="仿宋_GB2312"/>
          <w:sz w:val="28"/>
          <w:szCs w:val="28"/>
        </w:rPr>
        <w:t>万元，占本年财政拨款支出</w:t>
      </w:r>
      <w:r>
        <w:rPr>
          <w:rFonts w:ascii="仿宋_GB2312" w:eastAsia="仿宋_GB2312"/>
          <w:sz w:val="28"/>
          <w:szCs w:val="28"/>
        </w:rPr>
        <w:t>7.35</w:t>
      </w:r>
      <w:r>
        <w:rPr>
          <w:rFonts w:hint="eastAsia" w:ascii="仿宋_GB2312" w:eastAsia="仿宋_GB2312"/>
          <w:sz w:val="28"/>
          <w:szCs w:val="28"/>
        </w:rPr>
        <w:t>%；住房保障支出</w:t>
      </w:r>
      <w:r>
        <w:rPr>
          <w:rFonts w:ascii="仿宋_GB2312" w:eastAsia="仿宋_GB2312"/>
          <w:sz w:val="28"/>
          <w:szCs w:val="28"/>
        </w:rPr>
        <w:t>224.48</w:t>
      </w:r>
      <w:r>
        <w:rPr>
          <w:rFonts w:hint="eastAsia" w:ascii="仿宋_GB2312" w:eastAsia="仿宋_GB2312"/>
          <w:sz w:val="28"/>
          <w:szCs w:val="28"/>
        </w:rPr>
        <w:t>万元，占本年财政拨款支出</w:t>
      </w:r>
      <w:r>
        <w:rPr>
          <w:rFonts w:ascii="仿宋_GB2312" w:eastAsia="仿宋_GB2312"/>
          <w:sz w:val="28"/>
          <w:szCs w:val="28"/>
        </w:rPr>
        <w:t>7.47</w:t>
      </w:r>
      <w:r>
        <w:rPr>
          <w:rFonts w:hint="eastAsia" w:ascii="仿宋_GB2312" w:eastAsia="仿宋_GB2312"/>
          <w:sz w:val="28"/>
          <w:szCs w:val="28"/>
        </w:rPr>
        <w:t>%。</w:t>
      </w:r>
    </w:p>
    <w:p>
      <w:pPr>
        <w:numPr>
          <w:ilvl w:val="0"/>
          <w:numId w:val="1"/>
        </w:numPr>
        <w:autoSpaceDE w:val="0"/>
        <w:autoSpaceDN w:val="0"/>
        <w:adjustRightInd w:val="0"/>
        <w:spacing w:line="580" w:lineRule="exact"/>
        <w:ind w:firstLine="560" w:firstLineChars="200"/>
        <w:jc w:val="left"/>
      </w:pPr>
      <w:r>
        <w:rPr>
          <w:rFonts w:hint="eastAsia" w:ascii="仿宋_GB2312" w:eastAsia="仿宋_GB2312"/>
          <w:sz w:val="28"/>
          <w:szCs w:val="28"/>
        </w:rPr>
        <w:t>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1、“教育支出”（类）2024年度年初预算21</w:t>
      </w:r>
      <w:r>
        <w:rPr>
          <w:rFonts w:ascii="仿宋_GB2312" w:eastAsia="仿宋_GB2312"/>
          <w:sz w:val="28"/>
          <w:szCs w:val="28"/>
        </w:rPr>
        <w:t>28.73</w:t>
      </w:r>
      <w:r>
        <w:rPr>
          <w:rFonts w:hint="eastAsia" w:ascii="仿宋_GB2312" w:eastAsia="仿宋_GB2312"/>
          <w:sz w:val="28"/>
          <w:szCs w:val="28"/>
        </w:rPr>
        <w:t>万元，2024年度决算</w:t>
      </w:r>
      <w:r>
        <w:rPr>
          <w:rFonts w:ascii="仿宋_GB2312" w:eastAsia="仿宋_GB2312"/>
          <w:sz w:val="28"/>
          <w:szCs w:val="28"/>
        </w:rPr>
        <w:t>2103.28</w:t>
      </w:r>
      <w:r>
        <w:rPr>
          <w:rFonts w:hint="eastAsia" w:ascii="仿宋_GB2312" w:eastAsia="仿宋_GB2312"/>
          <w:sz w:val="28"/>
          <w:szCs w:val="28"/>
        </w:rPr>
        <w:t>万元，完成年初预算的98.80%。</w:t>
      </w:r>
    </w:p>
    <w:p>
      <w:pPr>
        <w:autoSpaceDE w:val="0"/>
        <w:autoSpaceDN w:val="0"/>
        <w:adjustRightInd w:val="0"/>
        <w:spacing w:line="580" w:lineRule="exact"/>
        <w:jc w:val="left"/>
        <w:rPr>
          <w:rFonts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“普通教育”（款）2024年度年初预算</w:t>
      </w:r>
      <w:r>
        <w:rPr>
          <w:rFonts w:ascii="仿宋_GB2312" w:eastAsia="仿宋_GB2312"/>
          <w:sz w:val="28"/>
          <w:szCs w:val="28"/>
        </w:rPr>
        <w:t>2128.73</w:t>
      </w:r>
      <w:r>
        <w:rPr>
          <w:rFonts w:hint="eastAsia" w:ascii="仿宋_GB2312" w:eastAsia="仿宋_GB2312"/>
          <w:sz w:val="28"/>
          <w:szCs w:val="28"/>
        </w:rPr>
        <w:t>万元，2024年度决算</w:t>
      </w:r>
      <w:r>
        <w:rPr>
          <w:rFonts w:ascii="仿宋_GB2312" w:eastAsia="仿宋_GB2312"/>
          <w:sz w:val="28"/>
          <w:szCs w:val="28"/>
        </w:rPr>
        <w:t>2095.88</w:t>
      </w:r>
      <w:r>
        <w:rPr>
          <w:rFonts w:hint="eastAsia" w:ascii="仿宋_GB2312" w:eastAsia="仿宋_GB2312"/>
          <w:sz w:val="28"/>
          <w:szCs w:val="28"/>
        </w:rPr>
        <w:t>万元，完成年初预算的98.46%。主要原因：人员经费支出减少。</w:t>
      </w:r>
    </w:p>
    <w:p>
      <w:pPr>
        <w:spacing w:line="580" w:lineRule="exact"/>
        <w:ind w:firstLine="560" w:firstLineChars="200"/>
      </w:pPr>
      <w:r>
        <w:rPr>
          <w:rFonts w:hint="eastAsia" w:ascii="仿宋_GB2312" w:eastAsia="仿宋_GB2312"/>
          <w:sz w:val="28"/>
          <w:szCs w:val="28"/>
        </w:rPr>
        <w:t>“教育费</w:t>
      </w:r>
      <w:r>
        <w:rPr>
          <w:rFonts w:ascii="仿宋_GB2312" w:eastAsia="仿宋_GB2312"/>
          <w:sz w:val="28"/>
          <w:szCs w:val="28"/>
        </w:rPr>
        <w:t>附加安排的支出</w:t>
      </w:r>
      <w:r>
        <w:rPr>
          <w:rFonts w:hint="eastAsia" w:ascii="仿宋_GB2312" w:eastAsia="仿宋_GB2312"/>
          <w:sz w:val="28"/>
          <w:szCs w:val="28"/>
        </w:rPr>
        <w:t>”（款）2024年度年初预算0万元，2024年度决算7.40万元。主要原因：因拆除</w:t>
      </w:r>
      <w:r>
        <w:rPr>
          <w:rFonts w:ascii="仿宋_GB2312" w:eastAsia="仿宋_GB2312"/>
          <w:sz w:val="28"/>
          <w:szCs w:val="28"/>
        </w:rPr>
        <w:t>违法建筑后</w:t>
      </w:r>
      <w:r>
        <w:rPr>
          <w:rFonts w:hint="eastAsia" w:ascii="仿宋_GB2312" w:eastAsia="仿宋_GB2312"/>
          <w:sz w:val="28"/>
          <w:szCs w:val="28"/>
        </w:rPr>
        <w:t>加</w:t>
      </w:r>
      <w:r>
        <w:rPr>
          <w:rFonts w:ascii="仿宋_GB2312" w:eastAsia="仿宋_GB2312"/>
          <w:sz w:val="28"/>
          <w:szCs w:val="28"/>
        </w:rPr>
        <w:t>装学校防护网</w:t>
      </w:r>
      <w:r>
        <w:rPr>
          <w:rFonts w:hint="eastAsia" w:ascii="仿宋_GB2312" w:eastAsia="仿宋_GB2312"/>
          <w:sz w:val="28"/>
          <w:szCs w:val="28"/>
        </w:rPr>
        <w:t>和</w:t>
      </w:r>
      <w:r>
        <w:rPr>
          <w:rFonts w:ascii="仿宋_GB2312" w:eastAsia="仿宋_GB2312"/>
          <w:sz w:val="28"/>
          <w:szCs w:val="28"/>
        </w:rPr>
        <w:t>拆除</w:t>
      </w:r>
      <w:r>
        <w:rPr>
          <w:rFonts w:hint="eastAsia" w:ascii="仿宋_GB2312" w:eastAsia="仿宋_GB2312"/>
          <w:sz w:val="28"/>
          <w:szCs w:val="28"/>
        </w:rPr>
        <w:t>、重</w:t>
      </w:r>
      <w:r>
        <w:rPr>
          <w:rFonts w:ascii="仿宋_GB2312" w:eastAsia="仿宋_GB2312"/>
          <w:sz w:val="28"/>
          <w:szCs w:val="28"/>
        </w:rPr>
        <w:t>铺地面</w:t>
      </w:r>
      <w:r>
        <w:rPr>
          <w:rFonts w:hint="eastAsia" w:ascii="仿宋_GB2312" w:eastAsia="仿宋_GB2312"/>
          <w:sz w:val="28"/>
          <w:szCs w:val="28"/>
        </w:rPr>
        <w:t>，追加“</w:t>
      </w:r>
      <w:r>
        <w:rPr>
          <w:rFonts w:ascii="仿宋_GB2312" w:eastAsia="仿宋_GB2312"/>
          <w:sz w:val="28"/>
          <w:szCs w:val="28"/>
        </w:rPr>
        <w:t>集中修缮</w:t>
      </w:r>
      <w:r>
        <w:rPr>
          <w:rFonts w:hint="eastAsia" w:ascii="仿宋_GB2312" w:eastAsia="仿宋_GB2312"/>
          <w:sz w:val="28"/>
          <w:szCs w:val="28"/>
        </w:rPr>
        <w:t>-大</w:t>
      </w:r>
      <w:r>
        <w:rPr>
          <w:rFonts w:ascii="仿宋_GB2312" w:eastAsia="仿宋_GB2312"/>
          <w:sz w:val="28"/>
          <w:szCs w:val="28"/>
        </w:rPr>
        <w:t>兴四中基础设施完善项目</w:t>
      </w:r>
      <w:r>
        <w:rPr>
          <w:rFonts w:hint="eastAsia" w:ascii="仿宋_GB2312" w:eastAsia="仿宋_GB2312"/>
          <w:sz w:val="28"/>
          <w:szCs w:val="28"/>
        </w:rPr>
        <w:t>”支出。</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2、“社会保障和就业支出”(类)2024年度年初预算</w:t>
      </w:r>
      <w:r>
        <w:rPr>
          <w:rFonts w:ascii="仿宋_GB2312" w:eastAsia="仿宋_GB2312"/>
          <w:sz w:val="28"/>
          <w:szCs w:val="28"/>
        </w:rPr>
        <w:t>385.16</w:t>
      </w:r>
      <w:r>
        <w:rPr>
          <w:rFonts w:hint="eastAsia" w:ascii="仿宋_GB2312" w:eastAsia="仿宋_GB2312"/>
          <w:sz w:val="28"/>
          <w:szCs w:val="28"/>
        </w:rPr>
        <w:t>万元，2024年度决算</w:t>
      </w:r>
      <w:r>
        <w:rPr>
          <w:rFonts w:ascii="仿宋_GB2312" w:eastAsia="仿宋_GB2312"/>
          <w:sz w:val="28"/>
          <w:szCs w:val="28"/>
        </w:rPr>
        <w:t>456.13</w:t>
      </w:r>
      <w:r>
        <w:rPr>
          <w:rFonts w:hint="eastAsia" w:ascii="仿宋_GB2312" w:eastAsia="仿宋_GB2312"/>
          <w:sz w:val="28"/>
          <w:szCs w:val="28"/>
        </w:rPr>
        <w:t>万元，完成年初预算的118.43%。其中：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“行政事业单位养老支出”（款）2024年度年初预算</w:t>
      </w:r>
      <w:r>
        <w:rPr>
          <w:rFonts w:ascii="仿宋_GB2312" w:eastAsia="仿宋_GB2312"/>
          <w:sz w:val="28"/>
          <w:szCs w:val="28"/>
        </w:rPr>
        <w:t>385.16</w:t>
      </w:r>
      <w:r>
        <w:rPr>
          <w:rFonts w:hint="eastAsia" w:ascii="仿宋_GB2312" w:eastAsia="仿宋_GB2312"/>
          <w:sz w:val="28"/>
          <w:szCs w:val="28"/>
        </w:rPr>
        <w:t>万元，2024年度决算</w:t>
      </w:r>
      <w:r>
        <w:rPr>
          <w:rFonts w:ascii="仿宋_GB2312" w:eastAsia="仿宋_GB2312"/>
          <w:sz w:val="28"/>
          <w:szCs w:val="28"/>
        </w:rPr>
        <w:t>456.13</w:t>
      </w:r>
      <w:r>
        <w:rPr>
          <w:rFonts w:hint="eastAsia" w:ascii="仿宋_GB2312" w:eastAsia="仿宋_GB2312"/>
          <w:sz w:val="28"/>
          <w:szCs w:val="28"/>
        </w:rPr>
        <w:t>万元，完成年初预算的118.43%。主要原因：发</w:t>
      </w:r>
      <w:r>
        <w:rPr>
          <w:rFonts w:ascii="仿宋_GB2312" w:eastAsia="仿宋_GB2312"/>
          <w:sz w:val="28"/>
          <w:szCs w:val="28"/>
        </w:rPr>
        <w:t>放</w:t>
      </w:r>
      <w:r>
        <w:rPr>
          <w:rFonts w:hint="eastAsia" w:ascii="仿宋_GB2312" w:eastAsia="仿宋_GB2312"/>
          <w:sz w:val="28"/>
          <w:szCs w:val="28"/>
        </w:rPr>
        <w:t>退休教师一次性退休费和去世退休</w:t>
      </w:r>
      <w:r>
        <w:rPr>
          <w:rFonts w:ascii="仿宋_GB2312" w:eastAsia="仿宋_GB2312"/>
          <w:sz w:val="28"/>
          <w:szCs w:val="28"/>
        </w:rPr>
        <w:t>教师抚恤金</w:t>
      </w:r>
      <w:r>
        <w:rPr>
          <w:rFonts w:hint="eastAsia" w:ascii="仿宋_GB2312" w:eastAsia="仿宋_GB2312"/>
          <w:sz w:val="28"/>
          <w:szCs w:val="28"/>
        </w:rPr>
        <w:t>。</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3、“卫生健康支出”(类)2024年度年初预算230.01万元，2024年度决算221.00万元，完成年初预算的96.08%。其中：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“行政事业单位医疗”(款)2024年度年初预算230.01万元，2024年度决算221.00万元，完成年初预算的96.08%。主要原因：退休5人，调出2人，使行政事业单位医疗减少。</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4、“住房保障支出”(类)2024年度年初预算0万元，2024年度决算224.48万元。</w:t>
      </w:r>
    </w:p>
    <w:p>
      <w:pPr>
        <w:spacing w:line="580" w:lineRule="exact"/>
        <w:rPr>
          <w:rFonts w:ascii="仿宋_GB2312" w:eastAsia="仿宋_GB2312"/>
          <w:sz w:val="28"/>
          <w:szCs w:val="28"/>
        </w:rPr>
      </w:pPr>
      <w:r>
        <w:rPr>
          <w:rFonts w:hint="eastAsia" w:ascii="仿宋_GB2312" w:eastAsia="仿宋_GB2312"/>
          <w:sz w:val="28"/>
          <w:szCs w:val="28"/>
        </w:rPr>
        <w:t>其中：</w:t>
      </w:r>
    </w:p>
    <w:p>
      <w:pPr>
        <w:spacing w:line="580" w:lineRule="exact"/>
        <w:ind w:firstLine="560" w:firstLineChars="200"/>
      </w:pPr>
      <w:r>
        <w:rPr>
          <w:rFonts w:hint="eastAsia" w:ascii="仿宋_GB2312" w:eastAsia="仿宋_GB2312"/>
          <w:sz w:val="28"/>
          <w:szCs w:val="28"/>
        </w:rPr>
        <w:t>“住房改革支出”(款)2024年度年初预算0万元，2024年度决算224.48万元。主要原因：2024年初预算未安排住房改革支出。</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ascii="黑体" w:eastAsia="黑体"/>
          <w:b/>
          <w:color w:val="FF0000"/>
          <w:sz w:val="28"/>
          <w:szCs w:val="28"/>
        </w:rPr>
      </w:pPr>
      <w:r>
        <w:rPr>
          <w:rFonts w:hint="eastAsia" w:ascii="仿宋_GB2312" w:eastAsia="仿宋_GB2312"/>
          <w:sz w:val="28"/>
          <w:szCs w:val="28"/>
        </w:rPr>
        <w:t>本单位2024年度无政府性基金预算财政拨款安排的支出</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2024年度国有资本经营预算财政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仿宋_GB2312" w:eastAsia="仿宋_GB2312"/>
          <w:b/>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2899.97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津贴补贴、绩效工资、机关事业单位基本养老保险缴费、职业年金缴费、职工基本医疗保险缴费、公务员医疗补助缴费、住房公积金、其他社会保障缴费等支出；（2）商品和服务支出包括办公费、印刷费、手续费、水费、电费、邮电费、取暖费、物业管理费、差旅费、维修（护）费、培训费、劳务费、福利费、公务用车运行维护费、其他商品和服务等支出；（3）对个人和家庭补助支出包括退休费、抚恤金、生活补助、其他对个人和家庭的补助等支出（4）其他资本性支出包括办公设备购置等。</w:t>
      </w:r>
    </w:p>
    <w:p>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1.49</w:t>
      </w:r>
      <w:r>
        <w:rPr>
          <w:rFonts w:hint="eastAsia" w:ascii="仿宋_GB2312" w:eastAsia="仿宋_GB2312"/>
          <w:sz w:val="28"/>
          <w:szCs w:val="28"/>
        </w:rPr>
        <w:t>万元，比2024年度“三公”经费财政拨款年初预算</w:t>
      </w:r>
      <w:r>
        <w:rPr>
          <w:rFonts w:ascii="仿宋_GB2312" w:eastAsia="仿宋_GB2312"/>
          <w:sz w:val="28"/>
          <w:szCs w:val="28"/>
        </w:rPr>
        <w:t>5.6</w:t>
      </w:r>
      <w:r>
        <w:rPr>
          <w:rFonts w:hint="eastAsia" w:ascii="仿宋_GB2312" w:eastAsia="仿宋_GB2312"/>
          <w:sz w:val="28"/>
          <w:szCs w:val="28"/>
        </w:rPr>
        <w:t>万元减少</w:t>
      </w:r>
      <w:r>
        <w:rPr>
          <w:rFonts w:ascii="仿宋_GB2312" w:eastAsia="仿宋_GB2312"/>
          <w:sz w:val="28"/>
          <w:szCs w:val="28"/>
        </w:rPr>
        <w:t>4.11</w:t>
      </w:r>
      <w:r>
        <w:rPr>
          <w:rFonts w:hint="eastAsia" w:ascii="仿宋_GB2312" w:eastAsia="仿宋_GB2312"/>
          <w:sz w:val="28"/>
          <w:szCs w:val="28"/>
        </w:rPr>
        <w:t>万元。其中：</w:t>
      </w:r>
    </w:p>
    <w:p>
      <w:pPr>
        <w:spacing w:line="560" w:lineRule="exact"/>
        <w:ind w:firstLine="600"/>
        <w:rPr>
          <w:rFonts w:ascii="仿宋_GB2312" w:eastAsia="仿宋_GB2312"/>
          <w:sz w:val="28"/>
          <w:szCs w:val="28"/>
        </w:rPr>
      </w:pPr>
      <w:r>
        <w:rPr>
          <w:rFonts w:hint="eastAsia" w:ascii="仿宋_GB2312" w:eastAsia="仿宋_GB2312"/>
          <w:sz w:val="28"/>
          <w:szCs w:val="28"/>
        </w:rPr>
        <w:t>1.因公出国（境）费用。2024年度决算数0万元，比2024年度年初预算数0万元增</w:t>
      </w:r>
      <w:r>
        <w:rPr>
          <w:rFonts w:hint="eastAsia" w:ascii="仿宋_GB2312" w:eastAsia="仿宋_GB2312"/>
          <w:sz w:val="28"/>
          <w:szCs w:val="28"/>
          <w:lang w:eastAsia="zh-CN"/>
        </w:rPr>
        <w:t>减无变化，保持一致</w:t>
      </w:r>
      <w:r>
        <w:rPr>
          <w:rFonts w:hint="eastAsia" w:ascii="仿宋_GB2312" w:eastAsia="仿宋_GB2312"/>
          <w:sz w:val="28"/>
          <w:szCs w:val="28"/>
        </w:rPr>
        <w:t>。主要原因：</w:t>
      </w:r>
      <w:r>
        <w:rPr>
          <w:rFonts w:hint="eastAsia" w:ascii="仿宋_GB2312" w:eastAsia="仿宋_GB2312"/>
          <w:sz w:val="28"/>
          <w:szCs w:val="28"/>
          <w:lang w:eastAsia="zh-CN"/>
        </w:rPr>
        <w:t>是因公出国（境）费用根据年度出国审批情况作为追加项目管理，单位不做年初预算，本年也没有出国审批项目发生</w:t>
      </w:r>
      <w:r>
        <w:rPr>
          <w:rFonts w:hint="eastAsia" w:ascii="仿宋_GB2312" w:eastAsia="仿宋_GB2312"/>
          <w:sz w:val="28"/>
          <w:szCs w:val="28"/>
        </w:rPr>
        <w:t>；2024年度因公出国（境）费用主要用于出国</w:t>
      </w:r>
      <w:r>
        <w:rPr>
          <w:rFonts w:hint="eastAsia" w:ascii="仿宋_GB2312" w:eastAsia="仿宋_GB2312"/>
          <w:sz w:val="28"/>
          <w:szCs w:val="28"/>
          <w:lang w:eastAsia="zh-CN"/>
        </w:rPr>
        <w:t>（</w:t>
      </w:r>
      <w:r>
        <w:rPr>
          <w:rFonts w:hint="eastAsia" w:ascii="仿宋_GB2312" w:eastAsia="仿宋_GB2312"/>
          <w:sz w:val="28"/>
          <w:szCs w:val="28"/>
        </w:rPr>
        <w:t>境</w:t>
      </w:r>
      <w:r>
        <w:rPr>
          <w:rFonts w:hint="eastAsia" w:ascii="仿宋_GB2312" w:eastAsia="仿宋_GB2312"/>
          <w:sz w:val="28"/>
          <w:szCs w:val="28"/>
          <w:lang w:eastAsia="zh-CN"/>
        </w:rPr>
        <w:t>）的会议、培训交流等事项</w:t>
      </w:r>
      <w:r>
        <w:rPr>
          <w:rFonts w:hint="eastAsia" w:ascii="仿宋_GB2312" w:eastAsia="仿宋_GB2312"/>
          <w:sz w:val="28"/>
          <w:szCs w:val="28"/>
        </w:rPr>
        <w:t>，2024年度组织因公出国（境）团组0个、0人次。</w:t>
      </w:r>
    </w:p>
    <w:p>
      <w:pPr>
        <w:spacing w:line="560" w:lineRule="exact"/>
        <w:ind w:firstLine="600"/>
        <w:rPr>
          <w:rFonts w:ascii="仿宋_GB2312" w:eastAsia="仿宋_GB2312"/>
          <w:sz w:val="28"/>
          <w:szCs w:val="28"/>
        </w:rPr>
      </w:pPr>
      <w:r>
        <w:rPr>
          <w:rFonts w:hint="eastAsia" w:ascii="仿宋_GB2312" w:eastAsia="仿宋_GB2312"/>
          <w:sz w:val="28"/>
          <w:szCs w:val="28"/>
        </w:rPr>
        <w:t>2.公务接待费。2024年度决算数0万元，比2024年度年初预算数0.2万元减少0.2万元。主要原因：</w:t>
      </w:r>
      <w:r>
        <w:rPr>
          <w:rFonts w:hint="eastAsia" w:ascii="仿宋_GB2312" w:eastAsia="仿宋_GB2312"/>
          <w:sz w:val="28"/>
          <w:szCs w:val="28"/>
          <w:lang w:eastAsia="zh-CN"/>
        </w:rPr>
        <w:t>本</w:t>
      </w:r>
      <w:r>
        <w:rPr>
          <w:rFonts w:hint="eastAsia" w:ascii="仿宋_GB2312" w:eastAsia="仿宋_GB2312"/>
          <w:sz w:val="28"/>
          <w:szCs w:val="28"/>
        </w:rPr>
        <w:t>年度</w:t>
      </w:r>
      <w:r>
        <w:rPr>
          <w:rFonts w:hint="eastAsia" w:ascii="仿宋_GB2312" w:eastAsia="仿宋_GB2312"/>
          <w:sz w:val="28"/>
          <w:szCs w:val="28"/>
          <w:lang w:eastAsia="zh-CN"/>
        </w:rPr>
        <w:t>无</w:t>
      </w:r>
      <w:r>
        <w:rPr>
          <w:rFonts w:hint="eastAsia" w:ascii="仿宋_GB2312" w:eastAsia="仿宋_GB2312"/>
          <w:sz w:val="28"/>
          <w:szCs w:val="28"/>
        </w:rPr>
        <w:t>公务接待</w:t>
      </w:r>
      <w:r>
        <w:rPr>
          <w:rFonts w:hint="eastAsia" w:ascii="仿宋_GB2312" w:eastAsia="仿宋_GB2312"/>
          <w:sz w:val="28"/>
          <w:szCs w:val="28"/>
          <w:lang w:eastAsia="zh-CN"/>
        </w:rPr>
        <w:t>支出</w:t>
      </w:r>
      <w:r>
        <w:rPr>
          <w:rFonts w:hint="eastAsia" w:ascii="仿宋_GB2312" w:eastAsia="仿宋_GB2312"/>
          <w:sz w:val="28"/>
          <w:szCs w:val="28"/>
        </w:rPr>
        <w:t>。2024年公务接待费主要用于公务接待</w:t>
      </w:r>
      <w:r>
        <w:rPr>
          <w:rFonts w:hint="eastAsia" w:ascii="仿宋_GB2312" w:eastAsia="仿宋_GB2312"/>
          <w:sz w:val="28"/>
          <w:szCs w:val="28"/>
          <w:lang w:eastAsia="zh-CN"/>
        </w:rPr>
        <w:t>事项</w:t>
      </w:r>
      <w:r>
        <w:rPr>
          <w:rFonts w:hint="eastAsia" w:ascii="仿宋_GB2312" w:eastAsia="仿宋_GB2312"/>
          <w:sz w:val="28"/>
          <w:szCs w:val="28"/>
        </w:rPr>
        <w:t>。公务接待0批次，公务接待0人次。</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3.公务用车购置及运行维护费。2024年度决算数1.49万元，比2024年度年初预算数5.4万元减少3.91万元。其中，公务用车购置费2024年度决算数0万元，主要原因：</w:t>
      </w:r>
      <w:r>
        <w:rPr>
          <w:rFonts w:hint="eastAsia" w:ascii="仿宋_GB2312" w:eastAsia="仿宋_GB2312"/>
          <w:sz w:val="28"/>
          <w:szCs w:val="28"/>
          <w:lang w:eastAsia="zh-CN"/>
        </w:rPr>
        <w:t>本年度新购车辆</w:t>
      </w:r>
      <w:r>
        <w:rPr>
          <w:rFonts w:hint="eastAsia" w:ascii="仿宋_GB2312" w:eastAsia="仿宋_GB2312"/>
          <w:sz w:val="28"/>
          <w:szCs w:val="28"/>
          <w:lang w:val="en-US" w:eastAsia="zh-CN"/>
        </w:rPr>
        <w:t>0辆</w:t>
      </w:r>
      <w:r>
        <w:rPr>
          <w:rFonts w:hint="eastAsia" w:ascii="仿宋_GB2312" w:eastAsia="仿宋_GB2312"/>
          <w:sz w:val="28"/>
          <w:szCs w:val="28"/>
        </w:rPr>
        <w:t>，2024年度购置（更新）0辆。公务用车运行维护费2024年度决算数1.49万元，主要原因：</w:t>
      </w:r>
      <w:r>
        <w:rPr>
          <w:rFonts w:hint="eastAsia" w:ascii="仿宋_GB2312" w:eastAsia="仿宋_GB2312"/>
          <w:sz w:val="28"/>
          <w:szCs w:val="28"/>
          <w:lang w:eastAsia="zh-CN"/>
        </w:rPr>
        <w:t>原因是严格落实公务用车使用规定，认真贯彻厉行节约反对浪费的有关要求，本着节俭高效的原则，进一步加强公务用车管理，减少费用支出</w:t>
      </w:r>
      <w:r>
        <w:rPr>
          <w:rFonts w:hint="eastAsia" w:ascii="仿宋_GB2312" w:eastAsia="仿宋_GB2312"/>
          <w:sz w:val="28"/>
          <w:szCs w:val="28"/>
        </w:rPr>
        <w:t>。2024年度公务用车保有量</w:t>
      </w:r>
      <w:r>
        <w:rPr>
          <w:rFonts w:ascii="仿宋_GB2312" w:eastAsia="仿宋_GB2312"/>
          <w:sz w:val="28"/>
          <w:szCs w:val="28"/>
        </w:rPr>
        <w:t>2</w:t>
      </w:r>
      <w:r>
        <w:rPr>
          <w:rFonts w:hint="eastAsia" w:ascii="仿宋_GB2312" w:eastAsia="仿宋_GB2312"/>
          <w:sz w:val="28"/>
          <w:szCs w:val="28"/>
        </w:rPr>
        <w:t>辆。</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ascii="仿宋_GB2312" w:eastAsia="仿宋_GB2312"/>
          <w:sz w:val="28"/>
          <w:szCs w:val="28"/>
          <w:highlight w:val="yellow"/>
        </w:rPr>
      </w:pPr>
      <w:r>
        <w:rPr>
          <w:rFonts w:hint="eastAsia" w:ascii="仿宋_GB2312" w:eastAsia="仿宋_GB2312"/>
          <w:sz w:val="28"/>
          <w:szCs w:val="28"/>
        </w:rPr>
        <w:t>2024年度机关运行经费支出合计0万元，比上年增加（减少）0万元，增加（减少）原因：本单位不在机关运行经费统计范围之内。</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17.36</w:t>
      </w:r>
      <w:r>
        <w:rPr>
          <w:rFonts w:hint="eastAsia" w:ascii="仿宋_GB2312" w:eastAsia="仿宋_GB2312"/>
          <w:sz w:val="28"/>
          <w:szCs w:val="28"/>
        </w:rPr>
        <w:t>万元，其中：政府采购货物支出0万元，政府采购工程支出0万元，政府采购服务支出17.36万元。授予中小企业合同金额</w:t>
      </w:r>
      <w:r>
        <w:rPr>
          <w:rFonts w:ascii="仿宋_GB2312" w:eastAsia="仿宋_GB2312"/>
          <w:sz w:val="28"/>
          <w:szCs w:val="28"/>
        </w:rPr>
        <w:t>16.94</w:t>
      </w:r>
      <w:r>
        <w:rPr>
          <w:rFonts w:hint="eastAsia" w:ascii="仿宋_GB2312" w:eastAsia="仿宋_GB2312"/>
          <w:sz w:val="28"/>
          <w:szCs w:val="28"/>
        </w:rPr>
        <w:t>万元，占政府采购支出总额的97.58%，其中：授予小微企业合同金额</w:t>
      </w:r>
      <w:r>
        <w:rPr>
          <w:rFonts w:ascii="仿宋_GB2312" w:eastAsia="仿宋_GB2312"/>
          <w:sz w:val="28"/>
          <w:szCs w:val="28"/>
        </w:rPr>
        <w:t>16.94</w:t>
      </w:r>
      <w:r>
        <w:rPr>
          <w:rFonts w:hint="eastAsia" w:ascii="仿宋_GB2312" w:eastAsia="仿宋_GB2312"/>
          <w:sz w:val="28"/>
          <w:szCs w:val="28"/>
        </w:rPr>
        <w:t>万元，占政府采购支出总额的</w:t>
      </w:r>
      <w:r>
        <w:rPr>
          <w:rFonts w:ascii="仿宋_GB2312" w:eastAsia="仿宋_GB2312"/>
          <w:sz w:val="28"/>
          <w:szCs w:val="28"/>
        </w:rPr>
        <w:t>97.5</w:t>
      </w:r>
      <w:r>
        <w:rPr>
          <w:rFonts w:hint="eastAsia" w:ascii="仿宋_GB2312" w:eastAsia="仿宋_GB2312"/>
          <w:sz w:val="28"/>
          <w:szCs w:val="28"/>
        </w:rPr>
        <w:t>8%。</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截至12月31日，北京市大兴区第四中学共有车辆2台；单位价值100万元（含）以上的设备0台（套）。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60" w:firstLineChars="200"/>
        <w:jc w:val="left"/>
        <w:rPr>
          <w:rFonts w:ascii="仿宋_GB2312" w:eastAsia="仿宋_GB2312"/>
          <w:sz w:val="28"/>
          <w:szCs w:val="28"/>
        </w:rPr>
      </w:pPr>
      <w:r>
        <w:rPr>
          <w:rFonts w:hint="eastAsia" w:ascii="仿宋_GB2312" w:eastAsia="仿宋_GB2312"/>
          <w:sz w:val="28"/>
          <w:szCs w:val="28"/>
        </w:rPr>
        <w:t>2024年度政府购买服务决算0万元。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eastAsia="仿宋_GB2312"/>
          <w:sz w:val="28"/>
          <w:szCs w:val="28"/>
        </w:rPr>
      </w:pPr>
      <w:r>
        <w:rPr>
          <w:rFonts w:hint="eastAsia" w:ascii="仿宋_GB2312" w:eastAsia="仿宋_GB2312"/>
          <w:sz w:val="28"/>
          <w:szCs w:val="28"/>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eastAsia="仿宋_GB2312"/>
          <w:sz w:val="28"/>
          <w:szCs w:val="28"/>
        </w:rPr>
      </w:pPr>
      <w:r>
        <w:rPr>
          <w:rFonts w:hint="eastAsia" w:ascii="仿宋_GB2312" w:eastAsia="仿宋_GB2312"/>
          <w:sz w:val="28"/>
          <w:szCs w:val="28"/>
        </w:rPr>
        <w:t>4.政府采购：指各级国家机关、事业单位和团体组织，使用财政性资金采购依法制定的集中目录以内的或者采购限额标准以上的货物、工程和服务的行为，是规范财政支出管理和强化预算约束的有效措施。</w:t>
      </w:r>
    </w:p>
    <w:p>
      <w:pPr>
        <w:ind w:firstLine="560" w:firstLineChars="200"/>
        <w:rPr>
          <w:rFonts w:ascii="仿宋_GB2312" w:eastAsia="仿宋_GB2312"/>
          <w:sz w:val="28"/>
          <w:szCs w:val="28"/>
        </w:rPr>
      </w:pPr>
      <w:r>
        <w:rPr>
          <w:rFonts w:hint="eastAsia" w:ascii="仿宋_GB2312" w:eastAsia="仿宋_GB2312"/>
          <w:sz w:val="28"/>
          <w:szCs w:val="28"/>
        </w:rPr>
        <w:t>5.商品和服务支出：指单位购买商品和服务的支出（不包括用于购置固定资产、战略性和应急性物资储备等资本性支出）。</w:t>
      </w:r>
    </w:p>
    <w:p>
      <w:pPr>
        <w:ind w:firstLine="560" w:firstLineChars="200"/>
        <w:rPr>
          <w:rFonts w:ascii="仿宋_GB2312" w:eastAsia="仿宋_GB2312"/>
          <w:sz w:val="28"/>
          <w:szCs w:val="28"/>
        </w:rPr>
      </w:pPr>
      <w:r>
        <w:rPr>
          <w:rFonts w:hint="eastAsia" w:ascii="仿宋_GB2312" w:eastAsia="仿宋_GB2312"/>
          <w:sz w:val="28"/>
          <w:szCs w:val="28"/>
        </w:rPr>
        <w:t xml:space="preserve">  6.支出功能分类科目：</w:t>
      </w:r>
    </w:p>
    <w:p>
      <w:pPr>
        <w:ind w:firstLine="560" w:firstLineChars="200"/>
        <w:rPr>
          <w:rFonts w:ascii="仿宋_GB2312" w:eastAsia="仿宋_GB2312"/>
          <w:sz w:val="28"/>
          <w:szCs w:val="28"/>
        </w:rPr>
      </w:pPr>
      <w:r>
        <w:rPr>
          <w:rFonts w:hint="eastAsia" w:ascii="仿宋_GB2312" w:eastAsia="仿宋_GB2312"/>
          <w:sz w:val="28"/>
          <w:szCs w:val="28"/>
        </w:rPr>
        <w:t>（1）教育支出（类）普通教育（款）初中教育（项）：反映各部门举办的初中教育支出。政府各部门对社会组织等举办的初中的资助，如捐赠、补贴等，也在本科目中反映。</w:t>
      </w:r>
    </w:p>
    <w:p>
      <w:pPr>
        <w:ind w:firstLine="560" w:firstLineChars="200"/>
        <w:rPr>
          <w:rFonts w:ascii="仿宋_GB2312" w:eastAsia="仿宋_GB2312"/>
          <w:sz w:val="28"/>
          <w:szCs w:val="28"/>
        </w:rPr>
      </w:pPr>
      <w:r>
        <w:rPr>
          <w:rFonts w:hint="eastAsia" w:ascii="仿宋_GB2312" w:eastAsia="仿宋_GB2312"/>
          <w:sz w:val="28"/>
          <w:szCs w:val="28"/>
        </w:rPr>
        <w:t>（2）教育支出（类）教育费附加安排的支出（款）其他教育费附加安排的支出（项）：反映除城市中小学校舍建设、城市中小学教学设施、中等职业学校教学设施、农村中小学校舍建设、农村中小学教学设施等项目以外的教育费附加支出。</w:t>
      </w:r>
    </w:p>
    <w:p>
      <w:pPr>
        <w:ind w:firstLine="560" w:firstLineChars="200"/>
        <w:rPr>
          <w:rFonts w:ascii="仿宋_GB2312" w:eastAsia="仿宋_GB2312"/>
          <w:sz w:val="28"/>
          <w:szCs w:val="28"/>
        </w:rPr>
      </w:pPr>
      <w:r>
        <w:rPr>
          <w:rFonts w:hint="eastAsia" w:ascii="仿宋_GB2312" w:eastAsia="仿宋_GB2312"/>
          <w:sz w:val="28"/>
          <w:szCs w:val="28"/>
        </w:rPr>
        <w:t>（3）社会保障和就业支出（类）行政事业单位养老支出（款）事业单位离退休（项）：反映事业单位开支的离退休经费。</w:t>
      </w:r>
    </w:p>
    <w:p>
      <w:pPr>
        <w:ind w:firstLine="560" w:firstLineChars="200"/>
        <w:rPr>
          <w:rFonts w:ascii="仿宋_GB2312" w:eastAsia="仿宋_GB2312"/>
          <w:sz w:val="28"/>
          <w:szCs w:val="28"/>
        </w:rPr>
      </w:pPr>
      <w:r>
        <w:rPr>
          <w:rFonts w:hint="eastAsia" w:ascii="仿宋_GB2312" w:eastAsia="仿宋_GB2312"/>
          <w:sz w:val="28"/>
          <w:szCs w:val="28"/>
        </w:rPr>
        <w:t>（4）社会保障和就业支出（类）行政事业单位养老支出（款）机关事业单位基本养老保险缴费支出（项）：反映机关事业单位实施养老保险制度由单位缴纳的基本养老保险费支出。</w:t>
      </w:r>
    </w:p>
    <w:p>
      <w:pPr>
        <w:ind w:firstLine="560" w:firstLineChars="200"/>
        <w:rPr>
          <w:rFonts w:ascii="仿宋_GB2312" w:eastAsia="仿宋_GB2312"/>
          <w:sz w:val="28"/>
          <w:szCs w:val="28"/>
        </w:rPr>
      </w:pPr>
      <w:r>
        <w:rPr>
          <w:rFonts w:hint="eastAsia" w:ascii="仿宋_GB2312" w:eastAsia="仿宋_GB2312"/>
          <w:sz w:val="28"/>
          <w:szCs w:val="28"/>
        </w:rPr>
        <w:t>（5）社会保障和就业支出（类）行政事业单位养老支出（款）机关事业单位职业年金缴费支出（项）：反映机关事业单位实施养老保险制度由单位实际缴纳的职业年金支出。</w:t>
      </w:r>
    </w:p>
    <w:p>
      <w:pPr>
        <w:ind w:firstLine="560" w:firstLineChars="200"/>
        <w:rPr>
          <w:rFonts w:ascii="仿宋_GB2312" w:eastAsia="仿宋_GB2312"/>
          <w:sz w:val="28"/>
          <w:szCs w:val="28"/>
        </w:rPr>
      </w:pPr>
      <w:r>
        <w:rPr>
          <w:rFonts w:hint="eastAsia" w:ascii="仿宋_GB2312" w:eastAsia="仿宋_GB2312"/>
          <w:sz w:val="28"/>
          <w:szCs w:val="28"/>
        </w:rPr>
        <w:t>（6）社会保障和就业支出（类）行政事业单位养老支出（款）其他行政事业单位养老支出（项）：反映除事业单位离退休、机关事业单位基本养老保险缴费支出、职业年金缴费支出等项目以外其他用于行政事业单位养老方面的支出。</w:t>
      </w:r>
    </w:p>
    <w:p>
      <w:pPr>
        <w:ind w:firstLine="560" w:firstLineChars="200"/>
        <w:rPr>
          <w:rFonts w:ascii="仿宋_GB2312" w:eastAsia="仿宋_GB2312"/>
          <w:sz w:val="28"/>
          <w:szCs w:val="28"/>
        </w:rPr>
      </w:pPr>
      <w:r>
        <w:rPr>
          <w:rFonts w:hint="eastAsia" w:ascii="仿宋_GB2312" w:eastAsia="仿宋_GB2312"/>
          <w:sz w:val="28"/>
          <w:szCs w:val="28"/>
        </w:rPr>
        <w:t>（7）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560" w:firstLineChars="200"/>
        <w:rPr>
          <w:rFonts w:ascii="仿宋_GB2312" w:eastAsia="仿宋_GB2312"/>
          <w:sz w:val="28"/>
          <w:szCs w:val="28"/>
        </w:rPr>
      </w:pPr>
      <w:r>
        <w:rPr>
          <w:rFonts w:hint="eastAsia" w:ascii="仿宋_GB2312" w:eastAsia="仿宋_GB2312"/>
          <w:sz w:val="28"/>
          <w:szCs w:val="28"/>
        </w:rPr>
        <w:t>（8）卫生健康支出（类）行政事业单位医疗（款）公务员医疗（项）：反映财政部门安排的公务员医疗补助经费。</w:t>
      </w:r>
    </w:p>
    <w:p>
      <w:pPr>
        <w:ind w:firstLine="560" w:firstLineChars="200"/>
        <w:rPr>
          <w:rFonts w:ascii="仿宋_GB2312" w:eastAsia="仿宋_GB2312"/>
          <w:sz w:val="28"/>
          <w:szCs w:val="28"/>
        </w:rPr>
      </w:pPr>
      <w:r>
        <w:rPr>
          <w:rFonts w:hint="eastAsia" w:ascii="仿宋_GB2312" w:eastAsia="仿宋_GB2312"/>
          <w:sz w:val="28"/>
          <w:szCs w:val="28"/>
        </w:rPr>
        <w:t>（9）住房保障支出（类）住房改革支出（款）购房补贴（项）：反映按房改政策规定，行政事业单位向符合条件职</w:t>
      </w:r>
    </w:p>
    <w:p>
      <w:pPr>
        <w:rPr>
          <w:rFonts w:ascii="宋体" w:hAnsi="宋体" w:cs="宋体"/>
          <w:sz w:val="28"/>
          <w:szCs w:val="28"/>
        </w:rPr>
      </w:pPr>
      <w:r>
        <w:rPr>
          <w:rFonts w:hint="eastAsia" w:ascii="仿宋_GB2312" w:eastAsia="仿宋_GB2312"/>
          <w:sz w:val="28"/>
          <w:szCs w:val="28"/>
        </w:rPr>
        <w:t>工（含离退休人员）、军队（含武警）向转役复员离退休人员发放的用于购买住房的补贴。</w:t>
      </w:r>
    </w:p>
    <w:p>
      <w:pPr>
        <w:rPr>
          <w:rFonts w:ascii="宋体" w:hAnsi="宋体" w:cs="宋体"/>
          <w:b/>
          <w:bCs/>
          <w:kern w:val="0"/>
          <w:sz w:val="28"/>
          <w:szCs w:val="28"/>
        </w:rPr>
      </w:pPr>
    </w:p>
    <w:p>
      <w:pP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w:t>
      </w:r>
      <w:bookmarkStart w:id="0" w:name="_GoBack"/>
      <w:bookmarkEnd w:id="0"/>
      <w:r>
        <w:rPr>
          <w:rFonts w:hint="eastAsia" w:ascii="黑体" w:eastAsia="黑体"/>
          <w:sz w:val="32"/>
          <w:szCs w:val="32"/>
        </w:rPr>
        <w:t>分  2024年度部门绩效评价情况</w:t>
      </w:r>
    </w:p>
    <w:p>
      <w:pPr>
        <w:spacing w:line="480" w:lineRule="exact"/>
        <w:rPr>
          <w:rFonts w:ascii="仿宋_GB2312" w:hAnsi="仿宋_GB2312" w:eastAsia="仿宋_GB2312" w:cs="仿宋_GB2312"/>
          <w:sz w:val="32"/>
          <w:szCs w:val="32"/>
        </w:rPr>
      </w:pPr>
    </w:p>
    <w:p>
      <w:pPr>
        <w:spacing w:line="480" w:lineRule="exact"/>
        <w:jc w:val="center"/>
      </w:pPr>
      <w:r>
        <w:rPr>
          <w:rFonts w:hint="eastAsia" w:ascii="宋体" w:hAnsi="宋体" w:cs="宋体"/>
          <w:b/>
          <w:bCs/>
          <w:kern w:val="0"/>
          <w:sz w:val="28"/>
          <w:szCs w:val="28"/>
        </w:rPr>
        <w:t>项目支出绩效自评表(详</w:t>
      </w:r>
      <w:r>
        <w:rPr>
          <w:rFonts w:ascii="宋体" w:hAnsi="宋体" w:cs="宋体"/>
          <w:b/>
          <w:bCs/>
          <w:kern w:val="0"/>
          <w:sz w:val="28"/>
          <w:szCs w:val="28"/>
        </w:rPr>
        <w:t>见附件</w:t>
      </w:r>
      <w:r>
        <w:rPr>
          <w:rFonts w:hint="eastAsia" w:ascii="宋体" w:hAnsi="宋体" w:cs="宋体"/>
          <w:b/>
          <w:bCs/>
          <w:kern w:val="0"/>
          <w:sz w:val="28"/>
          <w:szCs w:val="28"/>
        </w:rPr>
        <w:t>)</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8</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74231"/>
    <w:multiLevelType w:val="singleLevel"/>
    <w:tmpl w:val="1447423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58C"/>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45C3"/>
    <w:rsid w:val="002253CB"/>
    <w:rsid w:val="002267A6"/>
    <w:rsid w:val="002326DE"/>
    <w:rsid w:val="00234314"/>
    <w:rsid w:val="00241724"/>
    <w:rsid w:val="0024390C"/>
    <w:rsid w:val="00243B5C"/>
    <w:rsid w:val="002441F4"/>
    <w:rsid w:val="00244204"/>
    <w:rsid w:val="002448A4"/>
    <w:rsid w:val="002459A8"/>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3B36"/>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657"/>
    <w:rsid w:val="003F0D1B"/>
    <w:rsid w:val="003F1DD6"/>
    <w:rsid w:val="003F6334"/>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D738F"/>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6ACF"/>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202920"/>
    <w:rsid w:val="02F120AB"/>
    <w:rsid w:val="032B5196"/>
    <w:rsid w:val="04C3537C"/>
    <w:rsid w:val="060D1927"/>
    <w:rsid w:val="079004AC"/>
    <w:rsid w:val="09290E52"/>
    <w:rsid w:val="0A1A364C"/>
    <w:rsid w:val="0AA67637"/>
    <w:rsid w:val="0BA148CA"/>
    <w:rsid w:val="0BEB13B0"/>
    <w:rsid w:val="0C1165C4"/>
    <w:rsid w:val="0D4A670C"/>
    <w:rsid w:val="0D6D544B"/>
    <w:rsid w:val="0D7E2E13"/>
    <w:rsid w:val="0D897D13"/>
    <w:rsid w:val="0DD136FE"/>
    <w:rsid w:val="0E6C4C89"/>
    <w:rsid w:val="0F542F2C"/>
    <w:rsid w:val="0F8E2C57"/>
    <w:rsid w:val="1059665E"/>
    <w:rsid w:val="10AC13BA"/>
    <w:rsid w:val="11556F1A"/>
    <w:rsid w:val="11CE6EFF"/>
    <w:rsid w:val="13D953F2"/>
    <w:rsid w:val="1454002E"/>
    <w:rsid w:val="145A6C1B"/>
    <w:rsid w:val="14B73493"/>
    <w:rsid w:val="15024014"/>
    <w:rsid w:val="15611F9C"/>
    <w:rsid w:val="164519B3"/>
    <w:rsid w:val="167A2FF9"/>
    <w:rsid w:val="1764587C"/>
    <w:rsid w:val="18581C69"/>
    <w:rsid w:val="19BE4830"/>
    <w:rsid w:val="1AEC0734"/>
    <w:rsid w:val="1CD704F4"/>
    <w:rsid w:val="1DA621FD"/>
    <w:rsid w:val="1DEF20B0"/>
    <w:rsid w:val="1E242B34"/>
    <w:rsid w:val="1FF7AB17"/>
    <w:rsid w:val="211735ED"/>
    <w:rsid w:val="214243FA"/>
    <w:rsid w:val="21A30981"/>
    <w:rsid w:val="21AD613C"/>
    <w:rsid w:val="22467189"/>
    <w:rsid w:val="257A14F5"/>
    <w:rsid w:val="257E39E7"/>
    <w:rsid w:val="27196C26"/>
    <w:rsid w:val="27F65F6C"/>
    <w:rsid w:val="2821005C"/>
    <w:rsid w:val="29B25C62"/>
    <w:rsid w:val="29EF086F"/>
    <w:rsid w:val="2AB32203"/>
    <w:rsid w:val="2AC477DE"/>
    <w:rsid w:val="2BC34C59"/>
    <w:rsid w:val="2BEA1968"/>
    <w:rsid w:val="2C900F9D"/>
    <w:rsid w:val="2D27787E"/>
    <w:rsid w:val="2E02091C"/>
    <w:rsid w:val="2EFFE297"/>
    <w:rsid w:val="301437CA"/>
    <w:rsid w:val="349D1F0A"/>
    <w:rsid w:val="34DD0473"/>
    <w:rsid w:val="355E10D6"/>
    <w:rsid w:val="36FF1863"/>
    <w:rsid w:val="37645711"/>
    <w:rsid w:val="382B3AC7"/>
    <w:rsid w:val="3A8E35DC"/>
    <w:rsid w:val="3ADD5F90"/>
    <w:rsid w:val="3B2F749C"/>
    <w:rsid w:val="3C684897"/>
    <w:rsid w:val="3CE82720"/>
    <w:rsid w:val="3D813F63"/>
    <w:rsid w:val="429A5DCB"/>
    <w:rsid w:val="433E495C"/>
    <w:rsid w:val="443F021F"/>
    <w:rsid w:val="44A0144E"/>
    <w:rsid w:val="44A450F1"/>
    <w:rsid w:val="47485F2A"/>
    <w:rsid w:val="489F2FD7"/>
    <w:rsid w:val="48C7648F"/>
    <w:rsid w:val="49A253DF"/>
    <w:rsid w:val="4AC27CB3"/>
    <w:rsid w:val="4BF72BEF"/>
    <w:rsid w:val="4C9B5DE2"/>
    <w:rsid w:val="4CC4155E"/>
    <w:rsid w:val="4FA90297"/>
    <w:rsid w:val="4FC41A43"/>
    <w:rsid w:val="50E45AD8"/>
    <w:rsid w:val="5154494E"/>
    <w:rsid w:val="51DB3C59"/>
    <w:rsid w:val="51E27BB8"/>
    <w:rsid w:val="550C0952"/>
    <w:rsid w:val="55762E42"/>
    <w:rsid w:val="56270877"/>
    <w:rsid w:val="56B87B5B"/>
    <w:rsid w:val="57A7B272"/>
    <w:rsid w:val="58470068"/>
    <w:rsid w:val="58747CAC"/>
    <w:rsid w:val="59F675A0"/>
    <w:rsid w:val="5A1720F9"/>
    <w:rsid w:val="5B012706"/>
    <w:rsid w:val="5B9C37C2"/>
    <w:rsid w:val="5BA7C654"/>
    <w:rsid w:val="5D1F4CA5"/>
    <w:rsid w:val="5DF716AE"/>
    <w:rsid w:val="5F9F507E"/>
    <w:rsid w:val="60A54109"/>
    <w:rsid w:val="60FC0834"/>
    <w:rsid w:val="617B21A4"/>
    <w:rsid w:val="61D01CDF"/>
    <w:rsid w:val="62CE4E1B"/>
    <w:rsid w:val="6451178B"/>
    <w:rsid w:val="64C0607C"/>
    <w:rsid w:val="65756C86"/>
    <w:rsid w:val="672E0ED5"/>
    <w:rsid w:val="674D385B"/>
    <w:rsid w:val="676F09E1"/>
    <w:rsid w:val="67F70DFE"/>
    <w:rsid w:val="68B50D82"/>
    <w:rsid w:val="693856E7"/>
    <w:rsid w:val="6A0A0BC5"/>
    <w:rsid w:val="6C4D2CDF"/>
    <w:rsid w:val="6CE25617"/>
    <w:rsid w:val="6F523FA9"/>
    <w:rsid w:val="6F7B01D1"/>
    <w:rsid w:val="71691990"/>
    <w:rsid w:val="71793A80"/>
    <w:rsid w:val="7357290B"/>
    <w:rsid w:val="7466589B"/>
    <w:rsid w:val="749B1D13"/>
    <w:rsid w:val="756E3DEA"/>
    <w:rsid w:val="76821B07"/>
    <w:rsid w:val="76A82E9D"/>
    <w:rsid w:val="76DD5496"/>
    <w:rsid w:val="76FB1693"/>
    <w:rsid w:val="798524E4"/>
    <w:rsid w:val="7A7F1C49"/>
    <w:rsid w:val="7A8F6334"/>
    <w:rsid w:val="7AC11F59"/>
    <w:rsid w:val="7B5B7AE6"/>
    <w:rsid w:val="7B7B6628"/>
    <w:rsid w:val="7BA7071E"/>
    <w:rsid w:val="7BDF6DA8"/>
    <w:rsid w:val="7C7EDC1A"/>
    <w:rsid w:val="7CAA352F"/>
    <w:rsid w:val="7CCED98D"/>
    <w:rsid w:val="7CE63296"/>
    <w:rsid w:val="7D08410F"/>
    <w:rsid w:val="7D736923"/>
    <w:rsid w:val="7DB96DED"/>
    <w:rsid w:val="7DD3AD81"/>
    <w:rsid w:val="7DFFF77E"/>
    <w:rsid w:val="7EA11626"/>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字符"/>
    <w:link w:val="7"/>
    <w:qFormat/>
    <w:uiPriority w:val="0"/>
    <w:rPr>
      <w:rFonts w:eastAsia="宋体"/>
      <w:kern w:val="2"/>
      <w:sz w:val="18"/>
      <w:szCs w:val="18"/>
      <w:lang w:val="en-US" w:eastAsia="zh-CN" w:bidi="ar-SA"/>
    </w:rPr>
  </w:style>
  <w:style w:type="character" w:customStyle="1" w:styleId="15">
    <w:name w:val="页眉 字符"/>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dLbl>
              <c:idx val="5"/>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2780.41</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2899.97</c:v>
                </c:pt>
                <c:pt idx="1">
                  <c:v>104.92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822</Words>
  <Characters>4690</Characters>
  <Lines>39</Lines>
  <Paragraphs>11</Paragraphs>
  <TotalTime>0</TotalTime>
  <ScaleCrop>false</ScaleCrop>
  <LinksUpToDate>false</LinksUpToDate>
  <CharactersWithSpaces>5501</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2025-09-22T07:17:00Z</dcterms:created>
  <dc:creator>常程</dc:creator>
  <cp:lastModifiedBy>pc</cp:lastModifiedBy>
  <cp:lastPrinted>2020-08-09T03:39:00Z</cp:lastPrinted>
  <dcterms:modified xsi:type="dcterms:W3CDTF">2025-09-24T06:16:14Z</dcterms:modified>
  <dc:title>北京市财政局关于做好向市人大常委会报送2015年度市级部门决算（草案）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