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ascii="黑体" w:eastAsia="黑体"/>
          <w:sz w:val="72"/>
          <w:szCs w:val="72"/>
        </w:rPr>
      </w:pPr>
      <w:r>
        <w:rPr>
          <w:rFonts w:hint="eastAsia" w:ascii="黑体" w:eastAsia="黑体"/>
          <w:sz w:val="72"/>
          <w:szCs w:val="72"/>
        </w:rPr>
        <w:t>北京市大兴区第七小学</w:t>
      </w: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w:t>
      </w:r>
      <w:bookmarkStart w:id="0" w:name="_GoBack"/>
      <w:bookmarkEnd w:id="0"/>
      <w:r>
        <w:rPr>
          <w:rFonts w:hint="eastAsia" w:ascii="黑体" w:eastAsia="黑体"/>
          <w:b/>
          <w:sz w:val="28"/>
          <w:szCs w:val="28"/>
        </w:rPr>
        <w:t>单位基本情况</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1.主要职能：全面贯彻国家教育方针，培养学生的创新精神与实践能力，使之成为社会主义事业的建设者和接班人。负责所属服务片学生义务教育阶段中小学教育教学工作。</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内设机构：工会、行政办、教导处、科研办、总务处、少先队办、德育处。</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总计2480.0</w:t>
      </w:r>
      <w:r>
        <w:rPr>
          <w:rFonts w:hint="eastAsia" w:ascii="仿宋_GB2312" w:eastAsia="仿宋_GB2312"/>
          <w:sz w:val="28"/>
          <w:szCs w:val="28"/>
          <w:lang w:val="en-US" w:eastAsia="zh-CN"/>
        </w:rPr>
        <w:t>5</w:t>
      </w:r>
      <w:r>
        <w:rPr>
          <w:rFonts w:hint="eastAsia" w:ascii="仿宋_GB2312" w:eastAsia="仿宋_GB2312"/>
          <w:sz w:val="28"/>
          <w:szCs w:val="28"/>
        </w:rPr>
        <w:t>万元，比上年增加90.10万元，增加3.77%。</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年度本年收入合计2480.0</w:t>
      </w:r>
      <w:r>
        <w:rPr>
          <w:rFonts w:hint="eastAsia" w:ascii="仿宋_GB2312" w:eastAsia="仿宋_GB2312"/>
          <w:sz w:val="28"/>
          <w:szCs w:val="28"/>
          <w:lang w:val="en-US" w:eastAsia="zh-CN"/>
        </w:rPr>
        <w:t>5</w:t>
      </w:r>
      <w:r>
        <w:rPr>
          <w:rFonts w:hint="eastAsia" w:ascii="仿宋_GB2312" w:eastAsia="仿宋_GB2312"/>
          <w:sz w:val="28"/>
          <w:szCs w:val="28"/>
        </w:rPr>
        <w:t>万元，比上年增加90.10万元，增加3.77%</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2480.05</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2480.05</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2694.25</w:t>
      </w:r>
      <w:r>
        <w:rPr>
          <w:rFonts w:hint="eastAsia" w:ascii="仿宋_GB2312" w:eastAsia="仿宋_GB2312"/>
          <w:sz w:val="28"/>
          <w:szCs w:val="28"/>
        </w:rPr>
        <w:t>万元，比上年增加165.23747万元，增加3.03%，其中：基本支</w:t>
      </w:r>
      <w:r>
        <w:rPr>
          <w:rFonts w:hint="eastAsia" w:ascii="仿宋_GB2312" w:eastAsia="仿宋_GB2312"/>
          <w:sz w:val="28"/>
          <w:szCs w:val="28"/>
          <w:highlight w:val="none"/>
        </w:rPr>
        <w:t>出</w:t>
      </w:r>
      <w:r>
        <w:rPr>
          <w:rFonts w:ascii="仿宋_GB2312" w:eastAsia="仿宋_GB2312"/>
          <w:sz w:val="28"/>
          <w:szCs w:val="28"/>
          <w:highlight w:val="none"/>
        </w:rPr>
        <w:t>2459.89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91.3</w:t>
      </w:r>
      <w:r>
        <w:rPr>
          <w:rFonts w:hint="eastAsia" w:ascii="仿宋_GB2312" w:eastAsia="仿宋_GB2312"/>
          <w:sz w:val="28"/>
          <w:szCs w:val="28"/>
          <w:highlight w:val="none"/>
        </w:rPr>
        <w:t>%；项目支出</w:t>
      </w:r>
      <w:r>
        <w:rPr>
          <w:rFonts w:ascii="仿宋_GB2312" w:eastAsia="仿宋_GB2312"/>
          <w:sz w:val="28"/>
          <w:szCs w:val="28"/>
          <w:highlight w:val="none"/>
        </w:rPr>
        <w:t>234.36</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8.7</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snapToGrid w:val="0"/>
        <w:spacing w:line="520" w:lineRule="exact"/>
        <w:ind w:firstLine="560" w:firstLineChars="200"/>
        <w:rPr>
          <w:rFonts w:ascii="宋体" w:hAnsi="宋体" w:cs="仿宋"/>
          <w:sz w:val="32"/>
          <w:szCs w:val="32"/>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2694.25</w:t>
      </w:r>
      <w:r>
        <w:rPr>
          <w:rFonts w:hint="eastAsia" w:ascii="仿宋_GB2312" w:eastAsia="仿宋_GB2312"/>
          <w:sz w:val="28"/>
          <w:szCs w:val="28"/>
        </w:rPr>
        <w:t>万元，比上年增加165.2374元，增加3.03%。主要原因：上年度人员岗位绩效费用增加和2024年在职人员增加4人，人员费用经费、保险基数调整增加等原因较上年增加。项目经费集中培训-英语1+1学校教师发展与教学研究项目、节能环保项目等增加。公用经费增加，如随班就读学生数由2023年6人到2024年4人，减少2人，总体支出增加。</w:t>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48" w:firstLineChars="196"/>
        <w:rPr>
          <w:rFonts w:hint="eastAsia" w:ascii="黑体" w:eastAsia="黑体"/>
          <w:b/>
          <w:sz w:val="28"/>
          <w:szCs w:val="28"/>
        </w:rPr>
      </w:pPr>
    </w:p>
    <w:p>
      <w:pPr>
        <w:tabs>
          <w:tab w:val="center" w:pos="6979"/>
        </w:tabs>
        <w:spacing w:line="580" w:lineRule="exact"/>
        <w:ind w:firstLine="548" w:firstLineChars="196"/>
        <w:rPr>
          <w:rFonts w:hint="eastAsia" w:ascii="黑体" w:eastAsia="黑体"/>
          <w:b/>
          <w:color w:val="auto"/>
          <w:sz w:val="28"/>
          <w:szCs w:val="28"/>
          <w:highlight w:val="none"/>
        </w:rPr>
      </w:pPr>
      <w:r>
        <w:rPr>
          <w:rFonts w:hint="eastAsia" w:ascii="黑体" w:eastAsia="黑体"/>
          <w:b/>
          <w:color w:val="auto"/>
          <w:sz w:val="28"/>
          <w:szCs w:val="28"/>
          <w:highlight w:val="none"/>
        </w:rPr>
        <w:t>四、一般公共预算财政拨款支出决算情况说明</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 xml:space="preserve">2024 年度一般公共预算财政拨款支出 </w:t>
      </w:r>
      <w:r>
        <w:rPr>
          <w:rFonts w:hint="eastAsia" w:ascii="仿宋_GB2312" w:eastAsia="仿宋_GB2312"/>
          <w:sz w:val="28"/>
          <w:szCs w:val="28"/>
          <w:lang w:val="en-US" w:eastAsia="zh-CN"/>
        </w:rPr>
        <w:t>2694.25</w:t>
      </w:r>
      <w:r>
        <w:rPr>
          <w:rFonts w:hint="eastAsia" w:ascii="仿宋_GB2312" w:eastAsia="仿宋_GB2312"/>
          <w:sz w:val="28"/>
          <w:szCs w:val="28"/>
        </w:rPr>
        <w:t xml:space="preserve">万元，主要用于以下方面(按大类):教育支出 </w:t>
      </w:r>
      <w:r>
        <w:rPr>
          <w:rFonts w:hint="eastAsia" w:ascii="仿宋_GB2312" w:eastAsia="仿宋_GB2312"/>
          <w:sz w:val="28"/>
          <w:szCs w:val="28"/>
          <w:lang w:val="en-US" w:eastAsia="zh-CN"/>
        </w:rPr>
        <w:t>1970.32</w:t>
      </w:r>
      <w:r>
        <w:rPr>
          <w:rFonts w:hint="eastAsia" w:ascii="仿宋_GB2312" w:eastAsia="仿宋_GB2312"/>
          <w:sz w:val="28"/>
          <w:szCs w:val="28"/>
        </w:rPr>
        <w:t>万元，占本年财政拔款支出 7</w:t>
      </w:r>
      <w:r>
        <w:rPr>
          <w:rFonts w:hint="eastAsia" w:ascii="仿宋_GB2312" w:eastAsia="仿宋_GB2312"/>
          <w:sz w:val="28"/>
          <w:szCs w:val="28"/>
          <w:lang w:val="en-US" w:eastAsia="zh-CN"/>
        </w:rPr>
        <w:t>3.13</w:t>
      </w:r>
      <w:r>
        <w:rPr>
          <w:rFonts w:hint="eastAsia" w:ascii="仿宋_GB2312" w:eastAsia="仿宋_GB2312"/>
          <w:sz w:val="28"/>
          <w:szCs w:val="28"/>
        </w:rPr>
        <w:t xml:space="preserve">%:社会保障和就业支出 </w:t>
      </w:r>
      <w:r>
        <w:rPr>
          <w:rFonts w:hint="eastAsia" w:ascii="仿宋_GB2312" w:eastAsia="仿宋_GB2312"/>
          <w:sz w:val="28"/>
          <w:szCs w:val="28"/>
          <w:lang w:val="en-US" w:eastAsia="zh-CN"/>
        </w:rPr>
        <w:t>313.71</w:t>
      </w:r>
      <w:r>
        <w:rPr>
          <w:rFonts w:hint="eastAsia" w:ascii="仿宋_GB2312" w:eastAsia="仿宋_GB2312"/>
          <w:sz w:val="28"/>
          <w:szCs w:val="28"/>
        </w:rPr>
        <w:t xml:space="preserve">万元,占本年财政拔款支出 </w:t>
      </w:r>
      <w:r>
        <w:rPr>
          <w:rFonts w:hint="eastAsia" w:ascii="仿宋_GB2312" w:eastAsia="仿宋_GB2312"/>
          <w:sz w:val="28"/>
          <w:szCs w:val="28"/>
          <w:lang w:val="en-US" w:eastAsia="zh-CN"/>
        </w:rPr>
        <w:t>11.64</w:t>
      </w:r>
      <w:r>
        <w:rPr>
          <w:rFonts w:hint="eastAsia" w:ascii="仿宋_GB2312" w:eastAsia="仿宋_GB2312"/>
          <w:sz w:val="28"/>
          <w:szCs w:val="28"/>
        </w:rPr>
        <w:t xml:space="preserve">%;卫生健康支出 </w:t>
      </w:r>
      <w:r>
        <w:rPr>
          <w:rFonts w:hint="eastAsia" w:ascii="仿宋_GB2312" w:eastAsia="仿宋_GB2312"/>
          <w:sz w:val="28"/>
          <w:szCs w:val="28"/>
          <w:lang w:val="en-US" w:eastAsia="zh-CN"/>
        </w:rPr>
        <w:t>188.00</w:t>
      </w:r>
      <w:r>
        <w:rPr>
          <w:rFonts w:hint="eastAsia" w:ascii="仿宋_GB2312" w:eastAsia="仿宋_GB2312"/>
          <w:sz w:val="28"/>
          <w:szCs w:val="28"/>
        </w:rPr>
        <w:t xml:space="preserve"> 万元,占本年财政拨款支出</w:t>
      </w:r>
      <w:r>
        <w:rPr>
          <w:rFonts w:hint="eastAsia" w:ascii="仿宋_GB2312" w:eastAsia="仿宋_GB2312"/>
          <w:sz w:val="28"/>
          <w:szCs w:val="28"/>
          <w:lang w:val="en-US" w:eastAsia="zh-CN"/>
        </w:rPr>
        <w:t>6.98</w:t>
      </w:r>
      <w:r>
        <w:rPr>
          <w:rFonts w:hint="eastAsia" w:ascii="仿宋_GB2312" w:eastAsia="仿宋_GB2312"/>
          <w:sz w:val="28"/>
          <w:szCs w:val="28"/>
        </w:rPr>
        <w:t>%;节能环保支出</w:t>
      </w:r>
      <w:r>
        <w:rPr>
          <w:rFonts w:hint="eastAsia" w:ascii="仿宋_GB2312" w:eastAsia="仿宋_GB2312"/>
          <w:sz w:val="28"/>
          <w:szCs w:val="28"/>
          <w:lang w:val="en-US" w:eastAsia="zh-CN"/>
        </w:rPr>
        <w:t>8万元，占</w:t>
      </w:r>
      <w:r>
        <w:rPr>
          <w:rFonts w:hint="eastAsia" w:ascii="仿宋_GB2312" w:eastAsia="仿宋_GB2312"/>
          <w:sz w:val="28"/>
          <w:szCs w:val="28"/>
        </w:rPr>
        <w:t xml:space="preserve">本年财政拔款支出 </w:t>
      </w:r>
      <w:r>
        <w:rPr>
          <w:rFonts w:hint="eastAsia" w:ascii="仿宋_GB2312" w:eastAsia="仿宋_GB2312"/>
          <w:sz w:val="28"/>
          <w:szCs w:val="28"/>
          <w:lang w:val="en-US" w:eastAsia="zh-CN"/>
        </w:rPr>
        <w:t>0.3</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住房保障支出</w:t>
      </w:r>
      <w:r>
        <w:rPr>
          <w:rFonts w:hint="eastAsia" w:ascii="仿宋_GB2312" w:eastAsia="仿宋_GB2312"/>
          <w:sz w:val="28"/>
          <w:szCs w:val="28"/>
          <w:lang w:val="en-US" w:eastAsia="zh-CN"/>
        </w:rPr>
        <w:t>214.20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7.95</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1、“教育支出”(类)2024年度年初预算</w:t>
      </w:r>
      <w:r>
        <w:rPr>
          <w:rFonts w:hint="eastAsia" w:ascii="仿宋_GB2312" w:eastAsia="仿宋_GB2312"/>
          <w:sz w:val="28"/>
          <w:szCs w:val="28"/>
          <w:lang w:val="en-US" w:eastAsia="zh-CN"/>
        </w:rPr>
        <w:t>1910.58</w:t>
      </w:r>
      <w:r>
        <w:rPr>
          <w:rFonts w:hint="eastAsia" w:ascii="仿宋_GB2312" w:eastAsia="仿宋_GB2312"/>
          <w:sz w:val="28"/>
          <w:szCs w:val="28"/>
        </w:rPr>
        <w:t>万元，2024年度决算</w:t>
      </w:r>
      <w:r>
        <w:rPr>
          <w:rFonts w:hint="eastAsia" w:ascii="仿宋_GB2312" w:eastAsia="仿宋_GB2312"/>
          <w:sz w:val="28"/>
          <w:szCs w:val="28"/>
          <w:lang w:val="en-US" w:eastAsia="zh-CN"/>
        </w:rPr>
        <w:t>1970.32</w:t>
      </w:r>
      <w:r>
        <w:rPr>
          <w:rFonts w:hint="eastAsia" w:ascii="仿宋_GB2312" w:eastAsia="仿宋_GB2312"/>
          <w:sz w:val="28"/>
          <w:szCs w:val="28"/>
        </w:rPr>
        <w:t>万元，完成年初预算的</w:t>
      </w:r>
      <w:r>
        <w:rPr>
          <w:rFonts w:hint="eastAsia" w:ascii="仿宋_GB2312" w:eastAsia="仿宋_GB2312"/>
          <w:sz w:val="28"/>
          <w:szCs w:val="28"/>
          <w:lang w:val="en-US" w:eastAsia="zh-CN"/>
        </w:rPr>
        <w:t>103.12</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 xml:space="preserve">“普通教育”(款)2024年度年初预算 </w:t>
      </w:r>
      <w:r>
        <w:rPr>
          <w:rFonts w:hint="eastAsia" w:ascii="仿宋_GB2312" w:eastAsia="仿宋_GB2312"/>
          <w:sz w:val="28"/>
          <w:szCs w:val="28"/>
          <w:lang w:val="en-US" w:eastAsia="zh-CN"/>
        </w:rPr>
        <w:t>1910.58</w:t>
      </w:r>
      <w:r>
        <w:rPr>
          <w:rFonts w:hint="eastAsia" w:ascii="仿宋_GB2312" w:eastAsia="仿宋_GB2312"/>
          <w:sz w:val="28"/>
          <w:szCs w:val="28"/>
        </w:rPr>
        <w:t xml:space="preserve"> 万元，2024年度决算 </w:t>
      </w:r>
      <w:r>
        <w:rPr>
          <w:rFonts w:hint="eastAsia" w:ascii="仿宋_GB2312" w:eastAsia="仿宋_GB2312"/>
          <w:sz w:val="28"/>
          <w:szCs w:val="28"/>
          <w:lang w:val="en-US" w:eastAsia="zh-CN"/>
        </w:rPr>
        <w:t>1970.32</w:t>
      </w:r>
      <w:r>
        <w:rPr>
          <w:rFonts w:hint="eastAsia" w:ascii="仿宋_GB2312" w:eastAsia="仿宋_GB2312"/>
          <w:sz w:val="28"/>
          <w:szCs w:val="28"/>
        </w:rPr>
        <w:t xml:space="preserve"> 万元，完成年初预算的10</w:t>
      </w:r>
      <w:r>
        <w:rPr>
          <w:rFonts w:hint="eastAsia" w:ascii="仿宋_GB2312" w:eastAsia="仿宋_GB2312"/>
          <w:sz w:val="28"/>
          <w:szCs w:val="28"/>
          <w:lang w:val="en-US" w:eastAsia="zh-CN"/>
        </w:rPr>
        <w:t>3.12</w:t>
      </w:r>
      <w:r>
        <w:rPr>
          <w:rFonts w:hint="eastAsia" w:ascii="仿宋_GB2312" w:eastAsia="仿宋_GB2312"/>
          <w:sz w:val="28"/>
          <w:szCs w:val="28"/>
        </w:rPr>
        <w:t>%。主要原因:教师</w:t>
      </w:r>
      <w:r>
        <w:rPr>
          <w:rFonts w:hint="eastAsia" w:ascii="仿宋_GB2312" w:eastAsia="仿宋_GB2312"/>
          <w:sz w:val="28"/>
          <w:szCs w:val="28"/>
          <w:lang w:val="en-US" w:eastAsia="zh-CN"/>
        </w:rPr>
        <w:t>人员调整</w:t>
      </w:r>
      <w:r>
        <w:rPr>
          <w:rFonts w:hint="eastAsia" w:ascii="仿宋_GB2312" w:eastAsia="仿宋_GB2312"/>
          <w:sz w:val="28"/>
          <w:szCs w:val="28"/>
        </w:rPr>
        <w:t>、社保调整以及项目款项的调整。</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2、“社会保障和就业支出”(类)2024年度年初预算</w:t>
      </w:r>
      <w:r>
        <w:rPr>
          <w:rFonts w:hint="eastAsia" w:ascii="仿宋_GB2312" w:eastAsia="仿宋_GB2312"/>
          <w:sz w:val="28"/>
          <w:szCs w:val="28"/>
          <w:lang w:val="en-US" w:eastAsia="zh-CN"/>
        </w:rPr>
        <w:t>311.59</w:t>
      </w:r>
      <w:r>
        <w:rPr>
          <w:rFonts w:hint="eastAsia" w:ascii="仿宋_GB2312" w:eastAsia="仿宋_GB2312"/>
          <w:sz w:val="28"/>
          <w:szCs w:val="28"/>
        </w:rPr>
        <w:t xml:space="preserve">万元,2024年度决算 </w:t>
      </w:r>
      <w:r>
        <w:rPr>
          <w:rFonts w:hint="eastAsia" w:ascii="仿宋_GB2312" w:eastAsia="仿宋_GB2312"/>
          <w:sz w:val="28"/>
          <w:szCs w:val="28"/>
          <w:lang w:val="en-US" w:eastAsia="zh-CN"/>
        </w:rPr>
        <w:t>313.71</w:t>
      </w:r>
      <w:r>
        <w:rPr>
          <w:rFonts w:hint="eastAsia" w:ascii="仿宋_GB2312" w:eastAsia="仿宋_GB2312"/>
          <w:sz w:val="28"/>
          <w:szCs w:val="28"/>
        </w:rPr>
        <w:t>万元,完成年初预算的 10</w:t>
      </w:r>
      <w:r>
        <w:rPr>
          <w:rFonts w:hint="eastAsia" w:ascii="仿宋_GB2312" w:eastAsia="仿宋_GB2312"/>
          <w:sz w:val="28"/>
          <w:szCs w:val="28"/>
          <w:lang w:val="en-US" w:eastAsia="zh-CN"/>
        </w:rPr>
        <w:t>0.68</w:t>
      </w:r>
      <w:r>
        <w:rPr>
          <w:rFonts w:hint="eastAsia" w:ascii="仿宋_GB2312" w:eastAsia="仿宋_GB2312"/>
          <w:sz w:val="28"/>
          <w:szCs w:val="28"/>
        </w:rPr>
        <w:t>%.主要原因:人员调整及教师社保基数调整。</w:t>
      </w:r>
    </w:p>
    <w:p>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 xml:space="preserve">卫生健康支出”(类)·2024年度年初预算 </w:t>
      </w:r>
      <w:r>
        <w:rPr>
          <w:rFonts w:hint="eastAsia" w:ascii="仿宋_GB2312" w:eastAsia="仿宋_GB2312"/>
          <w:sz w:val="28"/>
          <w:szCs w:val="28"/>
          <w:lang w:val="en-US" w:eastAsia="zh-CN"/>
        </w:rPr>
        <w:t>187.54</w:t>
      </w:r>
      <w:r>
        <w:rPr>
          <w:rFonts w:hint="eastAsia" w:ascii="仿宋_GB2312" w:eastAsia="仿宋_GB2312"/>
          <w:sz w:val="28"/>
          <w:szCs w:val="28"/>
        </w:rPr>
        <w:t xml:space="preserve">万元，2024年度决算 </w:t>
      </w:r>
      <w:r>
        <w:rPr>
          <w:rFonts w:hint="eastAsia" w:ascii="仿宋_GB2312" w:eastAsia="仿宋_GB2312"/>
          <w:sz w:val="28"/>
          <w:szCs w:val="28"/>
          <w:lang w:val="en-US" w:eastAsia="zh-CN"/>
        </w:rPr>
        <w:t>188.00</w:t>
      </w:r>
      <w:r>
        <w:rPr>
          <w:rFonts w:hint="eastAsia" w:ascii="仿宋_GB2312" w:eastAsia="仿宋_GB2312"/>
          <w:sz w:val="28"/>
          <w:szCs w:val="28"/>
        </w:rPr>
        <w:t>万元，完成年初预算的 10</w:t>
      </w:r>
      <w:r>
        <w:rPr>
          <w:rFonts w:hint="eastAsia" w:ascii="仿宋_GB2312" w:eastAsia="仿宋_GB2312"/>
          <w:sz w:val="28"/>
          <w:szCs w:val="28"/>
          <w:lang w:val="en-US" w:eastAsia="zh-CN"/>
        </w:rPr>
        <w:t>0.24</w:t>
      </w:r>
      <w:r>
        <w:rPr>
          <w:rFonts w:hint="eastAsia" w:ascii="仿宋_GB2312" w:eastAsia="仿宋_GB2312"/>
          <w:sz w:val="28"/>
          <w:szCs w:val="28"/>
        </w:rPr>
        <w:t>%主要原因:医疗保险基数调标、公务员医疗补助基数调标。</w:t>
      </w:r>
    </w:p>
    <w:p>
      <w:pPr>
        <w:numPr>
          <w:ilvl w:val="0"/>
          <w:numId w:val="0"/>
        </w:numPr>
        <w:spacing w:line="580" w:lineRule="exact"/>
        <w:rPr>
          <w:rFonts w:hint="eastAsia" w:ascii="仿宋_GB2312" w:eastAsia="仿宋_GB2312"/>
          <w:sz w:val="28"/>
          <w:szCs w:val="28"/>
        </w:rPr>
      </w:pPr>
      <w:r>
        <w:rPr>
          <w:rFonts w:hint="eastAsia" w:ascii="黑体" w:eastAsia="黑体"/>
          <w:b/>
          <w:sz w:val="28"/>
          <w:szCs w:val="28"/>
        </w:rPr>
        <w:t>五、政府性基金预算财政拨款支出决算情况说明</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本单位2024年度无政府性基金预算财政拨款安排的支出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2459.89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highlight w:val="none"/>
        </w:rPr>
      </w:pPr>
      <w:r>
        <w:rPr>
          <w:rFonts w:hint="eastAsia" w:ascii="黑体" w:eastAsia="黑体"/>
          <w:sz w:val="28"/>
          <w:szCs w:val="28"/>
          <w:highlight w:val="none"/>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增减无变化，保持一致</w:t>
      </w:r>
      <w:r>
        <w:rPr>
          <w:rFonts w:hint="eastAsia" w:ascii="仿宋_GB2312" w:eastAsia="仿宋_GB2312"/>
          <w:sz w:val="28"/>
          <w:szCs w:val="28"/>
        </w:rPr>
        <w:t>。主要原因：</w:t>
      </w:r>
      <w:r>
        <w:rPr>
          <w:rFonts w:hint="eastAsia" w:ascii="仿宋_GB2312" w:hAnsi="Times New Roman" w:eastAsia="仿宋_GB2312" w:cs="Times New Roman"/>
          <w:color w:val="000000"/>
          <w:kern w:val="2"/>
          <w:sz w:val="28"/>
          <w:szCs w:val="28"/>
          <w:lang w:val="en-US" w:eastAsia="zh-CN" w:bidi="ar"/>
        </w:rPr>
        <w:t>是因公出国（境）费用根据年度出国审批情况作为追加项目管理，单位不做年初预算，本年也没有出国审批项目发生</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hAnsi="Times New Roman" w:eastAsia="仿宋_GB2312" w:cs="Times New Roman"/>
          <w:color w:val="000000"/>
          <w:kern w:val="2"/>
          <w:sz w:val="28"/>
          <w:szCs w:val="28"/>
          <w:lang w:val="en-US" w:eastAsia="zh-CN" w:bidi="ar"/>
        </w:rPr>
        <w:t>出国（境）的会议、培训交流等事项</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0万</w:t>
      </w:r>
      <w:r>
        <w:rPr>
          <w:rFonts w:hint="eastAsia" w:ascii="仿宋_GB2312" w:eastAsia="仿宋_GB2312"/>
          <w:sz w:val="28"/>
          <w:szCs w:val="28"/>
        </w:rPr>
        <w:t>元减少</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本年度无公务接待支出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hAnsi="Times New Roman" w:eastAsia="仿宋_GB2312" w:cs="Times New Roman"/>
          <w:kern w:val="2"/>
          <w:sz w:val="28"/>
          <w:szCs w:val="28"/>
          <w:lang w:val="en-US" w:eastAsia="zh-CN" w:bidi="ar"/>
        </w:rPr>
        <w:t>公务接待事项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2.69</w:t>
      </w:r>
      <w:r>
        <w:rPr>
          <w:rFonts w:hint="eastAsia" w:ascii="仿宋_GB2312" w:eastAsia="仿宋_GB2312"/>
          <w:sz w:val="28"/>
          <w:szCs w:val="28"/>
        </w:rPr>
        <w:t>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5.40</w:t>
      </w:r>
      <w:r>
        <w:rPr>
          <w:rFonts w:hint="eastAsia" w:ascii="仿宋_GB2312" w:eastAsia="仿宋_GB2312"/>
          <w:sz w:val="28"/>
          <w:szCs w:val="28"/>
        </w:rPr>
        <w:t>万</w:t>
      </w:r>
      <w:r>
        <w:rPr>
          <w:rFonts w:hint="eastAsia" w:ascii="仿宋_GB2312" w:eastAsia="仿宋_GB2312"/>
          <w:sz w:val="28"/>
          <w:szCs w:val="28"/>
          <w:highlight w:val="none"/>
        </w:rPr>
        <w:t>元</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2.71</w:t>
      </w:r>
      <w:r>
        <w:rPr>
          <w:rFonts w:hint="eastAsia" w:ascii="仿宋_GB2312" w:eastAsia="仿宋_GB2312"/>
          <w:sz w:val="28"/>
          <w:szCs w:val="28"/>
          <w:highlight w:val="none"/>
        </w:rPr>
        <w:t>万元。</w:t>
      </w:r>
      <w:r>
        <w:rPr>
          <w:rFonts w:hint="eastAsia" w:ascii="仿宋_GB2312" w:eastAsia="仿宋_GB2312"/>
          <w:sz w:val="28"/>
          <w:szCs w:val="28"/>
        </w:rPr>
        <w:t>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hAnsi="Times New Roman" w:eastAsia="仿宋_GB2312" w:cs="Times New Roman"/>
          <w:kern w:val="2"/>
          <w:sz w:val="28"/>
          <w:szCs w:val="28"/>
          <w:lang w:val="en-US" w:eastAsia="zh-CN" w:bidi="ar"/>
        </w:rPr>
        <w:t>本年度新购车辆</w:t>
      </w:r>
      <w:r>
        <w:rPr>
          <w:rFonts w:hint="eastAsia" w:ascii="仿宋_GB2312" w:eastAsia="仿宋_GB2312" w:cs="Times New Roman"/>
          <w:kern w:val="2"/>
          <w:sz w:val="28"/>
          <w:szCs w:val="28"/>
          <w:lang w:val="en-US" w:eastAsia="zh-CN" w:bidi="ar"/>
        </w:rPr>
        <w:t>0</w:t>
      </w:r>
      <w:r>
        <w:rPr>
          <w:rFonts w:hint="eastAsia" w:ascii="仿宋_GB2312" w:hAnsi="Times New Roman" w:eastAsia="仿宋_GB2312" w:cs="Times New Roman"/>
          <w:kern w:val="2"/>
          <w:sz w:val="28"/>
          <w:szCs w:val="28"/>
          <w:lang w:val="en-US" w:eastAsia="zh-CN" w:bidi="ar"/>
        </w:rPr>
        <w:t>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2.69</w:t>
      </w:r>
      <w:r>
        <w:rPr>
          <w:rFonts w:hint="eastAsia" w:ascii="仿宋_GB2312" w:eastAsia="仿宋_GB2312"/>
          <w:sz w:val="28"/>
          <w:szCs w:val="28"/>
        </w:rPr>
        <w:t>万元，主要原因：</w:t>
      </w:r>
      <w:r>
        <w:rPr>
          <w:rFonts w:hint="eastAsia" w:ascii="仿宋_GB2312" w:hAnsi="Times New Roman" w:eastAsia="仿宋_GB2312" w:cs="Times New Roman"/>
          <w:color w:val="000000"/>
          <w:kern w:val="2"/>
          <w:sz w:val="28"/>
          <w:szCs w:val="28"/>
          <w:lang w:val="en-US" w:eastAsia="zh-CN" w:bidi="ar"/>
        </w:rPr>
        <w:t>原因是严格落实公务用车使用规定，认真贯彻厉行节约反对浪费的有关要求，本着节俭高效的原则,进一步加强公务用车管理,减少费用支出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hint="eastAsia" w:ascii="仿宋_GB2312" w:eastAsia="仿宋_GB2312"/>
          <w:sz w:val="28"/>
          <w:szCs w:val="28"/>
          <w:lang w:val="en-US" w:eastAsia="zh-CN"/>
        </w:rPr>
        <w:t>2</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ascii="黑体" w:eastAsia="黑体"/>
          <w:sz w:val="28"/>
          <w:szCs w:val="28"/>
        </w:rPr>
      </w:pPr>
      <w:r>
        <w:rPr>
          <w:rFonts w:hint="eastAsia" w:ascii="仿宋_GB2312" w:eastAsia="仿宋_GB2312"/>
          <w:sz w:val="28"/>
          <w:szCs w:val="28"/>
        </w:rPr>
        <w:t>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16.94</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2.38</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0.00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14.56</w:t>
      </w:r>
      <w:r>
        <w:rPr>
          <w:rFonts w:hint="eastAsia" w:ascii="仿宋_GB2312" w:eastAsia="仿宋_GB2312"/>
          <w:sz w:val="28"/>
          <w:szCs w:val="28"/>
        </w:rPr>
        <w:t>万元。授予中小企业合同金额</w:t>
      </w:r>
      <w:r>
        <w:rPr>
          <w:rFonts w:ascii="仿宋_GB2312" w:eastAsia="仿宋_GB2312"/>
          <w:sz w:val="28"/>
          <w:szCs w:val="28"/>
        </w:rPr>
        <w:t>16.74</w:t>
      </w:r>
      <w:r>
        <w:rPr>
          <w:rFonts w:hint="eastAsia" w:ascii="仿宋_GB2312" w:eastAsia="仿宋_GB2312"/>
          <w:sz w:val="28"/>
          <w:szCs w:val="28"/>
        </w:rPr>
        <w:t>万元，占政府采购支出总额的</w:t>
      </w:r>
      <w:r>
        <w:rPr>
          <w:rFonts w:hint="eastAsia" w:ascii="仿宋_GB2312" w:eastAsia="仿宋_GB2312"/>
          <w:sz w:val="28"/>
          <w:szCs w:val="28"/>
          <w:lang w:eastAsia="zh-CN"/>
        </w:rPr>
        <w:t>98.81</w:t>
      </w:r>
      <w:r>
        <w:rPr>
          <w:rFonts w:hint="eastAsia" w:ascii="仿宋_GB2312" w:eastAsia="仿宋_GB2312"/>
          <w:sz w:val="28"/>
          <w:szCs w:val="28"/>
        </w:rPr>
        <w:t>%，其中：授予小微企业合同金额</w:t>
      </w:r>
      <w:r>
        <w:rPr>
          <w:rFonts w:ascii="仿宋_GB2312" w:eastAsia="仿宋_GB2312"/>
          <w:sz w:val="28"/>
          <w:szCs w:val="28"/>
        </w:rPr>
        <w:t>16.74</w:t>
      </w:r>
      <w:r>
        <w:rPr>
          <w:rFonts w:hint="eastAsia" w:ascii="仿宋_GB2312" w:eastAsia="仿宋_GB2312"/>
          <w:sz w:val="28"/>
          <w:szCs w:val="28"/>
        </w:rPr>
        <w:t>万元，占政府采购支出总额的</w:t>
      </w:r>
      <w:r>
        <w:rPr>
          <w:rFonts w:ascii="仿宋_GB2312" w:eastAsia="仿宋_GB2312"/>
          <w:sz w:val="28"/>
          <w:szCs w:val="28"/>
        </w:rPr>
        <w:t>98.81</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12月31日，北京市大兴区第七小学</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highlight w:val="none"/>
        </w:rPr>
      </w:pPr>
      <w:r>
        <w:rPr>
          <w:rFonts w:hint="eastAsia" w:ascii="黑体" w:eastAsia="黑体"/>
          <w:sz w:val="28"/>
          <w:szCs w:val="28"/>
          <w:highlight w:val="none"/>
        </w:rPr>
        <w:t>六、</w:t>
      </w:r>
      <w:r>
        <w:rPr>
          <w:rFonts w:ascii="黑体" w:eastAsia="黑体"/>
          <w:sz w:val="28"/>
          <w:szCs w:val="28"/>
          <w:highlight w:val="none"/>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pStyle w:val="2"/>
        <w:jc w:val="center"/>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第四部分2024年度项目绩效评价情况</w:t>
      </w:r>
    </w:p>
    <w:p>
      <w:pPr>
        <w:numPr>
          <w:ilvl w:val="0"/>
          <w:numId w:val="0"/>
        </w:numPr>
        <w:jc w:val="center"/>
        <w:rPr>
          <w:rFonts w:hint="eastAsia" w:ascii="仿宋" w:hAnsi="仿宋" w:eastAsia="仿宋" w:cs="仿宋"/>
          <w:b/>
          <w:bCs/>
          <w:kern w:val="0"/>
          <w:sz w:val="30"/>
          <w:szCs w:val="30"/>
          <w:lang w:val="en-US" w:eastAsia="zh-CN" w:bidi="ar-SA"/>
        </w:rPr>
      </w:pPr>
      <w:r>
        <w:rPr>
          <w:rFonts w:hint="eastAsia" w:ascii="仿宋" w:hAnsi="仿宋" w:eastAsia="仿宋" w:cs="仿宋"/>
          <w:b/>
          <w:bCs/>
          <w:kern w:val="0"/>
          <w:sz w:val="30"/>
          <w:szCs w:val="30"/>
          <w:lang w:val="en-US" w:eastAsia="zh-CN" w:bidi="ar-SA"/>
        </w:rPr>
        <w:t>项目支出绩效自评表（详见附件）</w:t>
      </w:r>
    </w:p>
    <w:p>
      <w:pPr>
        <w:jc w:val="center"/>
        <w:rPr>
          <w:rFonts w:hint="default"/>
          <w:lang w:val="en-US" w:eastAsia="zh-CN"/>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15E180"/>
    <w:multiLevelType w:val="singleLevel"/>
    <w:tmpl w:val="3815E180"/>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5731DA"/>
    <w:rsid w:val="02F120AB"/>
    <w:rsid w:val="032B5196"/>
    <w:rsid w:val="04117ADE"/>
    <w:rsid w:val="04C3537C"/>
    <w:rsid w:val="058A7D37"/>
    <w:rsid w:val="064825F5"/>
    <w:rsid w:val="079004AC"/>
    <w:rsid w:val="08F41C66"/>
    <w:rsid w:val="0A4719C1"/>
    <w:rsid w:val="0B5C2086"/>
    <w:rsid w:val="0BA148CA"/>
    <w:rsid w:val="0C1165C4"/>
    <w:rsid w:val="0D6D544B"/>
    <w:rsid w:val="0DD136FE"/>
    <w:rsid w:val="0F542F2C"/>
    <w:rsid w:val="0F8E2C57"/>
    <w:rsid w:val="1059665E"/>
    <w:rsid w:val="10A0342E"/>
    <w:rsid w:val="10AC13BA"/>
    <w:rsid w:val="123F1DBA"/>
    <w:rsid w:val="145A6C1B"/>
    <w:rsid w:val="14B73493"/>
    <w:rsid w:val="167A2FF9"/>
    <w:rsid w:val="1764587C"/>
    <w:rsid w:val="18581C69"/>
    <w:rsid w:val="190C5B6B"/>
    <w:rsid w:val="19921369"/>
    <w:rsid w:val="1AEC0734"/>
    <w:rsid w:val="1B8322AD"/>
    <w:rsid w:val="1DEF20B0"/>
    <w:rsid w:val="1FF7AB17"/>
    <w:rsid w:val="209F5551"/>
    <w:rsid w:val="214243FA"/>
    <w:rsid w:val="21863A5C"/>
    <w:rsid w:val="21AD613C"/>
    <w:rsid w:val="22467189"/>
    <w:rsid w:val="22CC31F6"/>
    <w:rsid w:val="257A14F5"/>
    <w:rsid w:val="27196C26"/>
    <w:rsid w:val="29EF086F"/>
    <w:rsid w:val="2B82123D"/>
    <w:rsid w:val="2BC34C59"/>
    <w:rsid w:val="2EFFE297"/>
    <w:rsid w:val="301437CA"/>
    <w:rsid w:val="349D1F0A"/>
    <w:rsid w:val="34DD0473"/>
    <w:rsid w:val="355D4C49"/>
    <w:rsid w:val="38213B8C"/>
    <w:rsid w:val="3A1B6BC7"/>
    <w:rsid w:val="3A8E35DC"/>
    <w:rsid w:val="3C1C3746"/>
    <w:rsid w:val="3C3C1CB0"/>
    <w:rsid w:val="3C684897"/>
    <w:rsid w:val="425B6E8E"/>
    <w:rsid w:val="433E495C"/>
    <w:rsid w:val="489F2FD7"/>
    <w:rsid w:val="4AC27CB3"/>
    <w:rsid w:val="4BF72BEF"/>
    <w:rsid w:val="4DFE6D6C"/>
    <w:rsid w:val="4FA90297"/>
    <w:rsid w:val="4FC41A43"/>
    <w:rsid w:val="4FEE0020"/>
    <w:rsid w:val="51DB3C59"/>
    <w:rsid w:val="550C0952"/>
    <w:rsid w:val="55762E42"/>
    <w:rsid w:val="579051E9"/>
    <w:rsid w:val="57A7B272"/>
    <w:rsid w:val="58470068"/>
    <w:rsid w:val="58747CAC"/>
    <w:rsid w:val="5A1720F9"/>
    <w:rsid w:val="5B9C37C2"/>
    <w:rsid w:val="5BA7C654"/>
    <w:rsid w:val="5C02364B"/>
    <w:rsid w:val="5CF6693B"/>
    <w:rsid w:val="5DF716AE"/>
    <w:rsid w:val="5F9F507E"/>
    <w:rsid w:val="60A54109"/>
    <w:rsid w:val="61C22282"/>
    <w:rsid w:val="61D01CDF"/>
    <w:rsid w:val="64C0607C"/>
    <w:rsid w:val="65756C86"/>
    <w:rsid w:val="674D385B"/>
    <w:rsid w:val="676F09E1"/>
    <w:rsid w:val="688B41A9"/>
    <w:rsid w:val="6EC15BA9"/>
    <w:rsid w:val="70DC7111"/>
    <w:rsid w:val="71262E56"/>
    <w:rsid w:val="71691990"/>
    <w:rsid w:val="71793A80"/>
    <w:rsid w:val="729540D1"/>
    <w:rsid w:val="7357290B"/>
    <w:rsid w:val="756E3DEA"/>
    <w:rsid w:val="75961CA8"/>
    <w:rsid w:val="76FB1693"/>
    <w:rsid w:val="770164D0"/>
    <w:rsid w:val="798524E4"/>
    <w:rsid w:val="7A7F1C49"/>
    <w:rsid w:val="7B315B6D"/>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styleId="20">
    <w:name w:val="List Paragraph"/>
    <w:basedOn w:val="1"/>
    <w:qFormat/>
    <w:uiPriority w:val="34"/>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2480.05</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2459.89</c:v>
                </c:pt>
                <c:pt idx="1">
                  <c:v>234.36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3204</Words>
  <Characters>3652</Characters>
  <Lines>44</Lines>
  <Paragraphs>12</Paragraphs>
  <TotalTime>3</TotalTime>
  <ScaleCrop>false</ScaleCrop>
  <LinksUpToDate>false</LinksUpToDate>
  <CharactersWithSpaces>3687</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pc</cp:lastModifiedBy>
  <cp:lastPrinted>2020-08-09T03:39:00Z</cp:lastPrinted>
  <dcterms:modified xsi:type="dcterms:W3CDTF">2025-11-05T03:02:08Z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eyJoZGlkIjoiNGFjYjBkNDZmNGIxMzk4NzA1NTIxYTkxYjU5YjRlYzIiLCJ1c2VySWQiOiI5ODE2Nzg0NTYifQ==</vt:lpwstr>
  </property>
</Properties>
</file>