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7D678F14">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1．单位职责：为学龄前儿童提供保育和教育服务。</w:t>
      </w:r>
    </w:p>
    <w:p w14:paraId="679FFEB0">
      <w:pPr>
        <w:tabs>
          <w:tab w:val="center" w:pos="6979"/>
        </w:tabs>
        <w:spacing w:line="580" w:lineRule="exact"/>
        <w:ind w:firstLine="700" w:firstLineChars="250"/>
        <w:rPr>
          <w:rFonts w:hint="eastAsia" w:ascii="仿宋_GB2312" w:eastAsia="仿宋_GB2312"/>
          <w:color w:val="auto"/>
          <w:sz w:val="28"/>
          <w:szCs w:val="28"/>
        </w:rPr>
      </w:pPr>
      <w:r>
        <w:rPr>
          <w:rFonts w:hint="eastAsia" w:ascii="仿宋_GB2312" w:eastAsia="仿宋_GB2312"/>
          <w:color w:val="auto"/>
          <w:sz w:val="28"/>
          <w:szCs w:val="28"/>
        </w:rPr>
        <w:t>2．内设机构：行政组、工会、业务部、后勤部、科研室、医务室、财务室、安保办、办公室。</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4283.19</w:t>
      </w:r>
      <w:r>
        <w:rPr>
          <w:rFonts w:hint="eastAsia" w:ascii="仿宋_GB2312" w:eastAsia="仿宋_GB2312"/>
          <w:color w:val="auto"/>
          <w:sz w:val="28"/>
          <w:szCs w:val="28"/>
        </w:rPr>
        <w:t>万元，</w:t>
      </w:r>
      <w:r>
        <w:rPr>
          <w:rFonts w:ascii="仿宋_GB2312" w:eastAsia="仿宋_GB2312"/>
          <w:color w:val="auto"/>
          <w:sz w:val="28"/>
          <w:szCs w:val="28"/>
        </w:rPr>
        <w:t>比上年</w:t>
      </w:r>
      <w:r>
        <w:rPr>
          <w:rFonts w:hint="eastAsia" w:ascii="仿宋_GB2312" w:eastAsia="仿宋_GB2312"/>
          <w:color w:val="auto"/>
          <w:sz w:val="28"/>
          <w:szCs w:val="28"/>
        </w:rPr>
        <w:t>减少</w:t>
      </w:r>
      <w:r>
        <w:rPr>
          <w:rFonts w:hint="eastAsia" w:ascii="仿宋_GB2312" w:eastAsia="仿宋_GB2312"/>
          <w:color w:val="auto"/>
          <w:sz w:val="28"/>
          <w:szCs w:val="28"/>
          <w:lang w:val="en-US" w:eastAsia="zh-CN"/>
        </w:rPr>
        <w:t>88.98</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2.04</w:t>
      </w:r>
      <w:r>
        <w:rPr>
          <w:rFonts w:hint="eastAsia" w:ascii="仿宋_GB2312" w:eastAsia="仿宋_GB2312"/>
          <w:color w:val="auto"/>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3987.83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246.29</w:t>
      </w:r>
      <w:r>
        <w:rPr>
          <w:rFonts w:hint="eastAsia" w:ascii="仿宋_GB2312" w:eastAsia="仿宋_GB2312"/>
          <w:sz w:val="28"/>
          <w:szCs w:val="28"/>
        </w:rPr>
        <w:t>万元，下降</w:t>
      </w:r>
      <w:r>
        <w:rPr>
          <w:rFonts w:hint="eastAsia" w:ascii="仿宋_GB2312" w:eastAsia="仿宋_GB2312"/>
          <w:sz w:val="28"/>
          <w:szCs w:val="28"/>
          <w:lang w:val="en-US" w:eastAsia="zh-CN"/>
        </w:rPr>
        <w:t>5.82</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3987.83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3987.83</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4283.19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88.98</w:t>
      </w:r>
      <w:r>
        <w:rPr>
          <w:rFonts w:hint="eastAsia" w:ascii="仿宋_GB2312" w:eastAsia="仿宋_GB2312"/>
          <w:sz w:val="28"/>
          <w:szCs w:val="28"/>
        </w:rPr>
        <w:t>万元，下降</w:t>
      </w:r>
      <w:r>
        <w:rPr>
          <w:rFonts w:hint="eastAsia" w:ascii="仿宋_GB2312" w:eastAsia="仿宋_GB2312"/>
          <w:sz w:val="28"/>
          <w:szCs w:val="28"/>
          <w:lang w:val="en-US" w:eastAsia="zh-CN"/>
        </w:rPr>
        <w:t>2.04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3385.31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79.04</w:t>
      </w:r>
      <w:r>
        <w:rPr>
          <w:rFonts w:hint="eastAsia" w:ascii="仿宋_GB2312" w:eastAsia="仿宋_GB2312"/>
          <w:sz w:val="28"/>
          <w:szCs w:val="28"/>
          <w:highlight w:val="none"/>
        </w:rPr>
        <w:t>%；项目支出</w:t>
      </w:r>
      <w:r>
        <w:rPr>
          <w:rFonts w:ascii="仿宋_GB2312" w:eastAsia="仿宋_GB2312"/>
          <w:sz w:val="28"/>
          <w:szCs w:val="28"/>
          <w:highlight w:val="none"/>
        </w:rPr>
        <w:t>897.88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20.96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default" w:ascii="仿宋_GB2312" w:eastAsia="仿宋_GB2312"/>
          <w:color w:val="auto"/>
          <w:sz w:val="28"/>
          <w:szCs w:val="28"/>
          <w:lang w:val="en-US" w:eastAsia="zh-CN"/>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年度财政拨款收、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4283.19</w:t>
      </w:r>
      <w:r>
        <w:rPr>
          <w:rFonts w:hint="eastAsia" w:ascii="仿宋_GB2312" w:eastAsia="仿宋_GB2312"/>
          <w:color w:val="auto"/>
          <w:sz w:val="28"/>
          <w:szCs w:val="28"/>
        </w:rPr>
        <w:t>万元，比上年减少</w:t>
      </w:r>
      <w:r>
        <w:rPr>
          <w:rFonts w:hint="eastAsia" w:ascii="仿宋_GB2312" w:eastAsia="仿宋_GB2312"/>
          <w:color w:val="auto"/>
          <w:sz w:val="28"/>
          <w:szCs w:val="28"/>
          <w:lang w:val="en-US" w:eastAsia="zh-CN"/>
        </w:rPr>
        <w:t>88.98</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2.04</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主要原因：人员、公用和项目经费减少。</w:t>
      </w:r>
    </w:p>
    <w:p w14:paraId="2440887E">
      <w:pPr>
        <w:tabs>
          <w:tab w:val="center" w:pos="6979"/>
        </w:tabs>
        <w:spacing w:line="580" w:lineRule="exact"/>
        <w:ind w:firstLine="548" w:firstLineChars="196"/>
        <w:rPr>
          <w:rFonts w:hint="eastAsia" w:ascii="黑体" w:eastAsia="黑体"/>
          <w:b/>
          <w:color w:val="auto"/>
          <w:sz w:val="28"/>
          <w:szCs w:val="28"/>
        </w:rPr>
      </w:pPr>
      <w:r>
        <w:rPr>
          <w:rFonts w:hint="eastAsia" w:ascii="黑体" w:eastAsia="黑体"/>
          <w:b/>
          <w:color w:val="auto"/>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年度一般公共预算财政拨款支出</w:t>
      </w:r>
      <w:r>
        <w:rPr>
          <w:rFonts w:ascii="仿宋_GB2312" w:eastAsia="仿宋_GB2312"/>
          <w:color w:val="auto"/>
          <w:sz w:val="28"/>
          <w:szCs w:val="28"/>
        </w:rPr>
        <w:t>4283.19</w:t>
      </w:r>
      <w:r>
        <w:rPr>
          <w:rFonts w:hint="eastAsia" w:ascii="仿宋_GB2312" w:eastAsia="仿宋_GB2312"/>
          <w:color w:val="auto"/>
          <w:sz w:val="28"/>
          <w:szCs w:val="28"/>
        </w:rPr>
        <w:t>万元，主要用于以下方面（按大类）：</w:t>
      </w:r>
      <w:r>
        <w:rPr>
          <w:rFonts w:hint="eastAsia" w:ascii="仿宋_GB2312" w:eastAsia="仿宋_GB2312"/>
          <w:color w:val="auto"/>
          <w:sz w:val="28"/>
          <w:szCs w:val="28"/>
          <w:lang w:val="en-US" w:eastAsia="zh-CN"/>
        </w:rPr>
        <w:t>教育支出3329.81万元，占本年财政拨款支出77.74%；社会保障</w:t>
      </w:r>
      <w:bookmarkStart w:id="0" w:name="_GoBack"/>
      <w:bookmarkEnd w:id="0"/>
      <w:r>
        <w:rPr>
          <w:rFonts w:hint="eastAsia" w:ascii="仿宋_GB2312" w:eastAsia="仿宋_GB2312"/>
          <w:color w:val="auto"/>
          <w:sz w:val="28"/>
          <w:szCs w:val="28"/>
          <w:lang w:val="en-US" w:eastAsia="zh-CN"/>
        </w:rPr>
        <w:t>和就业支出414.36万元，占本年财政拨款支出9.67%；卫生健康支出243.66万元，占本年财政拨款支出5.69%；住房保障支出295.36万元，占本年财政拨款支出6.9%。</w:t>
      </w:r>
    </w:p>
    <w:p w14:paraId="38C96F0D">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14:paraId="760CB7E4">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1、“教育支出”（类）</w:t>
      </w:r>
      <w:r>
        <w:rPr>
          <w:rFonts w:hint="eastAsia" w:ascii="仿宋_GB2312" w:eastAsia="仿宋_GB2312"/>
          <w:color w:val="auto"/>
          <w:sz w:val="28"/>
          <w:szCs w:val="28"/>
          <w:lang w:val="en-US" w:eastAsia="zh-CN"/>
        </w:rPr>
        <w:t>2024年度年初预算3251.8万元，</w:t>
      </w:r>
      <w:r>
        <w:rPr>
          <w:rFonts w:hint="eastAsia" w:ascii="仿宋_GB2312" w:eastAsia="仿宋_GB2312"/>
          <w:color w:val="auto"/>
          <w:sz w:val="28"/>
          <w:szCs w:val="28"/>
        </w:rPr>
        <w:t>2024年度决算3329.81万元，</w:t>
      </w:r>
      <w:r>
        <w:rPr>
          <w:rFonts w:hint="eastAsia" w:ascii="仿宋_GB2312" w:eastAsia="仿宋_GB2312"/>
          <w:color w:val="auto"/>
          <w:sz w:val="28"/>
          <w:szCs w:val="28"/>
          <w:lang w:val="en-US" w:eastAsia="zh-CN"/>
        </w:rPr>
        <w:t>完成年初预算的102.4%。</w:t>
      </w:r>
      <w:r>
        <w:rPr>
          <w:rFonts w:hint="eastAsia" w:ascii="仿宋_GB2312" w:eastAsia="仿宋_GB2312"/>
          <w:color w:val="auto"/>
          <w:sz w:val="28"/>
          <w:szCs w:val="28"/>
        </w:rPr>
        <w:t>其中：</w:t>
      </w:r>
    </w:p>
    <w:p w14:paraId="60F7AA73">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“普通教育”（款，下同）</w:t>
      </w:r>
      <w:r>
        <w:rPr>
          <w:rFonts w:hint="eastAsia" w:ascii="仿宋_GB2312" w:eastAsia="仿宋_GB2312"/>
          <w:color w:val="auto"/>
          <w:sz w:val="28"/>
          <w:szCs w:val="28"/>
          <w:lang w:val="en-US" w:eastAsia="zh-CN"/>
        </w:rPr>
        <w:t>2024年度年初预算3251.8万元，</w:t>
      </w:r>
      <w:r>
        <w:rPr>
          <w:rFonts w:hint="eastAsia" w:ascii="仿宋_GB2312" w:eastAsia="仿宋_GB2312"/>
          <w:color w:val="auto"/>
          <w:sz w:val="28"/>
          <w:szCs w:val="28"/>
        </w:rPr>
        <w:t>2024年度决算3329.81万元，</w:t>
      </w:r>
      <w:r>
        <w:rPr>
          <w:rFonts w:hint="eastAsia" w:ascii="仿宋_GB2312" w:eastAsia="仿宋_GB2312"/>
          <w:color w:val="auto"/>
          <w:sz w:val="28"/>
          <w:szCs w:val="28"/>
          <w:lang w:val="en-US" w:eastAsia="zh-CN"/>
        </w:rPr>
        <w:t>完成年初预算的102.4%</w:t>
      </w:r>
      <w:r>
        <w:rPr>
          <w:rFonts w:hint="eastAsia" w:ascii="仿宋_GB2312" w:eastAsia="仿宋_GB2312"/>
          <w:color w:val="auto"/>
          <w:sz w:val="28"/>
          <w:szCs w:val="28"/>
        </w:rPr>
        <w:t>。主要原因：2024年补发区统筹绩效以及增加集中修缮项目。</w:t>
      </w:r>
    </w:p>
    <w:p w14:paraId="1852EB1A">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 xml:space="preserve">2、“社会保障和就业支出”(类) </w:t>
      </w:r>
      <w:r>
        <w:rPr>
          <w:rFonts w:hint="eastAsia" w:ascii="仿宋_GB2312" w:eastAsia="仿宋_GB2312"/>
          <w:color w:val="auto"/>
          <w:sz w:val="28"/>
          <w:szCs w:val="28"/>
          <w:lang w:val="en-US" w:eastAsia="zh-CN"/>
        </w:rPr>
        <w:t>2024年度年初预算348.59万元，</w:t>
      </w:r>
      <w:r>
        <w:rPr>
          <w:rFonts w:hint="eastAsia" w:ascii="仿宋_GB2312" w:eastAsia="仿宋_GB2312"/>
          <w:color w:val="auto"/>
          <w:sz w:val="28"/>
          <w:szCs w:val="28"/>
        </w:rPr>
        <w:t>2024年度决算414.36万元，</w:t>
      </w:r>
      <w:r>
        <w:rPr>
          <w:rFonts w:hint="eastAsia" w:ascii="仿宋_GB2312" w:eastAsia="仿宋_GB2312"/>
          <w:color w:val="auto"/>
          <w:sz w:val="28"/>
          <w:szCs w:val="28"/>
          <w:lang w:val="en-US" w:eastAsia="zh-CN"/>
        </w:rPr>
        <w:t>完成年初预算的118.87%。</w:t>
      </w:r>
      <w:r>
        <w:rPr>
          <w:rFonts w:hint="eastAsia" w:ascii="仿宋_GB2312" w:eastAsia="仿宋_GB2312"/>
          <w:color w:val="auto"/>
          <w:sz w:val="28"/>
          <w:szCs w:val="28"/>
        </w:rPr>
        <w:t>其中：</w:t>
      </w:r>
    </w:p>
    <w:p w14:paraId="4011F872">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“行政事业单位养老支出”（款）</w:t>
      </w:r>
      <w:r>
        <w:rPr>
          <w:rFonts w:hint="eastAsia" w:ascii="仿宋_GB2312" w:eastAsia="仿宋_GB2312"/>
          <w:color w:val="auto"/>
          <w:sz w:val="28"/>
          <w:szCs w:val="28"/>
          <w:lang w:val="en-US" w:eastAsia="zh-CN"/>
        </w:rPr>
        <w:t>2024年度年初预算348.59万元，</w:t>
      </w:r>
      <w:r>
        <w:rPr>
          <w:rFonts w:hint="eastAsia" w:ascii="仿宋_GB2312" w:eastAsia="仿宋_GB2312"/>
          <w:color w:val="auto"/>
          <w:sz w:val="28"/>
          <w:szCs w:val="28"/>
        </w:rPr>
        <w:t>2024年度决算414.36万元，</w:t>
      </w:r>
      <w:r>
        <w:rPr>
          <w:rFonts w:hint="eastAsia" w:ascii="仿宋_GB2312" w:eastAsia="仿宋_GB2312"/>
          <w:color w:val="auto"/>
          <w:sz w:val="28"/>
          <w:szCs w:val="28"/>
          <w:lang w:val="en-US" w:eastAsia="zh-CN"/>
        </w:rPr>
        <w:t>完成年初预算的118.87%</w:t>
      </w:r>
      <w:r>
        <w:rPr>
          <w:rFonts w:hint="eastAsia" w:ascii="仿宋_GB2312" w:eastAsia="仿宋_GB2312"/>
          <w:color w:val="auto"/>
          <w:sz w:val="28"/>
          <w:szCs w:val="28"/>
        </w:rPr>
        <w:t>。主要原因：事业单位养老保险基数调整和增加退休人员抚恤金。</w:t>
      </w:r>
    </w:p>
    <w:p w14:paraId="0C750981">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3、“卫生健康支出”(类)</w:t>
      </w:r>
      <w:r>
        <w:rPr>
          <w:rFonts w:hint="eastAsia" w:ascii="仿宋_GB2312" w:eastAsia="仿宋_GB2312"/>
          <w:color w:val="auto"/>
          <w:sz w:val="28"/>
          <w:szCs w:val="28"/>
          <w:lang w:val="en-US" w:eastAsia="zh-CN"/>
        </w:rPr>
        <w:t>2024年度年初预算236.86万元，</w:t>
      </w:r>
      <w:r>
        <w:rPr>
          <w:rFonts w:hint="eastAsia" w:ascii="仿宋_GB2312" w:eastAsia="仿宋_GB2312"/>
          <w:color w:val="auto"/>
          <w:sz w:val="28"/>
          <w:szCs w:val="28"/>
        </w:rPr>
        <w:t xml:space="preserve"> 2024年度决算243.66万元，</w:t>
      </w:r>
      <w:r>
        <w:rPr>
          <w:rFonts w:hint="eastAsia" w:ascii="仿宋_GB2312" w:eastAsia="仿宋_GB2312"/>
          <w:color w:val="auto"/>
          <w:sz w:val="28"/>
          <w:szCs w:val="28"/>
          <w:lang w:val="en-US" w:eastAsia="zh-CN"/>
        </w:rPr>
        <w:t>完成年初预算的102.87%</w:t>
      </w:r>
      <w:r>
        <w:rPr>
          <w:rFonts w:hint="eastAsia" w:ascii="仿宋_GB2312" w:eastAsia="仿宋_GB2312"/>
          <w:color w:val="auto"/>
          <w:sz w:val="28"/>
          <w:szCs w:val="28"/>
        </w:rPr>
        <w:t>。其中：</w:t>
      </w:r>
    </w:p>
    <w:p w14:paraId="00FA5669">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“行政事业单位医疗”（款）</w:t>
      </w:r>
      <w:r>
        <w:rPr>
          <w:rFonts w:hint="eastAsia" w:ascii="仿宋_GB2312" w:eastAsia="仿宋_GB2312"/>
          <w:color w:val="auto"/>
          <w:sz w:val="28"/>
          <w:szCs w:val="28"/>
          <w:lang w:val="en-US" w:eastAsia="zh-CN"/>
        </w:rPr>
        <w:t>2024年度年初预算236.86万元，</w:t>
      </w:r>
      <w:r>
        <w:rPr>
          <w:rFonts w:hint="eastAsia" w:ascii="仿宋_GB2312" w:eastAsia="仿宋_GB2312"/>
          <w:color w:val="auto"/>
          <w:sz w:val="28"/>
          <w:szCs w:val="28"/>
        </w:rPr>
        <w:t>2024年度决算243.66万元，</w:t>
      </w:r>
      <w:r>
        <w:rPr>
          <w:rFonts w:hint="eastAsia" w:ascii="仿宋_GB2312" w:eastAsia="仿宋_GB2312"/>
          <w:color w:val="auto"/>
          <w:sz w:val="28"/>
          <w:szCs w:val="28"/>
          <w:lang w:val="en-US" w:eastAsia="zh-CN"/>
        </w:rPr>
        <w:t>完成年初预算的102.87%</w:t>
      </w:r>
      <w:r>
        <w:rPr>
          <w:rFonts w:hint="eastAsia" w:ascii="仿宋_GB2312" w:eastAsia="仿宋_GB2312"/>
          <w:color w:val="auto"/>
          <w:sz w:val="28"/>
          <w:szCs w:val="28"/>
        </w:rPr>
        <w:t>。主要原因：事业单位医疗保险基数调整。</w:t>
      </w:r>
    </w:p>
    <w:p w14:paraId="1ED1A4A2">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 xml:space="preserve">4、“住房保障支出”(类) </w:t>
      </w:r>
      <w:r>
        <w:rPr>
          <w:rFonts w:hint="eastAsia" w:ascii="仿宋_GB2312" w:eastAsia="仿宋_GB2312"/>
          <w:color w:val="auto"/>
          <w:sz w:val="28"/>
          <w:szCs w:val="28"/>
          <w:lang w:val="en-US" w:eastAsia="zh-CN"/>
        </w:rPr>
        <w:t>2024年度年初预算0.00万元，</w:t>
      </w:r>
      <w:r>
        <w:rPr>
          <w:rFonts w:hint="eastAsia" w:ascii="仿宋_GB2312" w:eastAsia="仿宋_GB2312"/>
          <w:color w:val="auto"/>
          <w:sz w:val="28"/>
          <w:szCs w:val="28"/>
        </w:rPr>
        <w:t>2024年度决算295.36万元，</w:t>
      </w:r>
      <w:r>
        <w:rPr>
          <w:rFonts w:hint="eastAsia" w:ascii="仿宋_GB2312" w:eastAsia="仿宋_GB2312"/>
          <w:color w:val="auto"/>
          <w:sz w:val="28"/>
          <w:szCs w:val="28"/>
          <w:lang w:val="en-US" w:eastAsia="zh-CN"/>
        </w:rPr>
        <w:t>完成年初预算的295.36%</w:t>
      </w:r>
      <w:r>
        <w:rPr>
          <w:rFonts w:hint="eastAsia" w:ascii="仿宋_GB2312" w:eastAsia="仿宋_GB2312"/>
          <w:color w:val="auto"/>
          <w:sz w:val="28"/>
          <w:szCs w:val="28"/>
        </w:rPr>
        <w:t>。其中：</w:t>
      </w:r>
    </w:p>
    <w:p w14:paraId="6BA58DF4">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 xml:space="preserve">“住房改革支出”（款） </w:t>
      </w:r>
      <w:r>
        <w:rPr>
          <w:rFonts w:hint="eastAsia" w:ascii="仿宋_GB2312" w:eastAsia="仿宋_GB2312"/>
          <w:color w:val="auto"/>
          <w:sz w:val="28"/>
          <w:szCs w:val="28"/>
          <w:lang w:val="en-US" w:eastAsia="zh-CN"/>
        </w:rPr>
        <w:t>2024年度年初预算0.00万元，</w:t>
      </w:r>
      <w:r>
        <w:rPr>
          <w:rFonts w:hint="eastAsia" w:ascii="仿宋_GB2312" w:eastAsia="仿宋_GB2312"/>
          <w:color w:val="auto"/>
          <w:sz w:val="28"/>
          <w:szCs w:val="28"/>
        </w:rPr>
        <w:t>2024年度决算295.36万元，</w:t>
      </w:r>
      <w:r>
        <w:rPr>
          <w:rFonts w:hint="eastAsia" w:ascii="仿宋_GB2312" w:eastAsia="仿宋_GB2312"/>
          <w:color w:val="auto"/>
          <w:sz w:val="28"/>
          <w:szCs w:val="28"/>
          <w:lang w:val="en-US" w:eastAsia="zh-CN"/>
        </w:rPr>
        <w:t>完成年初预算的295.36%</w:t>
      </w:r>
      <w:r>
        <w:rPr>
          <w:rFonts w:hint="eastAsia" w:ascii="仿宋_GB2312" w:eastAsia="仿宋_GB2312"/>
          <w:color w:val="auto"/>
          <w:sz w:val="28"/>
          <w:szCs w:val="28"/>
        </w:rPr>
        <w:t>。主要原因：事业单位补发购房补贴。</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F320804">
      <w:pPr>
        <w:tabs>
          <w:tab w:val="center" w:pos="6979"/>
        </w:tabs>
        <w:spacing w:line="58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年度政府性基金预算财政拨款支出</w:t>
      </w:r>
      <w:r>
        <w:rPr>
          <w:rFonts w:ascii="仿宋_GB2312" w:eastAsia="仿宋_GB2312"/>
          <w:color w:val="000000" w:themeColor="text1"/>
          <w:sz w:val="28"/>
          <w:szCs w:val="28"/>
          <w14:textFill>
            <w14:solidFill>
              <w14:schemeClr w14:val="tx1"/>
            </w14:solidFill>
          </w14:textFill>
        </w:rPr>
        <w:t>0</w:t>
      </w:r>
      <w:r>
        <w:rPr>
          <w:rFonts w:hint="eastAsia" w:ascii="仿宋_GB2312" w:eastAsia="仿宋_GB2312"/>
          <w:color w:val="000000" w:themeColor="text1"/>
          <w:sz w:val="28"/>
          <w:szCs w:val="28"/>
          <w:lang w:val="en-US" w:eastAsia="zh-CN"/>
          <w14:textFill>
            <w14:solidFill>
              <w14:schemeClr w14:val="tx1"/>
            </w14:solidFill>
          </w14:textFill>
        </w:rPr>
        <w:t>.00</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val="en-US" w:eastAsia="zh-CN"/>
          <w14:textFill>
            <w14:solidFill>
              <w14:schemeClr w14:val="tx1"/>
            </w14:solidFill>
          </w14:textFill>
        </w:rPr>
        <w:t>单位2024年度无政府性基金预算财政拨款安排的支出</w:t>
      </w:r>
      <w:r>
        <w:rPr>
          <w:rFonts w:hint="eastAsia" w:ascii="仿宋_GB2312" w:eastAsia="仿宋_GB2312"/>
          <w:color w:val="000000" w:themeColor="text1"/>
          <w:sz w:val="28"/>
          <w:szCs w:val="28"/>
          <w:lang w:eastAsia="zh-CN"/>
          <w14:textFill>
            <w14:solidFill>
              <w14:schemeClr w14:val="tx1"/>
            </w14:solidFill>
          </w14:textFill>
        </w:rPr>
        <w:t>。</w:t>
      </w:r>
    </w:p>
    <w:p w14:paraId="5AE8FADF">
      <w:pPr>
        <w:autoSpaceDE w:val="0"/>
        <w:autoSpaceDN w:val="0"/>
        <w:adjustRightInd w:val="0"/>
        <w:spacing w:line="580" w:lineRule="exact"/>
        <w:ind w:firstLine="560" w:firstLineChars="200"/>
        <w:jc w:val="left"/>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（二）政府性基金预算财政拨款支出决算具体情况</w:t>
      </w:r>
    </w:p>
    <w:p w14:paraId="22E1F189">
      <w:pPr>
        <w:tabs>
          <w:tab w:val="center" w:pos="6979"/>
        </w:tabs>
        <w:spacing w:line="580" w:lineRule="exact"/>
        <w:ind w:firstLine="560" w:firstLineChars="2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年度政府性基金预算财政拨款支出</w:t>
      </w:r>
      <w:r>
        <w:rPr>
          <w:rFonts w:ascii="仿宋_GB2312" w:eastAsia="仿宋_GB2312"/>
          <w:color w:val="000000" w:themeColor="text1"/>
          <w:sz w:val="28"/>
          <w:szCs w:val="28"/>
          <w14:textFill>
            <w14:solidFill>
              <w14:schemeClr w14:val="tx1"/>
            </w14:solidFill>
          </w14:textFill>
        </w:rPr>
        <w:t>0</w:t>
      </w:r>
      <w:r>
        <w:rPr>
          <w:rFonts w:hint="eastAsia" w:ascii="仿宋_GB2312" w:eastAsia="仿宋_GB2312"/>
          <w:color w:val="000000" w:themeColor="text1"/>
          <w:sz w:val="28"/>
          <w:szCs w:val="28"/>
          <w:lang w:val="en-US" w:eastAsia="zh-CN"/>
          <w14:textFill>
            <w14:solidFill>
              <w14:schemeClr w14:val="tx1"/>
            </w14:solidFill>
          </w14:textFill>
        </w:rPr>
        <w:t>.00</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w:t>
      </w:r>
      <w:r>
        <w:rPr>
          <w:rFonts w:hint="eastAsia" w:ascii="仿宋_GB2312" w:eastAsia="仿宋_GB2312"/>
          <w:color w:val="000000" w:themeColor="text1"/>
          <w:sz w:val="28"/>
          <w:szCs w:val="28"/>
          <w:lang w:val="en-US" w:eastAsia="zh-CN"/>
          <w14:textFill>
            <w14:solidFill>
              <w14:schemeClr w14:val="tx1"/>
            </w14:solidFill>
          </w14:textFill>
        </w:rPr>
        <w:t>单位2024年度无政府性基金预算财政拨款安排的支出</w:t>
      </w:r>
      <w:r>
        <w:rPr>
          <w:rFonts w:hint="eastAsia" w:ascii="仿宋_GB2312" w:eastAsia="仿宋_GB2312"/>
          <w:color w:val="000000" w:themeColor="text1"/>
          <w:sz w:val="28"/>
          <w:szCs w:val="28"/>
          <w:lang w:eastAsia="zh-CN"/>
          <w14:textFill>
            <w14:solidFill>
              <w14:schemeClr w14:val="tx1"/>
            </w14:solidFill>
          </w14:textFill>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lang w:val="en-US" w:eastAsia="zh-CN"/>
        </w:rPr>
        <w:t>.00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lang w:val="en-US" w:eastAsia="zh-CN"/>
        </w:rPr>
        <w:t>.00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3385.31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1.96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10.1</w:t>
      </w:r>
      <w:r>
        <w:rPr>
          <w:rFonts w:hint="eastAsia" w:ascii="仿宋_GB2312" w:eastAsia="仿宋_GB2312"/>
          <w:sz w:val="28"/>
          <w:szCs w:val="28"/>
        </w:rPr>
        <w:t>万元减少</w:t>
      </w:r>
      <w:r>
        <w:rPr>
          <w:rFonts w:hint="eastAsia" w:ascii="仿宋_GB2312" w:eastAsia="仿宋_GB2312"/>
          <w:sz w:val="28"/>
          <w:szCs w:val="28"/>
          <w:lang w:val="en-US" w:eastAsia="zh-CN"/>
        </w:rPr>
        <w:t>8.14</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比</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增减无变化，保持一致</w:t>
      </w:r>
      <w:r>
        <w:rPr>
          <w:rFonts w:hint="eastAsia" w:ascii="仿宋_GB2312" w:eastAsia="仿宋_GB2312"/>
          <w:sz w:val="28"/>
          <w:szCs w:val="28"/>
        </w:rPr>
        <w:t>。主要原因：</w:t>
      </w:r>
      <w:r>
        <w:rPr>
          <w:rFonts w:hint="eastAsia" w:ascii="仿宋_GB2312" w:eastAsia="仿宋_GB2312"/>
          <w:sz w:val="28"/>
          <w:szCs w:val="28"/>
          <w:lang w:val="en-US" w:eastAsia="zh-CN"/>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年度因公出国（境）费用主要用于出国</w:t>
      </w:r>
      <w:r>
        <w:rPr>
          <w:rFonts w:hint="eastAsia" w:ascii="仿宋_GB2312" w:eastAsia="仿宋_GB2312"/>
          <w:sz w:val="28"/>
          <w:szCs w:val="28"/>
          <w:lang w:eastAsia="zh-CN"/>
        </w:rPr>
        <w:t>（</w:t>
      </w:r>
      <w:r>
        <w:rPr>
          <w:rFonts w:hint="eastAsia" w:ascii="仿宋_GB2312" w:eastAsia="仿宋_GB2312"/>
          <w:sz w:val="28"/>
          <w:szCs w:val="28"/>
          <w:lang w:val="en-US" w:eastAsia="zh-CN"/>
        </w:rPr>
        <w:t>境）</w:t>
      </w:r>
      <w:r>
        <w:rPr>
          <w:rFonts w:hint="eastAsia" w:ascii="仿宋_GB2312" w:eastAsia="仿宋_GB2312"/>
          <w:sz w:val="28"/>
          <w:szCs w:val="28"/>
        </w:rPr>
        <w:t>的会议、培训</w:t>
      </w:r>
      <w:r>
        <w:rPr>
          <w:rFonts w:hint="eastAsia" w:ascii="仿宋_GB2312" w:eastAsia="仿宋_GB2312"/>
          <w:sz w:val="28"/>
          <w:szCs w:val="28"/>
          <w:lang w:val="en-US" w:eastAsia="zh-CN"/>
        </w:rPr>
        <w:t>交流</w:t>
      </w:r>
      <w:r>
        <w:rPr>
          <w:rFonts w:hint="eastAsia" w:ascii="仿宋_GB2312" w:eastAsia="仿宋_GB2312"/>
          <w:sz w:val="28"/>
          <w:szCs w:val="28"/>
        </w:rPr>
        <w:t>等事项，202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w:t>
      </w:r>
      <w:r>
        <w:rPr>
          <w:rFonts w:hint="eastAsia" w:ascii="仿宋_GB2312" w:eastAsia="仿宋_GB2312"/>
          <w:sz w:val="28"/>
          <w:szCs w:val="28"/>
        </w:rPr>
        <w:t>万元减少</w:t>
      </w:r>
      <w:r>
        <w:rPr>
          <w:rFonts w:hint="eastAsia" w:ascii="仿宋_GB2312" w:eastAsia="仿宋_GB2312"/>
          <w:sz w:val="28"/>
          <w:szCs w:val="28"/>
          <w:lang w:val="en-US" w:eastAsia="zh-CN"/>
        </w:rPr>
        <w:t>2</w:t>
      </w:r>
      <w:r>
        <w:rPr>
          <w:rFonts w:hint="eastAsia" w:ascii="仿宋_GB2312" w:eastAsia="仿宋_GB2312"/>
          <w:sz w:val="28"/>
          <w:szCs w:val="28"/>
        </w:rPr>
        <w:t>万元。主要原因：</w:t>
      </w:r>
      <w:r>
        <w:rPr>
          <w:rFonts w:hint="eastAsia" w:ascii="仿宋_GB2312" w:eastAsia="仿宋_GB2312"/>
          <w:sz w:val="28"/>
          <w:szCs w:val="28"/>
          <w:lang w:val="en-US" w:eastAsia="zh-CN"/>
        </w:rPr>
        <w:t>本年度无公务接待支出。2024年度公务接待费主要用于公务接待事项。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color w:val="auto"/>
          <w:sz w:val="28"/>
          <w:szCs w:val="28"/>
        </w:rPr>
      </w:pPr>
      <w:r>
        <w:rPr>
          <w:rFonts w:hint="eastAsia" w:ascii="仿宋_GB2312" w:eastAsia="仿宋_GB2312"/>
          <w:sz w:val="28"/>
          <w:szCs w:val="28"/>
        </w:rPr>
        <w:t>3.公务用车购置及运行</w:t>
      </w:r>
      <w:r>
        <w:rPr>
          <w:rFonts w:hint="eastAsia" w:ascii="仿宋_GB2312" w:eastAsia="仿宋_GB2312"/>
          <w:color w:val="auto"/>
          <w:sz w:val="28"/>
          <w:szCs w:val="28"/>
        </w:rPr>
        <w:t>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1.96</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8.10</w:t>
      </w:r>
      <w:r>
        <w:rPr>
          <w:rFonts w:hint="eastAsia" w:ascii="仿宋_GB2312" w:eastAsia="仿宋_GB2312"/>
          <w:color w:val="auto"/>
          <w:sz w:val="28"/>
          <w:szCs w:val="28"/>
        </w:rPr>
        <w:t>万元减少</w:t>
      </w:r>
      <w:r>
        <w:rPr>
          <w:rFonts w:hint="eastAsia" w:ascii="仿宋_GB2312" w:eastAsia="仿宋_GB2312"/>
          <w:color w:val="auto"/>
          <w:sz w:val="28"/>
          <w:szCs w:val="28"/>
          <w:lang w:val="en-US" w:eastAsia="zh-CN"/>
        </w:rPr>
        <w:t>6.14</w:t>
      </w:r>
      <w:r>
        <w:rPr>
          <w:rFonts w:hint="eastAsia" w:ascii="仿宋_GB2312" w:eastAsia="仿宋_GB2312"/>
          <w:color w:val="auto"/>
          <w:sz w:val="28"/>
          <w:szCs w:val="28"/>
        </w:rPr>
        <w:t>万元。其中，公务用车购置费202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万元，主要原因：</w:t>
      </w:r>
      <w:r>
        <w:rPr>
          <w:rFonts w:hint="eastAsia" w:ascii="仿宋_GB2312" w:eastAsia="仿宋_GB2312"/>
          <w:color w:val="auto"/>
          <w:sz w:val="28"/>
          <w:szCs w:val="28"/>
          <w:lang w:val="en-US" w:eastAsia="zh-CN"/>
        </w:rPr>
        <w:t>本</w:t>
      </w:r>
      <w:r>
        <w:rPr>
          <w:rFonts w:hint="eastAsia" w:ascii="仿宋_GB2312" w:eastAsia="仿宋_GB2312"/>
          <w:color w:val="auto"/>
          <w:sz w:val="28"/>
          <w:szCs w:val="28"/>
        </w:rPr>
        <w:t>年度</w:t>
      </w:r>
      <w:r>
        <w:rPr>
          <w:rFonts w:hint="eastAsia" w:ascii="仿宋_GB2312" w:eastAsia="仿宋_GB2312"/>
          <w:color w:val="auto"/>
          <w:sz w:val="28"/>
          <w:szCs w:val="28"/>
          <w:lang w:val="en-US" w:eastAsia="zh-CN"/>
        </w:rPr>
        <w:t>新</w:t>
      </w:r>
      <w:r>
        <w:rPr>
          <w:rFonts w:hint="eastAsia" w:ascii="仿宋_GB2312" w:eastAsia="仿宋_GB2312"/>
          <w:color w:val="auto"/>
          <w:sz w:val="28"/>
          <w:szCs w:val="28"/>
        </w:rPr>
        <w:t>购</w:t>
      </w:r>
      <w:r>
        <w:rPr>
          <w:rFonts w:hint="eastAsia" w:ascii="仿宋_GB2312" w:eastAsia="仿宋_GB2312"/>
          <w:color w:val="auto"/>
          <w:sz w:val="28"/>
          <w:szCs w:val="28"/>
          <w:lang w:val="en-US" w:eastAsia="zh-CN"/>
        </w:rPr>
        <w:t>车辆</w:t>
      </w:r>
      <w:r>
        <w:rPr>
          <w:rFonts w:hint="eastAsia" w:ascii="仿宋_GB2312" w:eastAsia="仿宋_GB2312"/>
          <w:color w:val="auto"/>
          <w:sz w:val="28"/>
          <w:szCs w:val="28"/>
          <w:lang w:eastAsia="zh-CN"/>
        </w:rPr>
        <w:t>0</w:t>
      </w:r>
      <w:r>
        <w:rPr>
          <w:rFonts w:hint="eastAsia" w:ascii="仿宋_GB2312" w:eastAsia="仿宋_GB2312"/>
          <w:color w:val="auto"/>
          <w:sz w:val="28"/>
          <w:szCs w:val="28"/>
        </w:rPr>
        <w:t>辆</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2024年度购置（更新）0辆</w:t>
      </w:r>
      <w:r>
        <w:rPr>
          <w:rFonts w:hint="eastAsia" w:ascii="仿宋_GB2312" w:eastAsia="仿宋_GB2312"/>
          <w:color w:val="auto"/>
          <w:sz w:val="28"/>
          <w:szCs w:val="28"/>
        </w:rPr>
        <w:t>。公务用车运行维护费202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1.96</w:t>
      </w:r>
      <w:r>
        <w:rPr>
          <w:rFonts w:hint="eastAsia" w:ascii="仿宋_GB2312" w:eastAsia="仿宋_GB2312"/>
          <w:color w:val="auto"/>
          <w:sz w:val="28"/>
          <w:szCs w:val="28"/>
        </w:rPr>
        <w:t>万元，主要原因：</w:t>
      </w:r>
      <w:r>
        <w:rPr>
          <w:rFonts w:hint="eastAsia" w:ascii="仿宋_GB2312" w:eastAsia="仿宋_GB2312"/>
          <w:color w:val="auto"/>
          <w:sz w:val="28"/>
          <w:szCs w:val="28"/>
          <w:lang w:val="en-US" w:eastAsia="zh-CN"/>
        </w:rPr>
        <w:t>严格落实公务用车使用规定，认真贯彻厉行节约反对浪费的有关要求，本着节俭高效的原则，进一步加强公务用车管理，减少费用支出。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年度公务用车保有量</w:t>
      </w:r>
      <w:r>
        <w:rPr>
          <w:rFonts w:ascii="仿宋_GB2312" w:eastAsia="仿宋_GB2312"/>
          <w:color w:val="auto"/>
          <w:sz w:val="28"/>
          <w:szCs w:val="28"/>
        </w:rPr>
        <w:t>3</w:t>
      </w:r>
      <w:r>
        <w:rPr>
          <w:rFonts w:hint="eastAsia" w:ascii="仿宋_GB2312" w:eastAsia="仿宋_GB2312"/>
          <w:color w:val="auto"/>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color w:val="FF0000"/>
          <w:sz w:val="28"/>
          <w:szCs w:val="28"/>
        </w:rPr>
      </w:pPr>
      <w:r>
        <w:rPr>
          <w:rFonts w:hint="eastAsia" w:ascii="仿宋_GB2312" w:eastAsia="仿宋_GB2312"/>
          <w:color w:val="auto"/>
          <w:sz w:val="28"/>
          <w:szCs w:val="28"/>
          <w:lang w:val="en-US" w:eastAsia="zh-CN"/>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104.95</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0.91</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0.00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104.04</w:t>
      </w:r>
      <w:r>
        <w:rPr>
          <w:rFonts w:hint="eastAsia" w:ascii="仿宋_GB2312" w:eastAsia="仿宋_GB2312"/>
          <w:sz w:val="28"/>
          <w:szCs w:val="28"/>
        </w:rPr>
        <w:t>万元。授予中小企业合同金额</w:t>
      </w:r>
      <w:r>
        <w:rPr>
          <w:rFonts w:ascii="仿宋_GB2312" w:eastAsia="仿宋_GB2312"/>
          <w:sz w:val="28"/>
          <w:szCs w:val="28"/>
        </w:rPr>
        <w:t>104.11</w:t>
      </w:r>
      <w:r>
        <w:rPr>
          <w:rFonts w:hint="eastAsia" w:ascii="仿宋_GB2312" w:eastAsia="仿宋_GB2312"/>
          <w:sz w:val="28"/>
          <w:szCs w:val="28"/>
        </w:rPr>
        <w:t>万元，占政府采购支出总额的</w:t>
      </w:r>
      <w:r>
        <w:rPr>
          <w:rFonts w:hint="eastAsia" w:ascii="仿宋_GB2312" w:eastAsia="仿宋_GB2312"/>
          <w:sz w:val="28"/>
          <w:szCs w:val="28"/>
          <w:lang w:eastAsia="zh-CN"/>
        </w:rPr>
        <w:t>99.2</w:t>
      </w:r>
      <w:r>
        <w:rPr>
          <w:rFonts w:hint="eastAsia" w:ascii="仿宋_GB2312" w:eastAsia="仿宋_GB2312"/>
          <w:sz w:val="28"/>
          <w:szCs w:val="28"/>
        </w:rPr>
        <w:t>%，其中：授予小微企业合同金额</w:t>
      </w:r>
      <w:r>
        <w:rPr>
          <w:rFonts w:ascii="仿宋_GB2312" w:eastAsia="仿宋_GB2312"/>
          <w:sz w:val="28"/>
          <w:szCs w:val="28"/>
        </w:rPr>
        <w:t>104.11</w:t>
      </w:r>
      <w:r>
        <w:rPr>
          <w:rFonts w:hint="eastAsia" w:ascii="仿宋_GB2312" w:eastAsia="仿宋_GB2312"/>
          <w:sz w:val="28"/>
          <w:szCs w:val="28"/>
        </w:rPr>
        <w:t>万元，占政府采购支出总额的</w:t>
      </w:r>
      <w:r>
        <w:rPr>
          <w:rFonts w:ascii="仿宋_GB2312" w:eastAsia="仿宋_GB2312"/>
          <w:sz w:val="28"/>
          <w:szCs w:val="28"/>
        </w:rPr>
        <w:t>99.2</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12月31日，北京市大兴区第二幼儿园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lang w:val="en-US" w:eastAsia="zh-CN"/>
        </w:rPr>
        <w:t>.00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A6A9724">
      <w:pPr>
        <w:ind w:firstLine="420" w:firstLineChars="150"/>
        <w:rPr>
          <w:rFonts w:hint="eastAsia" w:ascii="仿宋_GB2312" w:eastAsia="仿宋_GB2312"/>
          <w:sz w:val="28"/>
          <w:szCs w:val="28"/>
        </w:rPr>
      </w:pPr>
      <w:r>
        <w:rPr>
          <w:rFonts w:hint="eastAsia" w:ascii="仿宋_GB2312" w:eastAsia="仿宋_GB2312"/>
          <w:sz w:val="28"/>
          <w:szCs w:val="28"/>
        </w:rPr>
        <w:t>7. 教育支出(类)教育费附加安排的支出(款)其他教育费附加安排的支出(项):反映除上述项目以外的教育费附加支出。</w:t>
      </w:r>
    </w:p>
    <w:p w14:paraId="66354719">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8.社会保障和就业支出（类）行政事业单位养老支出（款）行政单位离退休（项）：反映用于行政单位（包括实行公务员管理的事业单位）开支的离退休经费。</w:t>
      </w:r>
    </w:p>
    <w:p w14:paraId="24F57036">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9.社会保障和就业支出（类）行政事业单位养老支出（款）机关事业单位基本养老保险缴费支出（项）：反映机关事业单位实施养老保险制度有单位缴纳的基本养老保险费支出。</w:t>
      </w:r>
    </w:p>
    <w:p w14:paraId="76DE9132">
      <w:pPr>
        <w:ind w:firstLine="420" w:firstLineChars="150"/>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10.社会保障和就业支出（类）行政事业单位养老支出（款）机关事业单位职业年金缴费支出（项）：反映机关事业单位实施养老保险制度有单位缴纳的职业年金支出。</w:t>
      </w:r>
    </w:p>
    <w:p w14:paraId="5375133D">
      <w:pPr>
        <w:ind w:firstLine="420" w:firstLineChars="150"/>
        <w:rPr>
          <w:rFonts w:hint="eastAsia" w:ascii="仿宋_GB2312" w:eastAsia="仿宋_GB2312"/>
          <w:sz w:val="28"/>
          <w:szCs w:val="28"/>
        </w:rPr>
      </w:pPr>
      <w:r>
        <w:rPr>
          <w:rFonts w:hint="eastAsia" w:ascii="仿宋_GB2312" w:eastAsia="仿宋_GB2312"/>
          <w:sz w:val="28"/>
          <w:szCs w:val="28"/>
        </w:rPr>
        <w:t>11.卫生健康（类）公共卫生（款）突发公共卫生事件应急处理（项）：反映用于突发公共卫生事件应急处理的支出。</w:t>
      </w:r>
    </w:p>
    <w:p w14:paraId="4D6FF08A">
      <w:pPr>
        <w:ind w:firstLine="420" w:firstLineChars="150"/>
        <w:rPr>
          <w:rFonts w:hint="eastAsia" w:ascii="仿宋_GB2312" w:eastAsia="仿宋_GB2312"/>
          <w:sz w:val="28"/>
          <w:szCs w:val="28"/>
        </w:rPr>
      </w:pPr>
      <w:r>
        <w:rPr>
          <w:rFonts w:hint="eastAsia" w:ascii="仿宋_GB2312" w:eastAsia="仿宋_GB2312"/>
          <w:sz w:val="28"/>
          <w:szCs w:val="28"/>
        </w:rPr>
        <w:t>12.卫生健康（类）行政事业单位医疗（款）事业单位医疗（项）：反映财政部门安排的事业单位基本医疗保险缴费经费，未参加医疗保险的事业单位的公费医疗经费，按国家规定享受离休人员待遇的医疗经费。</w:t>
      </w:r>
    </w:p>
    <w:p w14:paraId="200D7C22">
      <w:pPr>
        <w:ind w:firstLine="420" w:firstLineChars="150"/>
        <w:rPr>
          <w:rFonts w:hint="eastAsia" w:ascii="仿宋_GB2312" w:eastAsia="仿宋_GB2312"/>
          <w:sz w:val="28"/>
          <w:szCs w:val="28"/>
        </w:rPr>
      </w:pPr>
      <w:r>
        <w:rPr>
          <w:rFonts w:hint="eastAsia" w:ascii="仿宋_GB2312" w:eastAsia="仿宋_GB2312"/>
          <w:sz w:val="28"/>
          <w:szCs w:val="28"/>
        </w:rPr>
        <w:t>13.卫生健康（类）行政事业单位医疗（款）公务员医疗补助（项）：反映财政部门安排的公务员医疗补助经费。</w:t>
      </w:r>
    </w:p>
    <w:p w14:paraId="321A98D6">
      <w:pPr>
        <w:ind w:firstLine="640" w:firstLineChars="200"/>
        <w:jc w:val="center"/>
        <w:rPr>
          <w:rFonts w:hint="eastAsia" w:ascii="黑体" w:eastAsia="黑体"/>
          <w:sz w:val="32"/>
          <w:szCs w:val="32"/>
        </w:rPr>
      </w:pPr>
    </w:p>
    <w:p w14:paraId="129A5439">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462EB4CC">
      <w:pPr>
        <w:numPr>
          <w:ilvl w:val="0"/>
          <w:numId w:val="0"/>
        </w:numPr>
        <w:ind w:left="1050" w:leftChars="0"/>
        <w:rPr>
          <w:rFonts w:hint="eastAsia" w:ascii="黑体" w:eastAsia="黑体"/>
          <w:sz w:val="28"/>
          <w:szCs w:val="28"/>
          <w:highlight w:val="none"/>
          <w:lang w:eastAsia="zh-CN"/>
        </w:rPr>
      </w:pPr>
    </w:p>
    <w:p w14:paraId="1F809966">
      <w:pPr>
        <w:numPr>
          <w:ilvl w:val="0"/>
          <w:numId w:val="0"/>
        </w:numPr>
        <w:ind w:left="1050" w:leftChars="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1AA6"/>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893C18"/>
    <w:rsid w:val="04A2573B"/>
    <w:rsid w:val="04C3537C"/>
    <w:rsid w:val="079004AC"/>
    <w:rsid w:val="09167F1E"/>
    <w:rsid w:val="0BA148CA"/>
    <w:rsid w:val="0C1165C4"/>
    <w:rsid w:val="0CE6366F"/>
    <w:rsid w:val="0D6D544B"/>
    <w:rsid w:val="0DD136FE"/>
    <w:rsid w:val="0F542F2C"/>
    <w:rsid w:val="0F642E28"/>
    <w:rsid w:val="0F8E2C57"/>
    <w:rsid w:val="1059665E"/>
    <w:rsid w:val="10AC13BA"/>
    <w:rsid w:val="13A7230D"/>
    <w:rsid w:val="13F32222"/>
    <w:rsid w:val="145A6C1B"/>
    <w:rsid w:val="147D6BCA"/>
    <w:rsid w:val="14B73493"/>
    <w:rsid w:val="167A2FF9"/>
    <w:rsid w:val="1764587C"/>
    <w:rsid w:val="18581C69"/>
    <w:rsid w:val="186662F2"/>
    <w:rsid w:val="1A8922AE"/>
    <w:rsid w:val="1AEC0734"/>
    <w:rsid w:val="1C941E90"/>
    <w:rsid w:val="1D24052A"/>
    <w:rsid w:val="1DEF20B0"/>
    <w:rsid w:val="1FF7AB17"/>
    <w:rsid w:val="214243FA"/>
    <w:rsid w:val="21AD613C"/>
    <w:rsid w:val="21B14695"/>
    <w:rsid w:val="2228581B"/>
    <w:rsid w:val="22467189"/>
    <w:rsid w:val="234B6811"/>
    <w:rsid w:val="2366364A"/>
    <w:rsid w:val="257A14F5"/>
    <w:rsid w:val="25907E47"/>
    <w:rsid w:val="26011CC0"/>
    <w:rsid w:val="27196C26"/>
    <w:rsid w:val="29EF086F"/>
    <w:rsid w:val="2BC34C59"/>
    <w:rsid w:val="2EFFE297"/>
    <w:rsid w:val="301437CA"/>
    <w:rsid w:val="349D1F0A"/>
    <w:rsid w:val="34DD0473"/>
    <w:rsid w:val="34DF6CE6"/>
    <w:rsid w:val="3A8E35DC"/>
    <w:rsid w:val="3C684897"/>
    <w:rsid w:val="3ED64311"/>
    <w:rsid w:val="3EF96C06"/>
    <w:rsid w:val="3F1948C2"/>
    <w:rsid w:val="411E6F2C"/>
    <w:rsid w:val="42B25919"/>
    <w:rsid w:val="433E495C"/>
    <w:rsid w:val="489F2FD7"/>
    <w:rsid w:val="48C448B4"/>
    <w:rsid w:val="4AB42150"/>
    <w:rsid w:val="4AB94A76"/>
    <w:rsid w:val="4AC27CB3"/>
    <w:rsid w:val="4BED54C2"/>
    <w:rsid w:val="4BF72BEF"/>
    <w:rsid w:val="4BFA0DE1"/>
    <w:rsid w:val="4D34076B"/>
    <w:rsid w:val="4F534A2D"/>
    <w:rsid w:val="4F554BE5"/>
    <w:rsid w:val="4FA90297"/>
    <w:rsid w:val="4FC41A43"/>
    <w:rsid w:val="4FF27E90"/>
    <w:rsid w:val="51D6428F"/>
    <w:rsid w:val="51DB3C59"/>
    <w:rsid w:val="5377716C"/>
    <w:rsid w:val="54295CC7"/>
    <w:rsid w:val="546450D5"/>
    <w:rsid w:val="550C0952"/>
    <w:rsid w:val="55762E42"/>
    <w:rsid w:val="57A7B272"/>
    <w:rsid w:val="58470068"/>
    <w:rsid w:val="58747CAC"/>
    <w:rsid w:val="5A1720F9"/>
    <w:rsid w:val="5B9C37C2"/>
    <w:rsid w:val="5BA7C654"/>
    <w:rsid w:val="5BCD5FD8"/>
    <w:rsid w:val="5BED58DC"/>
    <w:rsid w:val="5D371737"/>
    <w:rsid w:val="5DF716AE"/>
    <w:rsid w:val="5EE70977"/>
    <w:rsid w:val="5F9F507E"/>
    <w:rsid w:val="60A54109"/>
    <w:rsid w:val="61D01CDF"/>
    <w:rsid w:val="64C0607C"/>
    <w:rsid w:val="64EC0A54"/>
    <w:rsid w:val="65756C86"/>
    <w:rsid w:val="65962C14"/>
    <w:rsid w:val="674D385B"/>
    <w:rsid w:val="676F09E1"/>
    <w:rsid w:val="67A84C2D"/>
    <w:rsid w:val="6D050DAB"/>
    <w:rsid w:val="6EDF387E"/>
    <w:rsid w:val="71691990"/>
    <w:rsid w:val="71793A80"/>
    <w:rsid w:val="7357290B"/>
    <w:rsid w:val="74B45D27"/>
    <w:rsid w:val="756E3DEA"/>
    <w:rsid w:val="758E56B6"/>
    <w:rsid w:val="76FB1693"/>
    <w:rsid w:val="771F2A69"/>
    <w:rsid w:val="77905715"/>
    <w:rsid w:val="798524E4"/>
    <w:rsid w:val="7A7F1C49"/>
    <w:rsid w:val="7B5B7AE6"/>
    <w:rsid w:val="7B7B6628"/>
    <w:rsid w:val="7BA7071E"/>
    <w:rsid w:val="7BDF6DA8"/>
    <w:rsid w:val="7C7EDC1A"/>
    <w:rsid w:val="7CCED98D"/>
    <w:rsid w:val="7D08410F"/>
    <w:rsid w:val="7D0A41BC"/>
    <w:rsid w:val="7D82372B"/>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3987.83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3385.31</c:v>
                </c:pt>
                <c:pt idx="1">
                  <c:v>897.88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3849</Words>
  <Characters>4456</Characters>
  <Lines>44</Lines>
  <Paragraphs>12</Paragraphs>
  <TotalTime>53</TotalTime>
  <ScaleCrop>false</ScaleCrop>
  <LinksUpToDate>false</LinksUpToDate>
  <CharactersWithSpaces>4481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于佳立</cp:lastModifiedBy>
  <cp:lastPrinted>2020-08-09T03:39:00Z</cp:lastPrinted>
  <dcterms:modified xsi:type="dcterms:W3CDTF">2025-09-24T04:50:17Z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eyJoZGlkIjoiOWVlMjU4NGZjOWUzMDE1OGE2YWJmNDgyOTBiZGE0MTciLCJ1c2VySWQiOiI5MjI2MTMxNjAifQ==</vt:lpwstr>
  </property>
</Properties>
</file>