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6BDA8A50">
      <w:pPr>
        <w:tabs>
          <w:tab w:val="center" w:pos="6979"/>
        </w:tabs>
        <w:spacing w:line="580" w:lineRule="exact"/>
        <w:ind w:firstLine="570"/>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lang w:val="en-US" w:eastAsia="zh-CN"/>
        </w:rPr>
        <w:t>（一）</w:t>
      </w:r>
      <w:r>
        <w:rPr>
          <w:rFonts w:hint="eastAsia" w:ascii="仿宋_GB2312" w:hAnsi="Times New Roman" w:eastAsia="仿宋_GB2312" w:cs="Times New Roman"/>
          <w:color w:val="auto"/>
          <w:sz w:val="28"/>
          <w:szCs w:val="28"/>
        </w:rPr>
        <w:t>主要职能。为丰富少年儿童校外活动提供服务、开展校外教育。</w:t>
      </w:r>
    </w:p>
    <w:p w14:paraId="076957A9">
      <w:pPr>
        <w:tabs>
          <w:tab w:val="center" w:pos="6979"/>
        </w:tabs>
        <w:spacing w:line="580" w:lineRule="exact"/>
        <w:ind w:firstLine="570"/>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lang w:eastAsia="zh-CN"/>
        </w:rPr>
        <w:t>（</w:t>
      </w:r>
      <w:r>
        <w:rPr>
          <w:rFonts w:hint="eastAsia" w:ascii="仿宋_GB2312" w:hAnsi="Times New Roman" w:eastAsia="仿宋_GB2312" w:cs="Times New Roman"/>
          <w:color w:val="auto"/>
          <w:sz w:val="28"/>
          <w:szCs w:val="28"/>
          <w:lang w:val="en-US" w:eastAsia="zh-CN"/>
        </w:rPr>
        <w:t>二）</w:t>
      </w:r>
      <w:r>
        <w:rPr>
          <w:rFonts w:hint="eastAsia" w:ascii="仿宋_GB2312" w:hAnsi="Times New Roman" w:eastAsia="仿宋_GB2312" w:cs="Times New Roman"/>
          <w:color w:val="auto"/>
          <w:sz w:val="28"/>
          <w:szCs w:val="28"/>
        </w:rPr>
        <w:t>机构情况。我校为独立编制、独立核算机构，校内设有教务处、活动处、总务处等职能部门。</w:t>
      </w:r>
    </w:p>
    <w:p w14:paraId="6D65E20A">
      <w:pPr>
        <w:tabs>
          <w:tab w:val="center" w:pos="6979"/>
        </w:tabs>
        <w:spacing w:line="580" w:lineRule="exact"/>
        <w:ind w:firstLine="570"/>
        <w:rPr>
          <w:rFonts w:hint="eastAsia" w:ascii="仿宋_GB2312" w:hAnsi="Times New Roman" w:eastAsia="仿宋_GB2312" w:cs="Times New Roman"/>
          <w:color w:val="auto"/>
          <w:sz w:val="28"/>
          <w:szCs w:val="28"/>
          <w:lang w:val="en-US" w:eastAsia="zh-CN"/>
        </w:rPr>
      </w:pPr>
      <w:r>
        <w:rPr>
          <w:rFonts w:hint="eastAsia" w:ascii="仿宋_GB2312" w:hAnsi="Times New Roman" w:eastAsia="仿宋_GB2312" w:cs="Times New Roman"/>
          <w:color w:val="auto"/>
          <w:sz w:val="28"/>
          <w:szCs w:val="28"/>
          <w:lang w:val="en-US" w:eastAsia="zh-CN"/>
        </w:rPr>
        <w:t>（三）本单位为北京市大兴区教育委员会所属２级预算单位，单位性质为财政全额拨款事业单位。</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5515.22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79.87</w:t>
      </w:r>
      <w:r>
        <w:rPr>
          <w:rFonts w:hint="eastAsia" w:ascii="仿宋_GB2312" w:eastAsia="仿宋_GB2312"/>
          <w:sz w:val="28"/>
          <w:szCs w:val="28"/>
        </w:rPr>
        <w:t>万元，增长</w:t>
      </w:r>
      <w:r>
        <w:rPr>
          <w:rFonts w:hint="eastAsia" w:ascii="仿宋_GB2312" w:eastAsia="仿宋_GB2312"/>
          <w:sz w:val="28"/>
          <w:szCs w:val="28"/>
          <w:lang w:val="en-US" w:eastAsia="zh-CN"/>
        </w:rPr>
        <w:t>1.47</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5162.25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102.23</w:t>
      </w:r>
      <w:r>
        <w:rPr>
          <w:rFonts w:hint="eastAsia" w:ascii="仿宋_GB2312" w:eastAsia="仿宋_GB2312"/>
          <w:sz w:val="28"/>
          <w:szCs w:val="28"/>
        </w:rPr>
        <w:t>万元，下降</w:t>
      </w:r>
      <w:r>
        <w:rPr>
          <w:rFonts w:hint="eastAsia" w:ascii="仿宋_GB2312" w:eastAsia="仿宋_GB2312"/>
          <w:sz w:val="28"/>
          <w:szCs w:val="28"/>
          <w:lang w:val="en-US" w:eastAsia="zh-CN"/>
        </w:rPr>
        <w:t>1.94</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4399.8</w:t>
      </w:r>
      <w:r>
        <w:rPr>
          <w:rFonts w:hint="eastAsia" w:ascii="仿宋_GB2312" w:eastAsia="仿宋_GB2312"/>
          <w:sz w:val="28"/>
          <w:szCs w:val="28"/>
        </w:rPr>
        <w:t>万元，占收入合计的</w:t>
      </w:r>
      <w:r>
        <w:rPr>
          <w:rFonts w:hint="eastAsia" w:ascii="仿宋_GB2312" w:eastAsia="仿宋_GB2312"/>
          <w:sz w:val="28"/>
          <w:szCs w:val="28"/>
          <w:lang w:eastAsia="zh-CN"/>
        </w:rPr>
        <w:t>85.23%。</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4399.80</w:t>
      </w:r>
      <w:r>
        <w:rPr>
          <w:rFonts w:hint="eastAsia" w:ascii="仿宋_GB2312" w:eastAsia="仿宋_GB2312"/>
          <w:sz w:val="28"/>
          <w:szCs w:val="28"/>
        </w:rPr>
        <w:t>万元，占收入合计的</w:t>
      </w:r>
      <w:r>
        <w:rPr>
          <w:rFonts w:hint="eastAsia" w:ascii="仿宋_GB2312" w:eastAsia="仿宋_GB2312"/>
          <w:sz w:val="28"/>
          <w:szCs w:val="28"/>
          <w:lang w:val="en-US" w:eastAsia="zh-CN"/>
        </w:rPr>
        <w:t>85.23</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762.45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14.77</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5347.11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69.53</w:t>
      </w:r>
      <w:r>
        <w:rPr>
          <w:rFonts w:hint="eastAsia" w:ascii="仿宋_GB2312" w:eastAsia="仿宋_GB2312"/>
          <w:sz w:val="28"/>
          <w:szCs w:val="28"/>
        </w:rPr>
        <w:t>万元，下降</w:t>
      </w:r>
      <w:r>
        <w:rPr>
          <w:rFonts w:hint="eastAsia" w:ascii="仿宋_GB2312" w:eastAsia="仿宋_GB2312"/>
          <w:sz w:val="28"/>
          <w:szCs w:val="28"/>
          <w:lang w:val="en-US" w:eastAsia="zh-CN"/>
        </w:rPr>
        <w:t>1.28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3646.08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68.19</w:t>
      </w:r>
      <w:r>
        <w:rPr>
          <w:rFonts w:hint="eastAsia" w:ascii="仿宋_GB2312" w:eastAsia="仿宋_GB2312"/>
          <w:sz w:val="28"/>
          <w:szCs w:val="28"/>
          <w:highlight w:val="none"/>
        </w:rPr>
        <w:t>%；项目支出</w:t>
      </w:r>
      <w:r>
        <w:rPr>
          <w:rFonts w:ascii="仿宋_GB2312" w:eastAsia="仿宋_GB2312"/>
          <w:sz w:val="28"/>
          <w:szCs w:val="28"/>
          <w:highlight w:val="none"/>
        </w:rPr>
        <w:t>1701.04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31.81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4734.06</w:t>
      </w:r>
      <w:r>
        <w:rPr>
          <w:rFonts w:hint="eastAsia" w:ascii="仿宋_GB2312" w:eastAsia="仿宋_GB2312"/>
          <w:sz w:val="28"/>
          <w:szCs w:val="28"/>
        </w:rPr>
        <w:t>万元，比上年减少</w:t>
      </w:r>
      <w:r>
        <w:rPr>
          <w:rFonts w:hint="eastAsia" w:ascii="仿宋_GB2312" w:eastAsia="仿宋_GB2312"/>
          <w:sz w:val="28"/>
          <w:szCs w:val="28"/>
          <w:lang w:val="en-US" w:eastAsia="zh-CN"/>
        </w:rPr>
        <w:t>412.41</w:t>
      </w:r>
      <w:r>
        <w:rPr>
          <w:rFonts w:hint="eastAsia" w:ascii="仿宋_GB2312" w:eastAsia="仿宋_GB2312"/>
          <w:sz w:val="28"/>
          <w:szCs w:val="28"/>
        </w:rPr>
        <w:t>万元，下降</w:t>
      </w:r>
      <w:r>
        <w:rPr>
          <w:rFonts w:hint="eastAsia" w:ascii="仿宋_GB2312" w:eastAsia="仿宋_GB2312"/>
          <w:sz w:val="28"/>
          <w:szCs w:val="28"/>
          <w:lang w:val="en-US" w:eastAsia="zh-CN"/>
        </w:rPr>
        <w:t>8.01</w:t>
      </w:r>
      <w:r>
        <w:rPr>
          <w:rFonts w:hint="eastAsia" w:ascii="仿宋_GB2312" w:eastAsia="仿宋_GB2312"/>
          <w:sz w:val="28"/>
          <w:szCs w:val="28"/>
        </w:rPr>
        <w:t>%。主要原因：</w:t>
      </w:r>
      <w:r>
        <w:rPr>
          <w:rFonts w:hint="eastAsia" w:ascii="仿宋_GB2312" w:eastAsia="仿宋_GB2312"/>
          <w:sz w:val="28"/>
          <w:szCs w:val="28"/>
          <w:lang w:val="en-US" w:eastAsia="zh-CN"/>
        </w:rPr>
        <w:t>2024年财政预算拨款项目金额大幅缩减，同年拨付历年财政专户结转资金约338万元用于项目开展</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4734.06</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教育支出3702.96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78.22</w:t>
      </w:r>
      <w:r>
        <w:rPr>
          <w:rFonts w:hint="eastAsia" w:ascii="仿宋_GB2312" w:eastAsia="仿宋_GB2312"/>
          <w:sz w:val="28"/>
          <w:szCs w:val="28"/>
        </w:rPr>
        <w:t xml:space="preserve">%； </w:t>
      </w:r>
      <w:r>
        <w:rPr>
          <w:rFonts w:hint="eastAsia" w:ascii="仿宋_GB2312" w:eastAsia="仿宋_GB2312"/>
          <w:sz w:val="28"/>
          <w:szCs w:val="28"/>
          <w:lang w:val="en-US" w:eastAsia="zh-CN"/>
        </w:rPr>
        <w:t>社会保障和就业支出455.38万元，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9.62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卫生健康教育241.45万元，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5.10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住房保障支出334.26万元，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7.06</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205教育支出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3643.65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3702.96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101.63</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20599其他教育支出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3643.65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3702.96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01.63</w:t>
      </w:r>
      <w:r>
        <w:rPr>
          <w:rFonts w:hint="eastAsia" w:ascii="仿宋_GB2312" w:eastAsia="仿宋_GB2312"/>
          <w:sz w:val="28"/>
          <w:szCs w:val="28"/>
        </w:rPr>
        <w:t>%。主要原因：</w:t>
      </w:r>
      <w:r>
        <w:rPr>
          <w:rFonts w:hint="eastAsia" w:ascii="仿宋_GB2312" w:eastAsia="仿宋_GB2312"/>
          <w:sz w:val="28"/>
          <w:szCs w:val="28"/>
          <w:lang w:val="en-US" w:eastAsia="zh-CN"/>
        </w:rPr>
        <w:t>追加临时辅助用工工资；追加在职人员工资、残保金</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208社会保障和就业支出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390.21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455.38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116.70</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20805行政事业单位养老支出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390.21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455.38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116.70</w:t>
      </w:r>
      <w:r>
        <w:rPr>
          <w:rFonts w:hint="eastAsia" w:ascii="仿宋_GB2312" w:eastAsia="仿宋_GB2312"/>
          <w:sz w:val="28"/>
          <w:szCs w:val="28"/>
        </w:rPr>
        <w:t>%。主要原因：</w:t>
      </w:r>
      <w:r>
        <w:rPr>
          <w:rFonts w:hint="eastAsia" w:ascii="仿宋_GB2312" w:eastAsia="仿宋_GB2312"/>
          <w:sz w:val="28"/>
          <w:szCs w:val="28"/>
          <w:lang w:val="en-US" w:eastAsia="zh-CN"/>
        </w:rPr>
        <w:t>养老保险职业年金社保基数调整；发放抚恤金1人，一次性退休津贴2人</w:t>
      </w:r>
      <w:r>
        <w:rPr>
          <w:rFonts w:hint="eastAsia" w:ascii="仿宋_GB2312" w:eastAsia="仿宋_GB2312"/>
          <w:sz w:val="28"/>
          <w:szCs w:val="28"/>
        </w:rPr>
        <w:t>。</w:t>
      </w:r>
    </w:p>
    <w:p w14:paraId="7602F5A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210卫生健康支出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219.55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241.45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109.97</w:t>
      </w:r>
      <w:r>
        <w:rPr>
          <w:rFonts w:hint="eastAsia" w:ascii="仿宋_GB2312" w:eastAsia="仿宋_GB2312"/>
          <w:sz w:val="28"/>
          <w:szCs w:val="28"/>
        </w:rPr>
        <w:t>%。其中：</w:t>
      </w:r>
    </w:p>
    <w:p w14:paraId="1FB90B0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21011行政事业单位养老支出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219.55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241.45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109.97</w:t>
      </w:r>
      <w:r>
        <w:rPr>
          <w:rFonts w:hint="eastAsia" w:ascii="仿宋_GB2312" w:eastAsia="仿宋_GB2312"/>
          <w:sz w:val="28"/>
          <w:szCs w:val="28"/>
        </w:rPr>
        <w:t>%。主要原因：</w:t>
      </w:r>
      <w:r>
        <w:rPr>
          <w:rFonts w:hint="eastAsia" w:ascii="仿宋_GB2312" w:eastAsia="仿宋_GB2312"/>
          <w:sz w:val="28"/>
          <w:szCs w:val="28"/>
          <w:lang w:val="en-US" w:eastAsia="zh-CN"/>
        </w:rPr>
        <w:t>基本医疗、补充医疗社保基数调整</w:t>
      </w:r>
      <w:r>
        <w:rPr>
          <w:rFonts w:hint="eastAsia" w:ascii="仿宋_GB2312" w:eastAsia="仿宋_GB2312"/>
          <w:sz w:val="28"/>
          <w:szCs w:val="28"/>
        </w:rPr>
        <w:t>。</w:t>
      </w:r>
    </w:p>
    <w:p w14:paraId="19777AF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221住房保障支出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334.26</w:t>
      </w:r>
      <w:r>
        <w:rPr>
          <w:rFonts w:hint="eastAsia" w:ascii="仿宋_GB2312" w:eastAsia="仿宋_GB2312"/>
          <w:sz w:val="28"/>
          <w:szCs w:val="28"/>
        </w:rPr>
        <w:t>万元。其中：</w:t>
      </w:r>
    </w:p>
    <w:p w14:paraId="4533AC6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22102住房改革支出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334.26</w:t>
      </w:r>
      <w:r>
        <w:rPr>
          <w:rFonts w:hint="eastAsia" w:ascii="仿宋_GB2312" w:eastAsia="仿宋_GB2312"/>
          <w:sz w:val="28"/>
          <w:szCs w:val="28"/>
        </w:rPr>
        <w:t>万元。主要原因：</w:t>
      </w:r>
      <w:r>
        <w:rPr>
          <w:rFonts w:hint="eastAsia" w:ascii="仿宋_GB2312" w:eastAsia="仿宋_GB2312"/>
          <w:sz w:val="28"/>
          <w:szCs w:val="28"/>
          <w:lang w:val="en-US" w:eastAsia="zh-CN"/>
        </w:rPr>
        <w:t>补发历年住房补贴</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0A45ED6">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2024年本单位无</w:t>
      </w:r>
      <w:r>
        <w:rPr>
          <w:rFonts w:hint="eastAsia" w:ascii="仿宋_GB2312" w:eastAsia="仿宋_GB2312"/>
          <w:sz w:val="28"/>
          <w:szCs w:val="28"/>
        </w:rPr>
        <w:t>政府性基金预算财政拨款</w:t>
      </w:r>
      <w:r>
        <w:rPr>
          <w:rFonts w:hint="eastAsia" w:ascii="仿宋_GB2312" w:eastAsia="仿宋_GB2312"/>
          <w:sz w:val="28"/>
          <w:szCs w:val="28"/>
          <w:lang w:val="en-US" w:eastAsia="zh-CN"/>
        </w:rPr>
        <w:t>安排的支出</w:t>
      </w:r>
      <w:r>
        <w:rPr>
          <w:rFonts w:hint="eastAsia" w:ascii="仿宋_GB2312" w:eastAsia="仿宋_GB2312"/>
          <w:sz w:val="28"/>
          <w:szCs w:val="28"/>
        </w:rPr>
        <w:t>。</w:t>
      </w:r>
    </w:p>
    <w:p w14:paraId="79B3F304">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0115F01">
      <w:pPr>
        <w:ind w:firstLine="537" w:firstLineChars="192"/>
        <w:rPr>
          <w:rFonts w:hint="default" w:ascii="仿宋_GB2312" w:eastAsia="仿宋_GB2312"/>
          <w:sz w:val="28"/>
          <w:szCs w:val="28"/>
          <w:lang w:val="en-US" w:eastAsia="zh-CN"/>
        </w:rPr>
      </w:pPr>
      <w:r>
        <w:rPr>
          <w:rFonts w:hint="eastAsia" w:ascii="仿宋_GB2312" w:eastAsia="仿宋_GB2312"/>
          <w:sz w:val="28"/>
          <w:szCs w:val="28"/>
          <w:lang w:val="en-US" w:eastAsia="zh-CN"/>
        </w:rPr>
        <w:t>2024年本单位无</w:t>
      </w:r>
      <w:r>
        <w:rPr>
          <w:rFonts w:hint="eastAsia" w:ascii="仿宋_GB2312" w:eastAsia="仿宋_GB2312"/>
          <w:sz w:val="28"/>
          <w:szCs w:val="28"/>
        </w:rPr>
        <w:t>国有资本经营预算财政</w:t>
      </w:r>
      <w:r>
        <w:rPr>
          <w:rFonts w:ascii="仿宋_GB2312" w:eastAsia="仿宋_GB2312"/>
          <w:sz w:val="28"/>
          <w:szCs w:val="28"/>
        </w:rPr>
        <w:t>拨款</w:t>
      </w:r>
      <w:r>
        <w:rPr>
          <w:rFonts w:hint="eastAsia" w:ascii="仿宋_GB2312" w:eastAsia="仿宋_GB2312"/>
          <w:sz w:val="28"/>
          <w:szCs w:val="28"/>
        </w:rPr>
        <w:t>。</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3646.08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19.71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5.4</w:t>
      </w:r>
      <w:r>
        <w:rPr>
          <w:rFonts w:hint="eastAsia" w:ascii="仿宋_GB2312" w:eastAsia="仿宋_GB2312"/>
          <w:sz w:val="28"/>
          <w:szCs w:val="28"/>
        </w:rPr>
        <w:t>万元增加</w:t>
      </w:r>
      <w:r>
        <w:rPr>
          <w:rFonts w:hint="eastAsia" w:ascii="仿宋_GB2312" w:eastAsia="仿宋_GB2312"/>
          <w:color w:val="000000" w:themeColor="text1"/>
          <w:sz w:val="28"/>
          <w:szCs w:val="28"/>
          <w:lang w:val="en-US" w:eastAsia="zh-CN"/>
          <w14:textFill>
            <w14:solidFill>
              <w14:schemeClr w14:val="tx1"/>
            </w14:solidFill>
          </w14:textFill>
        </w:rPr>
        <w:t>14.31</w:t>
      </w:r>
      <w:r>
        <w:rPr>
          <w:rFonts w:hint="eastAsia" w:ascii="仿宋_GB2312" w:eastAsia="仿宋_GB2312"/>
          <w:sz w:val="28"/>
          <w:szCs w:val="28"/>
        </w:rPr>
        <w:t>万元。其中：</w:t>
      </w:r>
    </w:p>
    <w:p w14:paraId="7DE97CDA">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一致</w:t>
      </w:r>
      <w:r>
        <w:rPr>
          <w:rFonts w:hint="eastAsia" w:ascii="仿宋_GB2312" w:eastAsia="仿宋_GB2312"/>
          <w:sz w:val="28"/>
          <w:szCs w:val="28"/>
        </w:rPr>
        <w:t>。主要原因：</w:t>
      </w:r>
      <w:r>
        <w:rPr>
          <w:rFonts w:hint="eastAsia" w:ascii="仿宋_GB2312" w:eastAsia="仿宋_GB2312"/>
          <w:sz w:val="28"/>
          <w:szCs w:val="28"/>
          <w:lang w:val="en-US" w:eastAsia="zh-CN"/>
        </w:rPr>
        <w:t>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w:t>
      </w:r>
      <w:r>
        <w:rPr>
          <w:rFonts w:hint="eastAsia" w:ascii="仿宋_GB2312" w:eastAsia="仿宋_GB2312"/>
          <w:sz w:val="28"/>
          <w:szCs w:val="28"/>
          <w:lang w:val="en-US" w:eastAsia="zh-CN"/>
        </w:rPr>
        <w:t>费用用于出国的会议、培训等事项，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75D43793">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19.71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w:t>
      </w:r>
      <w:r>
        <w:rPr>
          <w:rFonts w:hint="eastAsia" w:ascii="仿宋_GB2312" w:eastAsia="仿宋_GB2312"/>
          <w:sz w:val="28"/>
          <w:szCs w:val="28"/>
        </w:rPr>
        <w:t>万元增加</w:t>
      </w:r>
      <w:r>
        <w:rPr>
          <w:rFonts w:hint="eastAsia" w:ascii="仿宋_GB2312" w:eastAsia="仿宋_GB2312"/>
          <w:sz w:val="28"/>
          <w:szCs w:val="28"/>
          <w:lang w:val="en-US" w:eastAsia="zh-CN"/>
        </w:rPr>
        <w:t>14.31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sz w:val="28"/>
          <w:szCs w:val="28"/>
          <w:lang w:val="en-US" w:eastAsia="zh-CN"/>
        </w:rPr>
        <w:t>1辆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val="en-US"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1.73</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3</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bookmarkStart w:id="0" w:name="_GoBack"/>
      <w:bookmarkEnd w:id="0"/>
      <w:r>
        <w:rPr>
          <w:rFonts w:hint="eastAsia" w:ascii="黑体" w:eastAsia="黑体"/>
          <w:sz w:val="28"/>
          <w:szCs w:val="28"/>
        </w:rPr>
        <w:t>二、机关运行经费支出情况</w:t>
      </w:r>
    </w:p>
    <w:p w14:paraId="413BAB13">
      <w:pPr>
        <w:ind w:left="540"/>
        <w:rPr>
          <w:rFonts w:hint="default" w:ascii="仿宋_GB2312" w:eastAsia="仿宋_GB2312"/>
          <w:sz w:val="28"/>
          <w:szCs w:val="28"/>
          <w:lang w:val="en-US" w:eastAsia="zh-CN"/>
        </w:rPr>
      </w:pPr>
      <w:r>
        <w:rPr>
          <w:rFonts w:hint="eastAsia" w:ascii="仿宋_GB2312" w:eastAsia="仿宋_GB2312"/>
          <w:sz w:val="28"/>
          <w:szCs w:val="28"/>
          <w:lang w:val="en-US" w:eastAsia="zh-CN"/>
        </w:rPr>
        <w:t>本单位不在结构运行经费统计范围之内。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436.46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21.06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415.4</w:t>
      </w:r>
      <w:r>
        <w:rPr>
          <w:rFonts w:hint="eastAsia" w:ascii="仿宋_GB2312" w:eastAsia="仿宋_GB2312"/>
          <w:sz w:val="28"/>
          <w:szCs w:val="28"/>
        </w:rPr>
        <w:t>万元。授予中小企业合同金额</w:t>
      </w:r>
      <w:r>
        <w:rPr>
          <w:rFonts w:ascii="仿宋_GB2312" w:eastAsia="仿宋_GB2312"/>
          <w:sz w:val="28"/>
          <w:szCs w:val="28"/>
        </w:rPr>
        <w:t>436.21</w:t>
      </w:r>
      <w:r>
        <w:rPr>
          <w:rFonts w:hint="eastAsia" w:ascii="仿宋_GB2312" w:eastAsia="仿宋_GB2312"/>
          <w:sz w:val="28"/>
          <w:szCs w:val="28"/>
        </w:rPr>
        <w:t>万元，占政府采购支出总额的</w:t>
      </w:r>
      <w:r>
        <w:rPr>
          <w:rFonts w:hint="eastAsia" w:ascii="仿宋_GB2312" w:eastAsia="仿宋_GB2312"/>
          <w:sz w:val="28"/>
          <w:szCs w:val="28"/>
          <w:lang w:eastAsia="zh-CN"/>
        </w:rPr>
        <w:t>99.94</w:t>
      </w:r>
      <w:r>
        <w:rPr>
          <w:rFonts w:hint="eastAsia" w:ascii="仿宋_GB2312" w:eastAsia="仿宋_GB2312"/>
          <w:sz w:val="28"/>
          <w:szCs w:val="28"/>
        </w:rPr>
        <w:t>%，其中：授予小微企业合同金额</w:t>
      </w:r>
      <w:r>
        <w:rPr>
          <w:rFonts w:ascii="仿宋_GB2312" w:eastAsia="仿宋_GB2312"/>
          <w:sz w:val="28"/>
          <w:szCs w:val="28"/>
        </w:rPr>
        <w:t>133.19</w:t>
      </w:r>
      <w:r>
        <w:rPr>
          <w:rFonts w:hint="eastAsia" w:ascii="仿宋_GB2312" w:eastAsia="仿宋_GB2312"/>
          <w:sz w:val="28"/>
          <w:szCs w:val="28"/>
        </w:rPr>
        <w:t>万元，占政府采购支出总额的</w:t>
      </w:r>
      <w:r>
        <w:rPr>
          <w:rFonts w:ascii="仿宋_GB2312" w:eastAsia="仿宋_GB2312"/>
          <w:sz w:val="28"/>
          <w:szCs w:val="28"/>
        </w:rPr>
        <w:t>30.52</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12月31日，北京市大兴区少年宫</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color w:val="000000" w:themeColor="text1"/>
          <w:sz w:val="28"/>
          <w:szCs w:val="28"/>
          <w14:textFill>
            <w14:solidFill>
              <w14:schemeClr w14:val="tx1"/>
            </w14:solidFill>
          </w14:textFill>
        </w:rPr>
        <w:t>专业名词解释</w:t>
      </w:r>
    </w:p>
    <w:p w14:paraId="7562F01A">
      <w:pPr>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1.基本支出：指为保障机构正常运转、完成日常工作任务而发生的人员支出和公用支出。</w:t>
      </w:r>
    </w:p>
    <w:p w14:paraId="57C63D18">
      <w:pPr>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2.项目支出：指在基本支出之外为完成特定行政任务或事业发展目标所发生的支出。</w:t>
      </w:r>
    </w:p>
    <w:p w14:paraId="3E2E0621">
      <w:pPr>
        <w:ind w:firstLine="560" w:firstLineChars="200"/>
        <w:rPr>
          <w:rFonts w:ascii="仿宋_GB2312" w:eastAsia="仿宋_GB2312"/>
          <w:color w:val="auto"/>
          <w:sz w:val="28"/>
          <w:szCs w:val="28"/>
        </w:rPr>
      </w:pPr>
      <w:r>
        <w:rPr>
          <w:rFonts w:hint="eastAsia" w:ascii="仿宋_GB2312" w:eastAsia="仿宋_GB2312"/>
          <w:color w:val="auto"/>
          <w:sz w:val="28"/>
          <w:szCs w:val="28"/>
        </w:rPr>
        <w:t>3.“三公”经费：</w:t>
      </w:r>
      <w:r>
        <w:rPr>
          <w:rFonts w:hint="eastAsia" w:ascii="仿宋_GB2312" w:hAnsi="宋体" w:eastAsia="仿宋_GB2312"/>
          <w:color w:val="auto"/>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7D9CE2D">
      <w:pPr>
        <w:ind w:firstLine="560" w:firstLineChars="200"/>
        <w:rPr>
          <w:rFonts w:ascii="仿宋_GB2312" w:eastAsia="仿宋_GB2312"/>
          <w:color w:val="auto"/>
          <w:sz w:val="28"/>
          <w:szCs w:val="28"/>
        </w:rPr>
      </w:pPr>
      <w:r>
        <w:rPr>
          <w:rFonts w:hint="eastAsia" w:ascii="仿宋_GB2312" w:eastAsia="仿宋_GB2312"/>
          <w:color w:val="auto"/>
          <w:sz w:val="28"/>
          <w:szCs w:val="28"/>
          <w:lang w:val="en-US" w:eastAsia="zh-CN"/>
        </w:rPr>
        <w:t>4</w:t>
      </w:r>
      <w:r>
        <w:rPr>
          <w:rFonts w:ascii="仿宋_GB2312" w:eastAsia="仿宋_GB2312"/>
          <w:color w:val="auto"/>
          <w:sz w:val="28"/>
          <w:szCs w:val="28"/>
        </w:rPr>
        <w:t>.</w:t>
      </w:r>
      <w:r>
        <w:rPr>
          <w:rFonts w:hint="eastAsia" w:ascii="仿宋_GB2312" w:eastAsia="仿宋_GB2312"/>
          <w:color w:val="auto"/>
          <w:sz w:val="28"/>
          <w:szCs w:val="28"/>
        </w:rPr>
        <w:t>政府采购</w:t>
      </w:r>
      <w:r>
        <w:rPr>
          <w:rFonts w:ascii="仿宋_GB2312" w:eastAsia="仿宋_GB2312"/>
          <w:color w:val="auto"/>
          <w:sz w:val="28"/>
          <w:szCs w:val="28"/>
        </w:rPr>
        <w:t>：</w:t>
      </w:r>
      <w:r>
        <w:rPr>
          <w:rFonts w:hint="eastAsia" w:ascii="仿宋_GB2312" w:eastAsia="仿宋_GB2312"/>
          <w:color w:val="auto"/>
          <w:sz w:val="28"/>
          <w:szCs w:val="28"/>
        </w:rPr>
        <w:t>指</w:t>
      </w:r>
      <w:r>
        <w:rPr>
          <w:rFonts w:ascii="仿宋_GB2312" w:eastAsia="仿宋_GB2312"/>
          <w:color w:val="auto"/>
          <w:sz w:val="28"/>
          <w:szCs w:val="28"/>
        </w:rPr>
        <w:t>各级国家机关、事业单位和团体组织，使用</w:t>
      </w:r>
      <w:r>
        <w:rPr>
          <w:rFonts w:hint="eastAsia" w:ascii="仿宋_GB2312" w:eastAsia="仿宋_GB2312"/>
          <w:color w:val="auto"/>
          <w:sz w:val="28"/>
          <w:szCs w:val="28"/>
        </w:rPr>
        <w:t>财政性</w:t>
      </w:r>
      <w:r>
        <w:rPr>
          <w:rFonts w:ascii="仿宋_GB2312" w:eastAsia="仿宋_GB2312"/>
          <w:color w:val="auto"/>
          <w:sz w:val="28"/>
          <w:szCs w:val="28"/>
        </w:rPr>
        <w:t>资金采购依法制定的集中目录以内的或者采购限额标准以上的货物、工程和服务的行为</w:t>
      </w:r>
      <w:r>
        <w:rPr>
          <w:rFonts w:hint="eastAsia" w:ascii="仿宋_GB2312" w:eastAsia="仿宋_GB2312"/>
          <w:color w:val="auto"/>
          <w:sz w:val="28"/>
          <w:szCs w:val="28"/>
        </w:rPr>
        <w:t>，是规范财政支出管理和强化预算约束的有效措施</w:t>
      </w:r>
      <w:r>
        <w:rPr>
          <w:rFonts w:ascii="仿宋_GB2312" w:eastAsia="仿宋_GB2312"/>
          <w:color w:val="auto"/>
          <w:sz w:val="28"/>
          <w:szCs w:val="28"/>
        </w:rPr>
        <w:t>。</w:t>
      </w:r>
    </w:p>
    <w:p w14:paraId="24C2099A">
      <w:pPr>
        <w:numPr>
          <w:ilvl w:val="0"/>
          <w:numId w:val="0"/>
        </w:num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5.教育支出（类）普通教育（款）其他普通教育支出（项）：反映其他用于普通教育方面的支出。</w:t>
      </w:r>
    </w:p>
    <w:p w14:paraId="5010DED6">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6.教育支出（类）其他教育支出（款）其他教育支出（项）：反映其他用于教育方面的支出。</w:t>
      </w:r>
    </w:p>
    <w:p w14:paraId="23F2D482">
      <w:p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7.社会保障和就业支出（类）行政事业单位养老支出（款）事业单位离退休（项）：反映事业单位开支的离退休经费。</w:t>
      </w:r>
    </w:p>
    <w:p w14:paraId="12F3AB4D">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8.社会保障和就业支出（类）行政事业单位养老支出（款）机关事业单位基本养老保险缴费支出（项）：反映机关事业单位实施养老保险制度由单位缴纳的基本养老保险费支出。</w:t>
      </w:r>
    </w:p>
    <w:p w14:paraId="36AA15F4">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9.社会保障和就业支出（类）行政事业单位养老支出（款）机关事业单位职业年金缴费支出（项）：反映机关事业单位实施养老保险制度由单位实际缴纳的职业年金支出（含职业年金补记支出）。</w:t>
      </w:r>
    </w:p>
    <w:p w14:paraId="7F081D8A">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10.社会保障和就业支出（类）行政事业单位养老支出（款）其他行政事业单位养老支出（项）：反映其他用于行政事业单位养老方面的支出。</w:t>
      </w:r>
    </w:p>
    <w:p w14:paraId="2AB68A68">
      <w:pPr>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val="en-US" w:eastAsia="zh-CN"/>
        </w:rPr>
        <w:t>11.卫生健康支出（类）公共卫生（款）事业单位医疗（项）：反映财政部门安排的事业单位基本医疗保险缴费经费，未参加医疗保险的事业单位的公费医疗经费，按国家规定享受离休人员待遇的医疗经费。</w:t>
      </w:r>
    </w:p>
    <w:p w14:paraId="681FA81D">
      <w:pPr>
        <w:numPr>
          <w:ilvl w:val="0"/>
          <w:numId w:val="0"/>
        </w:num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12.卫生健康支出（类）行政事业单位医疗（款）公务员医疗补助（项）：反映财政部门安排的公务员医疗补助经费。</w:t>
      </w:r>
    </w:p>
    <w:p w14:paraId="6D0C9658">
      <w:pPr>
        <w:numPr>
          <w:ilvl w:val="0"/>
          <w:numId w:val="0"/>
        </w:numPr>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13.城乡社区支出（类）其他城乡社区支出（款）其他城乡社区支出（项）：反映其他用于城乡社区方面的支出。</w:t>
      </w:r>
    </w:p>
    <w:p w14:paraId="4F722E79">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001493F6">
      <w:pPr>
        <w:numPr>
          <w:ilvl w:val="0"/>
          <w:numId w:val="0"/>
        </w:numPr>
        <w:ind w:leftChars="200"/>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9A70A8"/>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426485C"/>
    <w:rsid w:val="257A14F5"/>
    <w:rsid w:val="27196C26"/>
    <w:rsid w:val="29746395"/>
    <w:rsid w:val="29EF086F"/>
    <w:rsid w:val="2BC34C59"/>
    <w:rsid w:val="2EFFE297"/>
    <w:rsid w:val="301437CA"/>
    <w:rsid w:val="349D1F0A"/>
    <w:rsid w:val="34DD0473"/>
    <w:rsid w:val="372F4456"/>
    <w:rsid w:val="3A817937"/>
    <w:rsid w:val="3A8E35DC"/>
    <w:rsid w:val="3C684897"/>
    <w:rsid w:val="433E495C"/>
    <w:rsid w:val="489F2FD7"/>
    <w:rsid w:val="4AC27CB3"/>
    <w:rsid w:val="4BF72BEF"/>
    <w:rsid w:val="4F6D530B"/>
    <w:rsid w:val="4FA90297"/>
    <w:rsid w:val="4FC41A43"/>
    <w:rsid w:val="51DB3C59"/>
    <w:rsid w:val="550C0952"/>
    <w:rsid w:val="55762E42"/>
    <w:rsid w:val="57A7B272"/>
    <w:rsid w:val="583A71B0"/>
    <w:rsid w:val="58470068"/>
    <w:rsid w:val="58747CAC"/>
    <w:rsid w:val="5A1720F9"/>
    <w:rsid w:val="5B9C37C2"/>
    <w:rsid w:val="5BA7C654"/>
    <w:rsid w:val="5DF716AE"/>
    <w:rsid w:val="5F9F507E"/>
    <w:rsid w:val="60A54109"/>
    <w:rsid w:val="60F12B9F"/>
    <w:rsid w:val="61D01CDF"/>
    <w:rsid w:val="64C0607C"/>
    <w:rsid w:val="65756C86"/>
    <w:rsid w:val="674D385B"/>
    <w:rsid w:val="676F09E1"/>
    <w:rsid w:val="6F9B24FF"/>
    <w:rsid w:val="70840239"/>
    <w:rsid w:val="711F13D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manualLayout>
          <c:layoutTarget val="inner"/>
          <c:xMode val="edge"/>
          <c:yMode val="edge"/>
          <c:x val="0.191615541922291"/>
          <c:y val="0.19855467684756"/>
          <c:w val="0.371684756960831"/>
          <c:h val="0.644341423506954"/>
        </c:manualLayout>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4399.8</c:v>
                </c:pt>
                <c:pt idx="1">
                  <c:v>0</c:v>
                </c:pt>
                <c:pt idx="2">
                  <c:v>762.45</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3"/>
        <c:delete val="1"/>
      </c:legendEntry>
      <c:legendEntry>
        <c:idx val="4"/>
        <c:delete val="1"/>
      </c:legendEntry>
      <c:legendEntry>
        <c:idx val="5"/>
        <c:delete val="1"/>
      </c:legendEntry>
      <c:layout>
        <c:manualLayout>
          <c:xMode val="edge"/>
          <c:yMode val="edge"/>
          <c:x val="0.641025641025641"/>
          <c:y val="0.727024815925825"/>
          <c:w val="0.337737926694982"/>
          <c:h val="0.184619580038178"/>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manualLayout>
          <c:layoutTarget val="inner"/>
          <c:xMode val="edge"/>
          <c:yMode val="edge"/>
          <c:x val="0.315361111111111"/>
          <c:y val="0.212986111111111"/>
          <c:w val="0.352611111111111"/>
          <c:h val="0.587685185185185"/>
        </c:manualLayout>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3646.08</c:v>
                </c:pt>
                <c:pt idx="1">
                  <c:v>1701.04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manualLayout>
          <c:xMode val="edge"/>
          <c:yMode val="edge"/>
          <c:x val="0.338333333333333"/>
          <c:y val="0.846527777777778"/>
          <c:w val="0.316388888888889"/>
          <c:h val="0.083333333333333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289</Words>
  <Characters>310</Characters>
  <Lines>44</Lines>
  <Paragraphs>12</Paragraphs>
  <TotalTime>4</TotalTime>
  <ScaleCrop>false</ScaleCrop>
  <LinksUpToDate>false</LinksUpToDate>
  <CharactersWithSpaces>323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梦</cp:lastModifiedBy>
  <cp:lastPrinted>2020-08-09T03:39:00Z</cp:lastPrinted>
  <dcterms:modified xsi:type="dcterms:W3CDTF">2025-09-29T07:24:31Z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eyJoZGlkIjoiZDFhNmMzODM4NDgyMTllNjcxZTc5MGVjMjQ4OTBhMTYiLCJ1c2VySWQiOiI2NTAxNzY5ODYifQ==</vt:lpwstr>
  </property>
</Properties>
</file>