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sz w:val="28"/>
          <w:szCs w:val="28"/>
        </w:rPr>
        <w:t>一、</w:t>
      </w:r>
      <w:r>
        <w:rPr>
          <w:rFonts w:hint="eastAsia" w:ascii="黑体" w:eastAsia="黑体"/>
          <w:sz w:val="28"/>
          <w:szCs w:val="28"/>
          <w:lang w:eastAsia="zh-CN"/>
        </w:rPr>
        <w:t>本</w:t>
      </w:r>
      <w:r>
        <w:rPr>
          <w:rFonts w:hint="eastAsia" w:ascii="黑体" w:eastAsia="黑体"/>
          <w:sz w:val="28"/>
          <w:szCs w:val="28"/>
        </w:rPr>
        <w:t>单位基本情况</w:t>
      </w:r>
    </w:p>
    <w:p>
      <w:pPr>
        <w:snapToGrid w:val="0"/>
        <w:spacing w:line="520" w:lineRule="exact"/>
        <w:ind w:firstLine="640" w:firstLineChars="200"/>
        <w:rPr>
          <w:rFonts w:hint="eastAsia" w:ascii="楷体_GB2312" w:hAnsi="仿宋" w:eastAsia="楷体_GB2312"/>
          <w:b/>
          <w:sz w:val="32"/>
          <w:szCs w:val="32"/>
          <w:highlight w:val="none"/>
          <w:u w:val="none"/>
        </w:rPr>
      </w:pPr>
      <w:r>
        <w:rPr>
          <w:rFonts w:hint="eastAsia" w:ascii="楷体_GB2312" w:hAnsi="仿宋" w:eastAsia="楷体_GB2312"/>
          <w:b/>
          <w:sz w:val="32"/>
          <w:szCs w:val="32"/>
          <w:highlight w:val="none"/>
          <w:u w:val="none"/>
        </w:rPr>
        <w:t>（一）基本情况。</w:t>
      </w:r>
    </w:p>
    <w:p>
      <w:pPr>
        <w:ind w:left="533" w:leftChars="254" w:firstLine="0" w:firstLineChars="0"/>
        <w:rPr>
          <w:rFonts w:hint="eastAsia" w:ascii="仿宋_GB2312" w:hAnsi="仿宋" w:eastAsia="仿宋_GB2312"/>
          <w:sz w:val="32"/>
          <w:szCs w:val="32"/>
          <w:highlight w:val="none"/>
        </w:rPr>
      </w:pPr>
      <w:r>
        <w:rPr>
          <w:rFonts w:hint="eastAsia" w:ascii="仿宋_GB2312" w:hAnsi="仿宋" w:eastAsia="仿宋_GB2312"/>
          <w:sz w:val="32"/>
          <w:szCs w:val="32"/>
          <w:highlight w:val="none"/>
        </w:rPr>
        <w:t>1．主要职能</w:t>
      </w:r>
      <w:r>
        <w:rPr>
          <w:rFonts w:hint="eastAsia" w:ascii="仿宋_GB2312" w:hAnsi="仿宋" w:eastAsia="仿宋_GB2312"/>
          <w:sz w:val="32"/>
          <w:szCs w:val="32"/>
          <w:highlight w:val="none"/>
          <w:lang w:eastAsia="zh-CN"/>
        </w:rPr>
        <w:t>：</w:t>
      </w:r>
      <w:r>
        <w:rPr>
          <w:rFonts w:hint="eastAsia" w:ascii="仿宋" w:hAnsi="仿宋" w:eastAsia="仿宋" w:cs="仿宋"/>
          <w:sz w:val="32"/>
          <w:szCs w:val="32"/>
          <w:lang w:eastAsia="zh-CN"/>
        </w:rPr>
        <w:t>实施初中义务教育，坚持全面发展打基础，发展个性育人才，促进基础教育发展。</w:t>
      </w:r>
    </w:p>
    <w:p>
      <w:pPr>
        <w:snapToGrid w:val="0"/>
        <w:spacing w:line="520" w:lineRule="exact"/>
        <w:ind w:left="929" w:leftChars="290" w:hanging="320" w:hangingChars="100"/>
        <w:rPr>
          <w:rFonts w:hint="eastAsia" w:ascii="仿宋_GB2312" w:hAnsi="仿宋" w:eastAsia="仿宋_GB2312"/>
          <w:sz w:val="32"/>
          <w:szCs w:val="32"/>
        </w:rPr>
      </w:pPr>
      <w:r>
        <w:rPr>
          <w:rFonts w:hint="eastAsia" w:ascii="仿宋_GB2312" w:hAnsi="仿宋" w:eastAsia="仿宋_GB2312"/>
          <w:sz w:val="32"/>
          <w:szCs w:val="32"/>
          <w:highlight w:val="none"/>
        </w:rPr>
        <w:t>2．机构情况，</w:t>
      </w:r>
      <w:r>
        <w:rPr>
          <w:rFonts w:hint="eastAsia" w:ascii="仿宋_GB2312" w:hAnsi="仿宋" w:eastAsia="仿宋_GB2312"/>
          <w:sz w:val="32"/>
          <w:szCs w:val="32"/>
          <w:highlight w:val="none"/>
          <w:lang w:eastAsia="zh-CN"/>
        </w:rPr>
        <w:t>我单位为二级预算单位，内设机构：校长室、</w:t>
      </w:r>
      <w:r>
        <w:rPr>
          <w:rFonts w:hint="eastAsia" w:ascii="仿宋_GB2312" w:hAnsi="仿宋" w:eastAsia="仿宋_GB2312"/>
          <w:sz w:val="32"/>
          <w:szCs w:val="32"/>
        </w:rPr>
        <w:t>办公室、工会、</w:t>
      </w:r>
      <w:r>
        <w:rPr>
          <w:rFonts w:hint="eastAsia" w:ascii="仿宋_GB2312" w:hAnsi="仿宋" w:eastAsia="仿宋_GB2312"/>
          <w:sz w:val="32"/>
          <w:szCs w:val="32"/>
          <w:lang w:eastAsia="zh-CN"/>
        </w:rPr>
        <w:t>教务处</w:t>
      </w:r>
      <w:r>
        <w:rPr>
          <w:rFonts w:hint="eastAsia" w:ascii="仿宋_GB2312" w:hAnsi="仿宋" w:eastAsia="仿宋_GB2312"/>
          <w:sz w:val="32"/>
          <w:szCs w:val="32"/>
        </w:rPr>
        <w:t>、</w:t>
      </w:r>
      <w:r>
        <w:rPr>
          <w:rFonts w:hint="eastAsia" w:ascii="仿宋_GB2312" w:hAnsi="仿宋" w:eastAsia="仿宋_GB2312"/>
          <w:sz w:val="32"/>
          <w:szCs w:val="32"/>
          <w:lang w:eastAsia="zh-CN"/>
        </w:rPr>
        <w:t>德育处</w:t>
      </w:r>
      <w:r>
        <w:rPr>
          <w:rFonts w:hint="eastAsia" w:ascii="仿宋_GB2312" w:hAnsi="仿宋" w:eastAsia="仿宋_GB2312"/>
          <w:sz w:val="32"/>
          <w:szCs w:val="32"/>
        </w:rPr>
        <w:t>、安保办、后勤</w:t>
      </w:r>
      <w:r>
        <w:rPr>
          <w:rFonts w:hint="eastAsia" w:ascii="仿宋_GB2312" w:hAnsi="仿宋" w:eastAsia="仿宋_GB2312"/>
          <w:sz w:val="32"/>
          <w:szCs w:val="32"/>
          <w:lang w:eastAsia="zh-CN"/>
        </w:rPr>
        <w:t>处等</w:t>
      </w:r>
      <w:r>
        <w:rPr>
          <w:rFonts w:hint="eastAsia" w:ascii="仿宋_GB2312" w:hAnsi="仿宋" w:eastAsia="仿宋_GB2312"/>
          <w:sz w:val="32"/>
          <w:szCs w:val="32"/>
        </w:rPr>
        <w:t>。</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1992.91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6.22</w:t>
      </w:r>
      <w:r>
        <w:rPr>
          <w:rFonts w:hint="eastAsia" w:ascii="仿宋_GB2312" w:eastAsia="仿宋_GB2312"/>
          <w:sz w:val="28"/>
          <w:szCs w:val="28"/>
        </w:rPr>
        <w:t>万元，下降</w:t>
      </w:r>
      <w:r>
        <w:rPr>
          <w:rFonts w:hint="eastAsia" w:ascii="仿宋_GB2312" w:eastAsia="仿宋_GB2312"/>
          <w:sz w:val="28"/>
          <w:szCs w:val="28"/>
          <w:lang w:val="en-US" w:eastAsia="zh-CN"/>
        </w:rPr>
        <w:t>0.31</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1822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74.42</w:t>
      </w:r>
      <w:r>
        <w:rPr>
          <w:rFonts w:hint="eastAsia" w:ascii="仿宋_GB2312" w:eastAsia="仿宋_GB2312"/>
          <w:sz w:val="28"/>
          <w:szCs w:val="28"/>
        </w:rPr>
        <w:t>万元，下降</w:t>
      </w:r>
      <w:r>
        <w:rPr>
          <w:rFonts w:hint="eastAsia" w:ascii="仿宋_GB2312" w:eastAsia="仿宋_GB2312"/>
          <w:sz w:val="28"/>
          <w:szCs w:val="28"/>
          <w:lang w:val="en-US" w:eastAsia="zh-CN"/>
        </w:rPr>
        <w:t>3.92</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left="558" w:leftChars="266" w:firstLine="0" w:firstLineChars="0"/>
        <w:rPr>
          <w:rFonts w:hint="eastAsia" w:ascii="仿宋_GB2312" w:eastAsia="仿宋_GB2312"/>
          <w:sz w:val="28"/>
          <w:szCs w:val="28"/>
          <w:highlight w:val="none"/>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1822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1822</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bookmarkStart w:id="0" w:name="_GoBack"/>
      <w:bookmarkEnd w:id="0"/>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rPr>
          <w:rFonts w:hint="eastAsia"/>
          <w:lang w:val="en-US" w:eastAsia="zh-CN"/>
        </w:rPr>
      </w:pPr>
      <w:r>
        <w:rPr>
          <w:rFonts w:hint="eastAsia" w:ascii="宋体" w:hAnsi="宋体" w:eastAsia="宋体" w:cs="宋体"/>
          <w:i w:val="0"/>
          <w:color w:val="000000"/>
          <w:kern w:val="0"/>
          <w:sz w:val="24"/>
          <w:szCs w:val="24"/>
          <w:u w:val="none"/>
          <w:lang w:val="en-US" w:eastAsia="zh-CN" w:bidi="ar"/>
        </w:rPr>
        <w:drawing>
          <wp:anchor distT="0" distB="0" distL="114300" distR="114300" simplePos="0" relativeHeight="251667456" behindDoc="0" locked="0" layoutInCell="1" allowOverlap="1">
            <wp:simplePos x="0" y="0"/>
            <wp:positionH relativeFrom="column">
              <wp:posOffset>2473325</wp:posOffset>
            </wp:positionH>
            <wp:positionV relativeFrom="paragraph">
              <wp:posOffset>-87630</wp:posOffset>
            </wp:positionV>
            <wp:extent cx="3791585" cy="1980565"/>
            <wp:effectExtent l="0" t="0" r="18415" b="635"/>
            <wp:wrapNone/>
            <wp:docPr id="2" name="图表_1"/>
            <wp:cNvGraphicFramePr/>
            <a:graphic xmlns:a="http://schemas.openxmlformats.org/drawingml/2006/main">
              <a:graphicData uri="http://schemas.openxmlformats.org/drawingml/2006/picture">
                <pic:pic xmlns:pic="http://schemas.openxmlformats.org/drawingml/2006/picture">
                  <pic:nvPicPr>
                    <pic:cNvPr id="2" name="图表_1"/>
                    <pic:cNvPicPr/>
                  </pic:nvPicPr>
                  <pic:blipFill>
                    <a:blip r:embed="rId7"/>
                    <a:stretch>
                      <a:fillRect/>
                    </a:stretch>
                  </pic:blipFill>
                  <pic:spPr>
                    <a:xfrm>
                      <a:off x="0" y="0"/>
                      <a:ext cx="3791585" cy="1980565"/>
                    </a:xfrm>
                    <a:prstGeom prst="rect">
                      <a:avLst/>
                    </a:prstGeom>
                    <a:noFill/>
                    <a:ln>
                      <a:noFill/>
                    </a:ln>
                  </pic:spPr>
                </pic:pic>
              </a:graphicData>
            </a:graphic>
          </wp:anchor>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rPr>
          <w:rFonts w:hint="eastAsia" w:ascii="仿宋_GB2312" w:eastAsia="仿宋_GB2312"/>
          <w:sz w:val="28"/>
          <w:szCs w:val="28"/>
        </w:rPr>
      </w:pPr>
    </w:p>
    <w:p>
      <w:pPr>
        <w:tabs>
          <w:tab w:val="center" w:pos="6979"/>
        </w:tabs>
        <w:spacing w:line="580" w:lineRule="exact"/>
        <w:rPr>
          <w:rFonts w:hint="eastAsia" w:ascii="仿宋_GB2312" w:eastAsia="仿宋_GB2312"/>
          <w:sz w:val="28"/>
          <w:szCs w:val="28"/>
        </w:rPr>
      </w:pPr>
    </w:p>
    <w:p>
      <w:pPr>
        <w:tabs>
          <w:tab w:val="center" w:pos="6979"/>
        </w:tabs>
        <w:spacing w:line="580" w:lineRule="exact"/>
        <w:rPr>
          <w:rFonts w:hint="eastAsia" w:ascii="仿宋_GB2312" w:eastAsia="仿宋_GB2312"/>
          <w:sz w:val="28"/>
          <w:szCs w:val="28"/>
        </w:rPr>
      </w:pPr>
    </w:p>
    <w:p>
      <w:pPr>
        <w:tabs>
          <w:tab w:val="center" w:pos="6979"/>
        </w:tabs>
        <w:spacing w:line="580" w:lineRule="exact"/>
        <w:rPr>
          <w:rFonts w:hint="eastAsia" w:ascii="仿宋_GB2312" w:eastAsia="仿宋_GB2312"/>
          <w:sz w:val="28"/>
          <w:szCs w:val="28"/>
        </w:rPr>
      </w:pPr>
    </w:p>
    <w:p>
      <w:pPr>
        <w:tabs>
          <w:tab w:val="center" w:pos="6979"/>
        </w:tabs>
        <w:spacing w:line="580" w:lineRule="exact"/>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1992.91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6.22</w:t>
      </w:r>
      <w:r>
        <w:rPr>
          <w:rFonts w:hint="eastAsia" w:ascii="仿宋_GB2312" w:eastAsia="仿宋_GB2312"/>
          <w:sz w:val="28"/>
          <w:szCs w:val="28"/>
        </w:rPr>
        <w:t>万元，下降</w:t>
      </w:r>
      <w:r>
        <w:rPr>
          <w:rFonts w:hint="eastAsia" w:ascii="仿宋_GB2312" w:eastAsia="仿宋_GB2312"/>
          <w:sz w:val="28"/>
          <w:szCs w:val="28"/>
          <w:lang w:val="en-US" w:eastAsia="zh-CN"/>
        </w:rPr>
        <w:t>0.31</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1835.1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92.08</w:t>
      </w:r>
      <w:r>
        <w:rPr>
          <w:rFonts w:hint="eastAsia" w:ascii="仿宋_GB2312" w:eastAsia="仿宋_GB2312"/>
          <w:sz w:val="28"/>
          <w:szCs w:val="28"/>
          <w:highlight w:val="none"/>
        </w:rPr>
        <w:t>%；项目支出</w:t>
      </w:r>
      <w:r>
        <w:rPr>
          <w:rFonts w:ascii="仿宋_GB2312" w:eastAsia="仿宋_GB2312"/>
          <w:sz w:val="28"/>
          <w:szCs w:val="28"/>
          <w:highlight w:val="none"/>
        </w:rPr>
        <w:t>157.81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7.92</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p>
    <w:p>
      <w:pPr>
        <w:tabs>
          <w:tab w:val="center" w:pos="6979"/>
        </w:tabs>
        <w:spacing w:line="580" w:lineRule="exact"/>
        <w:ind w:firstLine="470" w:firstLineChars="196"/>
        <w:rPr>
          <w:rFonts w:hint="eastAsia" w:ascii="黑体" w:eastAsia="黑体"/>
          <w:b/>
          <w:sz w:val="28"/>
          <w:szCs w:val="28"/>
        </w:rPr>
      </w:pPr>
      <w:r>
        <w:rPr>
          <w:rFonts w:hint="eastAsia" w:ascii="宋体" w:hAnsi="宋体" w:eastAsia="宋体" w:cs="宋体"/>
          <w:i w:val="0"/>
          <w:color w:val="000000"/>
          <w:kern w:val="0"/>
          <w:sz w:val="24"/>
          <w:szCs w:val="24"/>
          <w:u w:val="none"/>
          <w:lang w:val="en-US" w:eastAsia="zh-CN" w:bidi="ar"/>
        </w:rPr>
        <w:drawing>
          <wp:anchor distT="0" distB="0" distL="114300" distR="114300" simplePos="0" relativeHeight="251670528" behindDoc="0" locked="0" layoutInCell="1" allowOverlap="1">
            <wp:simplePos x="0" y="0"/>
            <wp:positionH relativeFrom="column">
              <wp:posOffset>3058795</wp:posOffset>
            </wp:positionH>
            <wp:positionV relativeFrom="paragraph">
              <wp:posOffset>14605</wp:posOffset>
            </wp:positionV>
            <wp:extent cx="3350895" cy="2491740"/>
            <wp:effectExtent l="0" t="0" r="1905" b="3810"/>
            <wp:wrapNone/>
            <wp:docPr id="5" name="图表_1"/>
            <wp:cNvGraphicFramePr/>
            <a:graphic xmlns:a="http://schemas.openxmlformats.org/drawingml/2006/main">
              <a:graphicData uri="http://schemas.openxmlformats.org/drawingml/2006/picture">
                <pic:pic xmlns:pic="http://schemas.openxmlformats.org/drawingml/2006/picture">
                  <pic:nvPicPr>
                    <pic:cNvPr id="5" name="图表_1"/>
                    <pic:cNvPicPr/>
                  </pic:nvPicPr>
                  <pic:blipFill>
                    <a:blip r:embed="rId8"/>
                    <a:stretch>
                      <a:fillRect/>
                    </a:stretch>
                  </pic:blipFill>
                  <pic:spPr>
                    <a:xfrm>
                      <a:off x="0" y="0"/>
                      <a:ext cx="3350895" cy="2491740"/>
                    </a:xfrm>
                    <a:prstGeom prst="rect">
                      <a:avLst/>
                    </a:prstGeom>
                    <a:noFill/>
                    <a:ln>
                      <a:noFill/>
                    </a:ln>
                  </pic:spPr>
                </pic:pic>
              </a:graphicData>
            </a:graphic>
          </wp:anchor>
        </w:drawing>
      </w:r>
    </w:p>
    <w:p>
      <w:pPr>
        <w:tabs>
          <w:tab w:val="center" w:pos="6979"/>
        </w:tabs>
        <w:spacing w:line="580" w:lineRule="exact"/>
        <w:ind w:firstLine="548" w:firstLineChars="196"/>
        <w:rPr>
          <w:rFonts w:hint="eastAsia" w:ascii="黑体" w:eastAsia="黑体"/>
          <w:b/>
          <w:sz w:val="28"/>
          <w:szCs w:val="28"/>
        </w:rPr>
      </w:pPr>
    </w:p>
    <w:p>
      <w:pPr>
        <w:tabs>
          <w:tab w:val="center" w:pos="6979"/>
        </w:tabs>
        <w:spacing w:line="580" w:lineRule="exact"/>
        <w:ind w:firstLine="548" w:firstLineChars="196"/>
        <w:rPr>
          <w:rFonts w:hint="eastAsia" w:ascii="黑体" w:eastAsia="黑体"/>
          <w:b/>
          <w:sz w:val="28"/>
          <w:szCs w:val="28"/>
        </w:rPr>
      </w:pPr>
    </w:p>
    <w:p>
      <w:pPr>
        <w:tabs>
          <w:tab w:val="center" w:pos="6979"/>
        </w:tabs>
        <w:spacing w:line="580" w:lineRule="exact"/>
        <w:rPr>
          <w:rFonts w:hint="eastAsia" w:ascii="黑体" w:eastAsia="黑体"/>
          <w:b/>
          <w:sz w:val="28"/>
          <w:szCs w:val="28"/>
        </w:rPr>
      </w:pPr>
    </w:p>
    <w:p>
      <w:pPr>
        <w:tabs>
          <w:tab w:val="center" w:pos="6979"/>
        </w:tabs>
        <w:spacing w:line="580" w:lineRule="exact"/>
        <w:rPr>
          <w:rFonts w:hint="eastAsia" w:ascii="黑体" w:eastAsia="黑体"/>
          <w:b/>
          <w:sz w:val="28"/>
          <w:szCs w:val="28"/>
        </w:rPr>
      </w:pPr>
    </w:p>
    <w:p>
      <w:pPr>
        <w:tabs>
          <w:tab w:val="center" w:pos="6979"/>
        </w:tabs>
        <w:spacing w:line="580" w:lineRule="exact"/>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1992.91</w:t>
      </w:r>
      <w:r>
        <w:rPr>
          <w:rFonts w:hint="eastAsia" w:ascii="仿宋_GB2312" w:eastAsia="仿宋_GB2312"/>
          <w:sz w:val="28"/>
          <w:szCs w:val="28"/>
        </w:rPr>
        <w:t>万元，比上年减少</w:t>
      </w:r>
      <w:r>
        <w:rPr>
          <w:rFonts w:hint="eastAsia" w:ascii="仿宋_GB2312" w:eastAsia="仿宋_GB2312"/>
          <w:sz w:val="28"/>
          <w:szCs w:val="28"/>
          <w:lang w:val="en-US" w:eastAsia="zh-CN"/>
        </w:rPr>
        <w:t>6.22</w:t>
      </w:r>
      <w:r>
        <w:rPr>
          <w:rFonts w:hint="eastAsia" w:ascii="仿宋_GB2312" w:eastAsia="仿宋_GB2312"/>
          <w:sz w:val="28"/>
          <w:szCs w:val="28"/>
        </w:rPr>
        <w:t>万元，下降</w:t>
      </w:r>
      <w:r>
        <w:rPr>
          <w:rFonts w:hint="eastAsia" w:ascii="仿宋_GB2312" w:eastAsia="仿宋_GB2312"/>
          <w:sz w:val="28"/>
          <w:szCs w:val="28"/>
          <w:lang w:val="en-US" w:eastAsia="zh-CN"/>
        </w:rPr>
        <w:t>0.31</w:t>
      </w:r>
      <w:r>
        <w:rPr>
          <w:rFonts w:hint="eastAsia" w:ascii="仿宋_GB2312" w:eastAsia="仿宋_GB2312"/>
          <w:sz w:val="28"/>
          <w:szCs w:val="28"/>
        </w:rPr>
        <w:t>%。主要原因：</w:t>
      </w:r>
      <w:r>
        <w:rPr>
          <w:rFonts w:hint="eastAsia" w:ascii="仿宋_GB2312" w:eastAsia="仿宋_GB2312"/>
          <w:sz w:val="28"/>
          <w:szCs w:val="28"/>
          <w:lang w:eastAsia="zh-CN"/>
        </w:rPr>
        <w:t>本年度的房补支出比上年度减少。</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1992.91</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1463.68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73.44</w:t>
      </w:r>
      <w:r>
        <w:rPr>
          <w:rFonts w:hint="eastAsia" w:ascii="仿宋_GB2312" w:eastAsia="仿宋_GB2312"/>
          <w:sz w:val="28"/>
          <w:szCs w:val="28"/>
        </w:rPr>
        <w:t xml:space="preserve">%； </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223.61，占本年财政拨款支出11.22% 卫生健康支出134.71，</w:t>
      </w:r>
      <w:r>
        <w:rPr>
          <w:rFonts w:hint="eastAsia" w:ascii="仿宋_GB2312" w:eastAsia="仿宋_GB2312"/>
          <w:sz w:val="28"/>
          <w:szCs w:val="28"/>
        </w:rPr>
        <w:t>占本年财政拨款支出</w:t>
      </w:r>
      <w:r>
        <w:rPr>
          <w:rFonts w:hint="eastAsia" w:ascii="仿宋_GB2312" w:eastAsia="仿宋_GB2312"/>
          <w:sz w:val="28"/>
          <w:szCs w:val="28"/>
          <w:lang w:val="en-US" w:eastAsia="zh-CN"/>
        </w:rPr>
        <w:t>6.76</w:t>
      </w:r>
      <w:r>
        <w:rPr>
          <w:rFonts w:hint="eastAsia" w:ascii="仿宋_GB2312" w:eastAsia="仿宋_GB2312"/>
          <w:sz w:val="28"/>
          <w:szCs w:val="28"/>
        </w:rPr>
        <w:t>%.</w:t>
      </w:r>
      <w:r>
        <w:rPr>
          <w:rFonts w:hint="eastAsia" w:ascii="仿宋_GB2312" w:eastAsia="仿宋_GB2312"/>
          <w:sz w:val="28"/>
          <w:szCs w:val="28"/>
          <w:lang w:val="en-US" w:eastAsia="zh-CN"/>
        </w:rPr>
        <w:t>;</w:t>
      </w:r>
      <w:r>
        <w:rPr>
          <w:rFonts w:hint="eastAsia" w:ascii="仿宋_GB2312" w:eastAsia="仿宋_GB2312"/>
          <w:sz w:val="28"/>
          <w:szCs w:val="28"/>
          <w:lang w:eastAsia="zh-CN"/>
        </w:rPr>
        <w:t>住房保障支出</w:t>
      </w:r>
      <w:r>
        <w:rPr>
          <w:rFonts w:hint="eastAsia" w:ascii="仿宋_GB2312" w:eastAsia="仿宋_GB2312"/>
          <w:sz w:val="28"/>
          <w:szCs w:val="28"/>
          <w:lang w:val="en-US" w:eastAsia="zh-CN"/>
        </w:rPr>
        <w:t>170.91，</w:t>
      </w:r>
      <w:r>
        <w:rPr>
          <w:rFonts w:hint="eastAsia" w:ascii="仿宋_GB2312" w:eastAsia="仿宋_GB2312"/>
          <w:sz w:val="28"/>
          <w:szCs w:val="28"/>
        </w:rPr>
        <w:t>占本年财政拨款支出</w:t>
      </w:r>
      <w:r>
        <w:rPr>
          <w:rFonts w:hint="eastAsia" w:ascii="仿宋_GB2312" w:eastAsia="仿宋_GB2312"/>
          <w:sz w:val="28"/>
          <w:szCs w:val="28"/>
          <w:lang w:val="en-US" w:eastAsia="zh-CN"/>
        </w:rPr>
        <w:t>8.58</w:t>
      </w:r>
      <w:r>
        <w:rPr>
          <w:rFonts w:hint="eastAsia" w:ascii="仿宋_GB2312" w:eastAsia="仿宋_GB2312"/>
          <w:sz w:val="28"/>
          <w:szCs w:val="28"/>
        </w:rPr>
        <w:t>%</w:t>
      </w:r>
      <w:r>
        <w:rPr>
          <w:rFonts w:hint="eastAsia" w:ascii="仿宋_GB2312" w:eastAsia="仿宋_GB2312"/>
          <w:sz w:val="28"/>
          <w:szCs w:val="28"/>
          <w:lang w:val="en-US" w:eastAsia="zh-CN"/>
        </w:rPr>
        <w:t xml:space="preserve"> </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1.“</w:t>
      </w:r>
      <w:r>
        <w:rPr>
          <w:rFonts w:hint="eastAsia" w:ascii="仿宋_GB2312" w:eastAsia="仿宋_GB2312"/>
          <w:sz w:val="28"/>
          <w:szCs w:val="28"/>
          <w:lang w:eastAsia="zh-CN"/>
        </w:rPr>
        <w:t>教育支出</w:t>
      </w:r>
      <w:r>
        <w:rPr>
          <w:rFonts w:hint="eastAsia" w:ascii="仿宋_GB2312" w:eastAsia="仿宋_GB2312"/>
          <w:sz w:val="28"/>
          <w:szCs w:val="28"/>
        </w:rPr>
        <w:t>”</w:t>
      </w:r>
      <w:r>
        <w:rPr>
          <w:rFonts w:hint="eastAsia" w:ascii="仿宋_GB2312" w:eastAsia="仿宋_GB2312"/>
          <w:sz w:val="28"/>
          <w:szCs w:val="28"/>
          <w:lang w:eastAsia="zh-CN"/>
        </w:rPr>
        <w:t>（类）</w:t>
      </w:r>
      <w:r>
        <w:rPr>
          <w:rFonts w:hint="eastAsia" w:ascii="仿宋_GB2312" w:eastAsia="仿宋_GB2312"/>
          <w:sz w:val="28"/>
          <w:szCs w:val="28"/>
        </w:rPr>
        <w:t>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1435.04万元，2024年度决算1463.68万元，完成年初预算的102%.</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其中普通教育（款）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1435.04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1428.98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99.58</w:t>
      </w:r>
      <w:r>
        <w:rPr>
          <w:rFonts w:hint="eastAsia" w:ascii="仿宋_GB2312" w:eastAsia="仿宋_GB2312"/>
          <w:sz w:val="28"/>
          <w:szCs w:val="28"/>
        </w:rPr>
        <w:t>%。主要原因：</w:t>
      </w:r>
      <w:r>
        <w:rPr>
          <w:rFonts w:hint="eastAsia" w:ascii="仿宋_GB2312" w:eastAsia="仿宋_GB2312"/>
          <w:sz w:val="28"/>
          <w:szCs w:val="28"/>
          <w:lang w:eastAsia="zh-CN"/>
        </w:rPr>
        <w:t>本单位项目支出节约预算，多余金额已退回财政</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eastAsia="zh-CN"/>
        </w:rPr>
        <w:t>教育费附加安排的支出（款）</w:t>
      </w:r>
      <w:r>
        <w:rPr>
          <w:rFonts w:hint="eastAsia" w:ascii="仿宋_GB2312" w:eastAsia="仿宋_GB2312"/>
          <w:sz w:val="28"/>
          <w:szCs w:val="28"/>
        </w:rPr>
        <w:t>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0，2024年度决算34.70万元，主要原因：此项支出属于追加预算。</w:t>
      </w:r>
    </w:p>
    <w:p>
      <w:pPr>
        <w:numPr>
          <w:ilvl w:val="0"/>
          <w:numId w:val="1"/>
        </w:num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年初预算数</w:t>
      </w:r>
      <w:r>
        <w:rPr>
          <w:rFonts w:hint="eastAsia" w:ascii="仿宋_GB2312" w:eastAsia="仿宋_GB2312"/>
          <w:sz w:val="28"/>
          <w:szCs w:val="28"/>
          <w:lang w:val="en-US" w:eastAsia="zh-CN"/>
        </w:rPr>
        <w:t>221.18万元，2024年度决算223.61万元，完成年初预算的101%。</w:t>
      </w:r>
    </w:p>
    <w:p>
      <w:pPr>
        <w:numPr>
          <w:ilvl w:val="0"/>
          <w:numId w:val="0"/>
        </w:num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eastAsia="zh-CN"/>
        </w:rPr>
        <w:t>其中行政事业单位养老支出（款）</w:t>
      </w:r>
      <w:r>
        <w:rPr>
          <w:rFonts w:hint="eastAsia" w:ascii="仿宋_GB2312" w:eastAsia="仿宋_GB2312"/>
          <w:sz w:val="28"/>
          <w:szCs w:val="28"/>
          <w:lang w:val="en-US" w:eastAsia="zh-CN"/>
        </w:rPr>
        <w:t>2024年度预算221.18万元，</w:t>
      </w:r>
      <w:r>
        <w:rPr>
          <w:rFonts w:hint="eastAsia" w:ascii="仿宋_GB2312" w:eastAsia="仿宋_GB2312"/>
          <w:sz w:val="28"/>
          <w:szCs w:val="28"/>
        </w:rPr>
        <w:t>2024年度决算</w:t>
      </w:r>
      <w:r>
        <w:rPr>
          <w:rFonts w:hint="eastAsia" w:ascii="仿宋_GB2312" w:eastAsia="仿宋_GB2312"/>
          <w:sz w:val="28"/>
          <w:szCs w:val="28"/>
          <w:lang w:val="en-US" w:eastAsia="zh-CN"/>
        </w:rPr>
        <w:t>223.61</w:t>
      </w:r>
      <w:r>
        <w:rPr>
          <w:rFonts w:hint="eastAsia" w:ascii="仿宋_GB2312" w:eastAsia="仿宋_GB2312"/>
          <w:sz w:val="28"/>
          <w:szCs w:val="28"/>
        </w:rPr>
        <w:t>万元，</w:t>
      </w:r>
      <w:r>
        <w:rPr>
          <w:rFonts w:hint="eastAsia" w:ascii="仿宋_GB2312" w:eastAsia="仿宋_GB2312"/>
          <w:sz w:val="28"/>
          <w:szCs w:val="28"/>
          <w:lang w:val="en-US" w:eastAsia="zh-CN"/>
        </w:rPr>
        <w:t>完成年初预算的101%。主要原因：养老保险及职业年金核算基数提高。</w:t>
      </w:r>
    </w:p>
    <w:p>
      <w:pPr>
        <w:numPr>
          <w:ilvl w:val="0"/>
          <w:numId w:val="0"/>
        </w:numPr>
        <w:spacing w:line="580" w:lineRule="exact"/>
        <w:rPr>
          <w:rFonts w:hint="eastAsia" w:ascii="仿宋_GB2312" w:eastAsia="仿宋_GB2312"/>
          <w:sz w:val="28"/>
          <w:szCs w:val="28"/>
        </w:rPr>
      </w:pPr>
    </w:p>
    <w:p>
      <w:pPr>
        <w:numPr>
          <w:ilvl w:val="0"/>
          <w:numId w:val="1"/>
        </w:numPr>
        <w:spacing w:line="580" w:lineRule="exact"/>
        <w:ind w:left="0" w:leftChars="0"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rPr>
        <w:t>”（类）2024年度年初预算</w:t>
      </w:r>
      <w:r>
        <w:rPr>
          <w:rFonts w:hint="eastAsia" w:ascii="仿宋_GB2312" w:eastAsia="仿宋_GB2312"/>
          <w:sz w:val="28"/>
          <w:szCs w:val="28"/>
          <w:lang w:val="en-US" w:eastAsia="zh-CN"/>
        </w:rPr>
        <w:t>144.4万元，</w:t>
      </w:r>
      <w:r>
        <w:rPr>
          <w:rFonts w:hint="eastAsia" w:ascii="仿宋_GB2312" w:eastAsia="仿宋_GB2312"/>
          <w:sz w:val="28"/>
          <w:szCs w:val="28"/>
        </w:rPr>
        <w:t>2024年度决算</w:t>
      </w:r>
      <w:r>
        <w:rPr>
          <w:rFonts w:hint="eastAsia" w:ascii="仿宋_GB2312" w:eastAsia="仿宋_GB2312"/>
          <w:sz w:val="28"/>
          <w:szCs w:val="28"/>
          <w:lang w:val="en-US" w:eastAsia="zh-CN"/>
        </w:rPr>
        <w:t>134.71</w:t>
      </w:r>
      <w:r>
        <w:rPr>
          <w:rFonts w:hint="eastAsia" w:ascii="仿宋_GB2312" w:eastAsia="仿宋_GB2312"/>
          <w:sz w:val="28"/>
          <w:szCs w:val="28"/>
        </w:rPr>
        <w:t>万元，</w:t>
      </w:r>
      <w:r>
        <w:rPr>
          <w:rFonts w:hint="eastAsia" w:ascii="仿宋_GB2312" w:eastAsia="仿宋_GB2312"/>
          <w:sz w:val="28"/>
          <w:szCs w:val="28"/>
          <w:lang w:val="en-US" w:eastAsia="zh-CN"/>
        </w:rPr>
        <w:t>完成年初预算的93.29%</w:t>
      </w:r>
    </w:p>
    <w:p>
      <w:pPr>
        <w:numPr>
          <w:ilvl w:val="0"/>
          <w:numId w:val="0"/>
        </w:numPr>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eastAsia="zh-CN"/>
        </w:rPr>
        <w:t>其中行政事业单位医疗（款）</w:t>
      </w:r>
      <w:r>
        <w:rPr>
          <w:rFonts w:hint="eastAsia" w:ascii="仿宋_GB2312" w:eastAsia="仿宋_GB2312"/>
          <w:sz w:val="28"/>
          <w:szCs w:val="28"/>
        </w:rPr>
        <w:t>2024年度年初预算</w:t>
      </w:r>
      <w:r>
        <w:rPr>
          <w:rFonts w:hint="eastAsia" w:ascii="仿宋_GB2312" w:eastAsia="仿宋_GB2312"/>
          <w:sz w:val="28"/>
          <w:szCs w:val="28"/>
          <w:lang w:val="en-US" w:eastAsia="zh-CN"/>
        </w:rPr>
        <w:t>144.4万元，</w:t>
      </w:r>
      <w:r>
        <w:rPr>
          <w:rFonts w:hint="eastAsia" w:ascii="仿宋_GB2312" w:eastAsia="仿宋_GB2312"/>
          <w:sz w:val="28"/>
          <w:szCs w:val="28"/>
        </w:rPr>
        <w:t>2024年度决算</w:t>
      </w:r>
      <w:r>
        <w:rPr>
          <w:rFonts w:hint="eastAsia" w:ascii="仿宋_GB2312" w:eastAsia="仿宋_GB2312"/>
          <w:sz w:val="28"/>
          <w:szCs w:val="28"/>
          <w:lang w:val="en-US" w:eastAsia="zh-CN"/>
        </w:rPr>
        <w:t>134.71</w:t>
      </w:r>
      <w:r>
        <w:rPr>
          <w:rFonts w:hint="eastAsia" w:ascii="仿宋_GB2312" w:eastAsia="仿宋_GB2312"/>
          <w:sz w:val="28"/>
          <w:szCs w:val="28"/>
        </w:rPr>
        <w:t>万元，</w:t>
      </w:r>
      <w:r>
        <w:rPr>
          <w:rFonts w:hint="eastAsia" w:ascii="仿宋_GB2312" w:eastAsia="仿宋_GB2312"/>
          <w:sz w:val="28"/>
          <w:szCs w:val="28"/>
          <w:lang w:val="en-US" w:eastAsia="zh-CN"/>
        </w:rPr>
        <w:t>完成年初预算的93.29%</w:t>
      </w:r>
    </w:p>
    <w:p>
      <w:pPr>
        <w:snapToGrid w:val="0"/>
        <w:spacing w:line="52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主要原因：</w:t>
      </w:r>
      <w:r>
        <w:rPr>
          <w:rFonts w:hint="eastAsia" w:ascii="仿宋_GB2312" w:eastAsia="仿宋_GB2312"/>
          <w:sz w:val="28"/>
          <w:szCs w:val="28"/>
          <w:lang w:val="en-US" w:eastAsia="zh-CN"/>
        </w:rPr>
        <w:t>本年比上年减少3人，所以相应减少医疗保险等。</w:t>
      </w:r>
    </w:p>
    <w:p>
      <w:pPr>
        <w:pStyle w:val="2"/>
        <w:numPr>
          <w:ilvl w:val="0"/>
          <w:numId w:val="1"/>
        </w:numPr>
        <w:ind w:left="0" w:leftChars="0" w:firstLine="560" w:firstLineChars="200"/>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“住房保障支出”（类）2024年度预算0万元，2024年度决算170.91万元。</w:t>
      </w:r>
    </w:p>
    <w:p>
      <w:pPr>
        <w:pStyle w:val="2"/>
        <w:numPr>
          <w:ilvl w:val="0"/>
          <w:numId w:val="0"/>
        </w:numPr>
        <w:ind w:leftChars="200"/>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其中住房改革支出（款）2024年度预算0万元，2024年度决算170.91万元，主要原因：此项支出属于追加预算。</w:t>
      </w:r>
    </w:p>
    <w:p>
      <w:pPr>
        <w:pStyle w:val="2"/>
        <w:ind w:firstLine="56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60" w:lineRule="exact"/>
        <w:ind w:firstLine="420" w:firstLineChars="150"/>
        <w:rPr>
          <w:rFonts w:ascii="仿宋_GB2312" w:eastAsia="仿宋_GB2312"/>
          <w:sz w:val="28"/>
          <w:szCs w:val="28"/>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48" w:firstLineChars="196"/>
        <w:rPr>
          <w:rFonts w:hint="eastAsia" w:ascii="仿宋_GB2312" w:eastAsia="仿宋_GB2312"/>
          <w:sz w:val="28"/>
          <w:szCs w:val="28"/>
        </w:rPr>
      </w:pPr>
      <w:r>
        <w:rPr>
          <w:rFonts w:hint="eastAsia" w:ascii="黑体" w:eastAsia="黑体"/>
          <w:sz w:val="28"/>
          <w:szCs w:val="28"/>
          <w:lang w:eastAsia="zh-CN"/>
        </w:rPr>
        <w:t>本</w:t>
      </w:r>
      <w:r>
        <w:rPr>
          <w:rFonts w:hint="eastAsia" w:ascii="仿宋_GB2312" w:eastAsia="仿宋_GB2312"/>
          <w:sz w:val="28"/>
          <w:szCs w:val="28"/>
        </w:rPr>
        <w:t>单位2024年度无国有资本经营预算财</w:t>
      </w:r>
      <w:r>
        <w:rPr>
          <w:rFonts w:ascii="仿宋_GB2312" w:eastAsia="仿宋_GB2312"/>
          <w:sz w:val="28"/>
          <w:szCs w:val="28"/>
        </w:rPr>
        <w:t>政拨款</w:t>
      </w:r>
      <w:r>
        <w:rPr>
          <w:rFonts w:hint="eastAsia" w:ascii="仿宋_GB2312" w:eastAsia="仿宋_GB2312"/>
          <w:sz w:val="28"/>
          <w:szCs w:val="28"/>
        </w:rPr>
        <w:t>安排的支出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1835.1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；（2）商品和服务支出包括</w:t>
      </w:r>
      <w:r>
        <w:rPr>
          <w:rFonts w:ascii="仿宋_GB2312" w:eastAsia="仿宋_GB2312"/>
          <w:sz w:val="28"/>
          <w:szCs w:val="28"/>
        </w:rPr>
        <w:t>办公费、咨询费、手续费、水费、电费、邮电费、取暖费、物业管理费、差旅费、维修（护）费、培训费、劳务费、委托业务费、福利费、公务用车运行维护费、其他商品和服务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退休费、抚恤金、生活补助、助学金、奖励金</w:t>
      </w:r>
      <w:r>
        <w:rPr>
          <w:rFonts w:hint="eastAsia"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0.55</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2.7</w:t>
      </w:r>
      <w:r>
        <w:rPr>
          <w:rFonts w:hint="eastAsia" w:ascii="仿宋_GB2312" w:eastAsia="仿宋_GB2312"/>
          <w:sz w:val="28"/>
          <w:szCs w:val="28"/>
        </w:rPr>
        <w:t>万元减少</w:t>
      </w:r>
      <w:r>
        <w:rPr>
          <w:rFonts w:hint="eastAsia" w:ascii="仿宋_GB2312" w:eastAsia="仿宋_GB2312"/>
          <w:sz w:val="28"/>
          <w:szCs w:val="28"/>
          <w:lang w:val="en-US" w:eastAsia="zh-CN"/>
        </w:rPr>
        <w:t>2.15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其中：</w:t>
      </w:r>
    </w:p>
    <w:p>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因公出国（境）费用</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公务接待费</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0万</w:t>
      </w:r>
      <w:r>
        <w:rPr>
          <w:rFonts w:hint="eastAsia" w:ascii="仿宋_GB2312" w:eastAsia="仿宋_GB2312"/>
          <w:sz w:val="28"/>
          <w:szCs w:val="28"/>
        </w:rPr>
        <w:t>元减少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w:t>
      </w:r>
      <w:r>
        <w:rPr>
          <w:rFonts w:hint="eastAsia" w:ascii="仿宋_GB2312" w:eastAsia="仿宋_GB2312"/>
          <w:sz w:val="28"/>
          <w:szCs w:val="28"/>
          <w:lang w:val="en-US" w:eastAsia="zh-CN"/>
        </w:rPr>
        <w:t>:</w:t>
      </w:r>
      <w:r>
        <w:rPr>
          <w:rFonts w:hint="eastAsia" w:ascii="仿宋_GB2312" w:eastAsia="仿宋_GB2312"/>
          <w:sz w:val="28"/>
          <w:szCs w:val="28"/>
        </w:rPr>
        <w:t>2024年度决算数</w:t>
      </w:r>
      <w:r>
        <w:rPr>
          <w:rFonts w:hint="eastAsia" w:ascii="仿宋_GB2312" w:eastAsia="仿宋_GB2312"/>
          <w:sz w:val="28"/>
          <w:szCs w:val="28"/>
          <w:lang w:val="en-US" w:eastAsia="zh-CN"/>
        </w:rPr>
        <w:t>0.55</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2.7</w:t>
      </w:r>
      <w:r>
        <w:rPr>
          <w:rFonts w:hint="eastAsia" w:ascii="仿宋_GB2312" w:eastAsia="仿宋_GB2312"/>
          <w:sz w:val="28"/>
          <w:szCs w:val="28"/>
        </w:rPr>
        <w:t>万元减少</w:t>
      </w:r>
      <w:r>
        <w:rPr>
          <w:rFonts w:hint="eastAsia" w:ascii="仿宋_GB2312" w:eastAsia="仿宋_GB2312"/>
          <w:sz w:val="28"/>
          <w:szCs w:val="28"/>
          <w:lang w:val="en-US" w:eastAsia="zh-CN"/>
        </w:rPr>
        <w:t>2.15</w:t>
      </w:r>
      <w:r>
        <w:rPr>
          <w:rFonts w:hint="eastAsia" w:ascii="仿宋_GB2312" w:eastAsia="仿宋_GB2312"/>
          <w:sz w:val="28"/>
          <w:szCs w:val="28"/>
        </w:rPr>
        <w:t>万元。其中，公务用车购置费2024年度决算数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持平</w:t>
      </w:r>
      <w:r>
        <w:rPr>
          <w:rFonts w:hint="eastAsia" w:ascii="仿宋_GB2312" w:eastAsia="仿宋_GB2312"/>
          <w:sz w:val="28"/>
          <w:szCs w:val="28"/>
        </w:rPr>
        <w:t>。公务用车运行维护费2024年度决算数</w:t>
      </w:r>
      <w:r>
        <w:rPr>
          <w:rFonts w:hint="eastAsia" w:ascii="仿宋_GB2312" w:eastAsia="仿宋_GB2312"/>
          <w:sz w:val="28"/>
          <w:szCs w:val="28"/>
          <w:lang w:val="en-US" w:eastAsia="zh-CN"/>
        </w:rPr>
        <w:t>0.55</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2.7</w:t>
      </w:r>
      <w:r>
        <w:rPr>
          <w:rFonts w:hint="eastAsia" w:ascii="仿宋_GB2312" w:eastAsia="仿宋_GB2312"/>
          <w:sz w:val="28"/>
          <w:szCs w:val="28"/>
        </w:rPr>
        <w:t>万元减少</w:t>
      </w:r>
      <w:r>
        <w:rPr>
          <w:rFonts w:hint="eastAsia" w:ascii="仿宋_GB2312" w:eastAsia="仿宋_GB2312"/>
          <w:sz w:val="28"/>
          <w:szCs w:val="28"/>
          <w:lang w:val="en-US" w:eastAsia="zh-CN"/>
        </w:rPr>
        <w:t>2.15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。2024年度公务用车保有量</w:t>
      </w:r>
      <w:r>
        <w:rPr>
          <w:rFonts w:hint="eastAsia" w:ascii="仿宋_GB2312" w:eastAsia="仿宋_GB2312"/>
          <w:sz w:val="28"/>
          <w:szCs w:val="28"/>
          <w:lang w:val="en-US" w:eastAsia="zh-CN"/>
        </w:rPr>
        <w:t>2</w:t>
      </w:r>
      <w:r>
        <w:rPr>
          <w:rFonts w:hint="eastAsia" w:ascii="仿宋_GB2312" w:eastAsia="仿宋_GB2312"/>
          <w:sz w:val="28"/>
          <w:szCs w:val="28"/>
        </w:rPr>
        <w:t>辆。</w:t>
      </w:r>
    </w:p>
    <w:p>
      <w:pPr>
        <w:tabs>
          <w:tab w:val="center" w:pos="6979"/>
        </w:tabs>
        <w:ind w:firstLine="280" w:firstLineChars="100"/>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eastAsia="zh-CN"/>
        </w:rPr>
        <w:t>本</w:t>
      </w:r>
      <w:r>
        <w:rPr>
          <w:rFonts w:hint="eastAsia" w:ascii="仿宋_GB2312" w:eastAsia="仿宋_GB2312"/>
          <w:sz w:val="28"/>
          <w:szCs w:val="28"/>
        </w:rPr>
        <w:t>单位不在机关运行经费统计范围之内</w:t>
      </w:r>
      <w:r>
        <w:rPr>
          <w:rFonts w:hint="eastAsia" w:ascii="仿宋_GB2312" w:eastAsia="仿宋_GB2312"/>
          <w:sz w:val="28"/>
          <w:szCs w:val="28"/>
          <w:lang w:eastAsia="zh-CN"/>
        </w:rPr>
        <w:t>。</w:t>
      </w:r>
    </w:p>
    <w:p>
      <w:pPr>
        <w:ind w:firstLine="280" w:firstLineChars="10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15.65</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15.65</w:t>
      </w:r>
      <w:r>
        <w:rPr>
          <w:rFonts w:hint="eastAsia" w:ascii="仿宋_GB2312" w:eastAsia="仿宋_GB2312"/>
          <w:sz w:val="28"/>
          <w:szCs w:val="28"/>
        </w:rPr>
        <w:t>万元。授予中小企业合同金额</w:t>
      </w:r>
      <w:r>
        <w:rPr>
          <w:rFonts w:ascii="仿宋_GB2312" w:eastAsia="仿宋_GB2312"/>
          <w:sz w:val="28"/>
          <w:szCs w:val="28"/>
        </w:rPr>
        <w:t>15.65</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15.65</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12月31日，北京市大兴区狼垡中学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5.</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6.</w:t>
      </w:r>
      <w:r>
        <w:rPr>
          <w:rFonts w:hint="eastAsia" w:ascii="仿宋_GB2312" w:eastAsia="仿宋_GB2312"/>
          <w:sz w:val="28"/>
          <w:szCs w:val="28"/>
        </w:rPr>
        <w:t>教育支出(类)普通教育(款)初中教育(项):反映各部门举办的初中教育支出。政府各部门对社会组织等举办的初中的资助，如捐赠、补贴等，也在本科目中反映。</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社会保障和就业支出(类)行政事业单位养老支出(款)机关事业单位基本养老保险缴费支出(项):反映机关事业单位实施养老保险制度由单位缴纳的基本养老保险支出。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卫生健康支出(类)行政事业单位医疗(款)公务员医疗补助(项):反映财政部门安排的公务员医疗补助经费。</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住房保障支出(类)住房改革支出(款)购房补贴(项):反映按房改政策规定，行政事业单位向符合条件职工(含离退休人员)、军队(含武警)向转役复员离退休人员发放的用于购买住房的补贴。</w:t>
      </w: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jc w:val="center"/>
        <w:rPr>
          <w:rFonts w:hint="eastAsia" w:ascii="仿宋" w:hAnsi="仿宋" w:eastAsia="仿宋" w:cs="仿宋"/>
          <w:b/>
          <w:bCs/>
          <w:kern w:val="0"/>
          <w:sz w:val="30"/>
          <w:szCs w:val="30"/>
          <w:lang w:val="en-US" w:eastAsia="zh-CN" w:bidi="ar-SA"/>
        </w:rPr>
      </w:pPr>
      <w:r>
        <w:rPr>
          <w:rFonts w:hint="eastAsia" w:ascii="仿宋" w:hAnsi="仿宋" w:eastAsia="仿宋" w:cs="仿宋"/>
          <w:b/>
          <w:bCs/>
          <w:kern w:val="0"/>
          <w:sz w:val="30"/>
          <w:szCs w:val="30"/>
          <w:lang w:val="en-US" w:eastAsia="zh-CN" w:bidi="ar-SA"/>
        </w:rPr>
        <w:t>项目支出绩效自评表（详见附件）</w:t>
      </w:r>
    </w:p>
    <w:p>
      <w:pPr>
        <w:jc w:val="center"/>
        <w:rPr>
          <w:rFonts w:hint="default"/>
          <w:lang w:val="en-US" w:eastAsia="zh-CN"/>
        </w:rPr>
      </w:pPr>
    </w:p>
    <w:p>
      <w:pPr>
        <w:rPr>
          <w:rFonts w:hint="eastAsia"/>
          <w:sz w:val="36"/>
          <w:szCs w:val="36"/>
          <w:lang w:val="en-US" w:eastAsia="zh-CN"/>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A78D23"/>
    <w:multiLevelType w:val="singleLevel"/>
    <w:tmpl w:val="7AA78D23"/>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8570AE0"/>
    <w:rsid w:val="09EF2FA6"/>
    <w:rsid w:val="0B100BEF"/>
    <w:rsid w:val="0BA148CA"/>
    <w:rsid w:val="0C1165C4"/>
    <w:rsid w:val="0D6D544B"/>
    <w:rsid w:val="0DD136FE"/>
    <w:rsid w:val="0F407682"/>
    <w:rsid w:val="0F542F2C"/>
    <w:rsid w:val="0F8E2C57"/>
    <w:rsid w:val="1059665E"/>
    <w:rsid w:val="10AC13BA"/>
    <w:rsid w:val="145A6C1B"/>
    <w:rsid w:val="14B73493"/>
    <w:rsid w:val="167A2FF9"/>
    <w:rsid w:val="1764587C"/>
    <w:rsid w:val="177C2F1D"/>
    <w:rsid w:val="18581C69"/>
    <w:rsid w:val="199B19B3"/>
    <w:rsid w:val="1AEC0734"/>
    <w:rsid w:val="1CFE272D"/>
    <w:rsid w:val="1D2D3883"/>
    <w:rsid w:val="1DEF20B0"/>
    <w:rsid w:val="1FF7AB17"/>
    <w:rsid w:val="214243FA"/>
    <w:rsid w:val="21AD613C"/>
    <w:rsid w:val="22467189"/>
    <w:rsid w:val="257A14F5"/>
    <w:rsid w:val="27196C26"/>
    <w:rsid w:val="27750300"/>
    <w:rsid w:val="28EC2844"/>
    <w:rsid w:val="29EF086F"/>
    <w:rsid w:val="2BC34C59"/>
    <w:rsid w:val="2EFFE297"/>
    <w:rsid w:val="301437CA"/>
    <w:rsid w:val="31C51434"/>
    <w:rsid w:val="349D1F0A"/>
    <w:rsid w:val="34DD0473"/>
    <w:rsid w:val="3A8E35DC"/>
    <w:rsid w:val="3C684897"/>
    <w:rsid w:val="3EBC53D4"/>
    <w:rsid w:val="433E495C"/>
    <w:rsid w:val="43B104BA"/>
    <w:rsid w:val="47B57672"/>
    <w:rsid w:val="489F2FD7"/>
    <w:rsid w:val="4A184A64"/>
    <w:rsid w:val="4AC27CB3"/>
    <w:rsid w:val="4BF72BEF"/>
    <w:rsid w:val="4FA90297"/>
    <w:rsid w:val="4FC41A43"/>
    <w:rsid w:val="50490183"/>
    <w:rsid w:val="51DB3C59"/>
    <w:rsid w:val="527A5D71"/>
    <w:rsid w:val="550C0952"/>
    <w:rsid w:val="55762E42"/>
    <w:rsid w:val="57A7B272"/>
    <w:rsid w:val="58470068"/>
    <w:rsid w:val="58473C1E"/>
    <w:rsid w:val="58747CAC"/>
    <w:rsid w:val="593B3BE4"/>
    <w:rsid w:val="5A1720F9"/>
    <w:rsid w:val="5B9C37C2"/>
    <w:rsid w:val="5BA7C654"/>
    <w:rsid w:val="5DF716AE"/>
    <w:rsid w:val="5F9F507E"/>
    <w:rsid w:val="60A54109"/>
    <w:rsid w:val="61D01CDF"/>
    <w:rsid w:val="64C0607C"/>
    <w:rsid w:val="65756C86"/>
    <w:rsid w:val="661928FD"/>
    <w:rsid w:val="674D385B"/>
    <w:rsid w:val="676F09E1"/>
    <w:rsid w:val="6A106634"/>
    <w:rsid w:val="6A253656"/>
    <w:rsid w:val="6C9360FF"/>
    <w:rsid w:val="6F1E6154"/>
    <w:rsid w:val="71691990"/>
    <w:rsid w:val="71793A80"/>
    <w:rsid w:val="7357290B"/>
    <w:rsid w:val="74B44E48"/>
    <w:rsid w:val="756E3DEA"/>
    <w:rsid w:val="76FB1693"/>
    <w:rsid w:val="798524E4"/>
    <w:rsid w:val="7A7F1C49"/>
    <w:rsid w:val="7B4C5DF7"/>
    <w:rsid w:val="7B5B7AE6"/>
    <w:rsid w:val="7B7B6628"/>
    <w:rsid w:val="7BA7071E"/>
    <w:rsid w:val="7BDF6DA8"/>
    <w:rsid w:val="7C7EDC1A"/>
    <w:rsid w:val="7CCED98D"/>
    <w:rsid w:val="7D08410F"/>
    <w:rsid w:val="7DB96DED"/>
    <w:rsid w:val="7DD06E79"/>
    <w:rsid w:val="7DD3AD81"/>
    <w:rsid w:val="7DFFF77E"/>
    <w:rsid w:val="7EEC5547"/>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3166</Words>
  <Characters>3610</Characters>
  <Lines>44</Lines>
  <Paragraphs>12</Paragraphs>
  <TotalTime>7</TotalTime>
  <ScaleCrop>false</ScaleCrop>
  <LinksUpToDate>false</LinksUpToDate>
  <CharactersWithSpaces>3640</CharactersWithSpaces>
  <Application>WPS Office_11.1.0.8840_F1E327BC-269C-435d-A152-05C5408002CA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2025-09-25T06:39:25Z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2052-11.1.0.8840</vt:lpwstr>
  </property>
  <property fmtid="{D5CDD505-2E9C-101B-9397-08002B2CF9AE}" pid="3" name="ICV">
    <vt:lpwstr>A7F78878FB63AC2F75B4B7682BD79272</vt:lpwstr>
  </property>
  <property fmtid="{D5CDD505-2E9C-101B-9397-08002B2CF9AE}" pid="4" name="KSOTemplateDocerSaveRecord">
    <vt:lpwstr>eyJoZGlkIjoiNTUwOTE3MGJkOTM2OGNiOTFkY2EwZDUzNWI1MDdhMTEiLCJ1c2VySWQiOiI4ODY0NDgyOTcifQ==</vt:lpwstr>
  </property>
</Properties>
</file>