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49775C85">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2F298AD0">
      <w:pPr>
        <w:keepNext w:val="0"/>
        <w:keepLines w:val="0"/>
        <w:widowControl w:val="0"/>
        <w:suppressLineNumbers w:val="0"/>
        <w:spacing w:before="0" w:beforeAutospacing="0" w:after="0" w:afterAutospacing="0" w:line="620" w:lineRule="exact"/>
        <w:ind w:left="640" w:right="0"/>
        <w:jc w:val="both"/>
        <w:rPr>
          <w:rFonts w:hint="eastAsia" w:ascii="仿宋" w:hAnsi="仿宋" w:eastAsia="仿宋" w:cs="Tahoma"/>
          <w:color w:val="000000"/>
          <w:sz w:val="32"/>
          <w:szCs w:val="32"/>
          <w:lang w:val="en-US"/>
        </w:rPr>
      </w:pPr>
      <w:r>
        <w:rPr>
          <w:rFonts w:hint="eastAsia" w:ascii="仿宋" w:hAnsi="仿宋" w:eastAsia="仿宋" w:cs="Tahoma"/>
          <w:color w:val="000000"/>
          <w:kern w:val="2"/>
          <w:sz w:val="32"/>
          <w:szCs w:val="32"/>
          <w:lang w:val="en-US" w:eastAsia="zh-CN" w:bidi="ar"/>
        </w:rPr>
        <w:t>（一）本单位职责：</w:t>
      </w:r>
    </w:p>
    <w:p w14:paraId="3D16D169">
      <w:pPr>
        <w:keepNext w:val="0"/>
        <w:keepLines w:val="0"/>
        <w:widowControl w:val="0"/>
        <w:suppressLineNumbers w:val="0"/>
        <w:spacing w:before="0" w:beforeAutospacing="0" w:after="0" w:afterAutospacing="0" w:line="620" w:lineRule="exact"/>
        <w:ind w:left="1360" w:right="0"/>
        <w:jc w:val="both"/>
        <w:rPr>
          <w:rFonts w:hint="eastAsia" w:ascii="仿宋" w:hAnsi="仿宋" w:eastAsia="仿宋" w:cs="Tahoma"/>
          <w:color w:val="000000"/>
          <w:sz w:val="32"/>
          <w:szCs w:val="32"/>
          <w:lang w:val="en-US"/>
        </w:rPr>
      </w:pPr>
      <w:r>
        <w:rPr>
          <w:rFonts w:hint="eastAsia" w:ascii="仿宋" w:hAnsi="仿宋" w:eastAsia="仿宋" w:cs="Tahoma"/>
          <w:color w:val="000000"/>
          <w:kern w:val="2"/>
          <w:sz w:val="32"/>
          <w:szCs w:val="32"/>
          <w:lang w:val="en-US" w:eastAsia="zh-CN" w:bidi="ar"/>
        </w:rPr>
        <w:t xml:space="preserve"> 1.全面贯彻国家教育方针，促进基础教育发展，培养学生的创新精神与实践能力，使之成为社会主义事业的建设者和接班人。</w:t>
      </w:r>
    </w:p>
    <w:p w14:paraId="2A7D4C17">
      <w:pPr>
        <w:keepNext w:val="0"/>
        <w:keepLines w:val="0"/>
        <w:widowControl w:val="0"/>
        <w:suppressLineNumbers w:val="0"/>
        <w:spacing w:before="0" w:beforeAutospacing="0" w:after="0" w:afterAutospacing="0" w:line="620" w:lineRule="exact"/>
        <w:ind w:left="1360" w:right="0"/>
        <w:jc w:val="both"/>
        <w:rPr>
          <w:rFonts w:hint="eastAsia" w:ascii="仿宋" w:hAnsi="仿宋" w:eastAsia="仿宋" w:cs="Tahoma"/>
          <w:color w:val="000000"/>
          <w:sz w:val="32"/>
          <w:szCs w:val="32"/>
          <w:lang w:val="en-US"/>
        </w:rPr>
      </w:pPr>
      <w:r>
        <w:rPr>
          <w:rFonts w:hint="eastAsia" w:ascii="仿宋" w:hAnsi="仿宋" w:eastAsia="仿宋" w:cs="Tahoma"/>
          <w:color w:val="000000"/>
          <w:kern w:val="2"/>
          <w:sz w:val="32"/>
          <w:szCs w:val="32"/>
          <w:lang w:val="en-US" w:eastAsia="zh-CN" w:bidi="ar"/>
        </w:rPr>
        <w:t xml:space="preserve">2．负责所属服务片学生义务教育阶段初中教育教学工作。 </w:t>
      </w:r>
    </w:p>
    <w:p w14:paraId="228191C4">
      <w:pPr>
        <w:keepNext w:val="0"/>
        <w:keepLines w:val="0"/>
        <w:widowControl w:val="0"/>
        <w:suppressLineNumbers w:val="0"/>
        <w:spacing w:before="0" w:beforeAutospacing="0" w:after="0" w:afterAutospacing="0" w:line="620" w:lineRule="exact"/>
        <w:ind w:left="0" w:right="0" w:firstLine="640" w:firstLineChars="200"/>
        <w:jc w:val="both"/>
        <w:rPr>
          <w:rFonts w:hint="eastAsia" w:ascii="仿宋" w:hAnsi="仿宋" w:eastAsia="仿宋" w:cs="Tahoma"/>
          <w:color w:val="000000"/>
          <w:sz w:val="32"/>
          <w:szCs w:val="32"/>
          <w:lang w:val="en-US"/>
        </w:rPr>
      </w:pPr>
      <w:r>
        <w:rPr>
          <w:rFonts w:hint="eastAsia" w:ascii="仿宋" w:hAnsi="仿宋" w:eastAsia="仿宋" w:cs="Tahoma"/>
          <w:color w:val="000000"/>
          <w:kern w:val="2"/>
          <w:sz w:val="32"/>
          <w:szCs w:val="32"/>
          <w:lang w:val="en-US" w:eastAsia="zh-CN" w:bidi="ar"/>
        </w:rPr>
        <w:t>（二）机构设置情况：</w:t>
      </w:r>
    </w:p>
    <w:p w14:paraId="72EA9A82">
      <w:pPr>
        <w:keepNext w:val="0"/>
        <w:keepLines w:val="0"/>
        <w:widowControl w:val="0"/>
        <w:suppressLineNumbers w:val="0"/>
        <w:spacing w:before="0" w:beforeAutospacing="0" w:after="0" w:afterAutospacing="0" w:line="620" w:lineRule="exact"/>
        <w:ind w:left="1360" w:right="0"/>
        <w:jc w:val="both"/>
        <w:rPr>
          <w:rFonts w:hint="eastAsia" w:ascii="仿宋" w:hAnsi="仿宋" w:eastAsia="仿宋" w:cs="Tahoma"/>
          <w:color w:val="000000"/>
          <w:sz w:val="32"/>
          <w:szCs w:val="32"/>
          <w:lang w:val="en-US"/>
        </w:rPr>
      </w:pPr>
      <w:r>
        <w:rPr>
          <w:rFonts w:hint="eastAsia" w:ascii="仿宋" w:hAnsi="仿宋" w:eastAsia="仿宋" w:cs="Tahoma"/>
          <w:color w:val="000000"/>
          <w:kern w:val="2"/>
          <w:sz w:val="32"/>
          <w:szCs w:val="32"/>
          <w:lang w:val="en-US" w:eastAsia="zh-CN" w:bidi="ar"/>
        </w:rPr>
        <w:t>内设机构：行政办、党务办、教务处、科研办、总务处、团委办、德育处、安保办。</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13887.13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hAnsi="仿宋" w:eastAsia="仿宋_GB2312" w:cs="Times New Roman"/>
          <w:kern w:val="2"/>
          <w:sz w:val="32"/>
          <w:szCs w:val="32"/>
          <w:lang w:val="en-US" w:eastAsia="zh-CN" w:bidi="ar"/>
        </w:rPr>
        <w:t>7116.93</w:t>
      </w:r>
      <w:r>
        <w:rPr>
          <w:rFonts w:hint="eastAsia" w:ascii="仿宋_GB2312" w:eastAsia="仿宋_GB2312"/>
          <w:sz w:val="28"/>
          <w:szCs w:val="28"/>
        </w:rPr>
        <w:t>万元，增长</w:t>
      </w:r>
      <w:r>
        <w:rPr>
          <w:rFonts w:hint="eastAsia" w:ascii="仿宋_GB2312" w:hAnsi="仿宋" w:eastAsia="仿宋_GB2312" w:cs="Times New Roman"/>
          <w:kern w:val="2"/>
          <w:sz w:val="32"/>
          <w:szCs w:val="32"/>
          <w:lang w:val="en-US" w:eastAsia="zh-CN" w:bidi="ar"/>
        </w:rPr>
        <w:t>105.12%</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13631.56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hAnsi="仿宋" w:eastAsia="仿宋_GB2312" w:cs="Times New Roman"/>
          <w:kern w:val="2"/>
          <w:sz w:val="32"/>
          <w:szCs w:val="32"/>
          <w:lang w:val="en-US" w:eastAsia="zh-CN" w:bidi="ar"/>
        </w:rPr>
        <w:t>7037.75</w:t>
      </w:r>
      <w:r>
        <w:rPr>
          <w:rFonts w:hint="eastAsia" w:ascii="仿宋_GB2312" w:eastAsia="仿宋_GB2312"/>
          <w:sz w:val="28"/>
          <w:szCs w:val="28"/>
        </w:rPr>
        <w:t>万元，增长</w:t>
      </w:r>
      <w:r>
        <w:rPr>
          <w:rFonts w:hint="eastAsia" w:ascii="仿宋_GB2312" w:hAnsi="仿宋" w:eastAsia="仿宋_GB2312" w:cs="Times New Roman"/>
          <w:kern w:val="2"/>
          <w:sz w:val="32"/>
          <w:szCs w:val="32"/>
          <w:lang w:val="en-US" w:eastAsia="zh-CN" w:bidi="ar"/>
        </w:rPr>
        <w:t>106.73%</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13631.56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hAnsi="Times New Roman" w:eastAsia="仿宋_GB2312" w:cs="Times New Roman"/>
          <w:kern w:val="2"/>
          <w:sz w:val="28"/>
          <w:szCs w:val="28"/>
          <w:lang w:val="en-US" w:eastAsia="zh-CN" w:bidi="ar"/>
        </w:rPr>
        <w:t>11431.56</w:t>
      </w:r>
      <w:r>
        <w:rPr>
          <w:rFonts w:hint="eastAsia" w:ascii="仿宋_GB2312" w:eastAsia="仿宋_GB2312"/>
          <w:sz w:val="28"/>
          <w:szCs w:val="28"/>
        </w:rPr>
        <w:t>万元，占收入合计的</w:t>
      </w:r>
      <w:r>
        <w:rPr>
          <w:rFonts w:hint="eastAsia" w:ascii="仿宋_GB2312" w:hAnsi="Times New Roman" w:eastAsia="仿宋_GB2312" w:cs="Times New Roman"/>
          <w:kern w:val="2"/>
          <w:sz w:val="28"/>
          <w:szCs w:val="28"/>
          <w:lang w:val="en-US" w:eastAsia="zh-CN" w:bidi="ar"/>
        </w:rPr>
        <w:t>83.86%</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hAnsi="Times New Roman" w:eastAsia="仿宋_GB2312" w:cs="Times New Roman"/>
          <w:kern w:val="2"/>
          <w:sz w:val="28"/>
          <w:szCs w:val="28"/>
          <w:lang w:val="en-US" w:eastAsia="zh-CN" w:bidi="ar"/>
        </w:rPr>
        <w:t>2200</w:t>
      </w:r>
      <w:r>
        <w:rPr>
          <w:rFonts w:hint="eastAsia" w:ascii="仿宋_GB2312" w:eastAsia="仿宋_GB2312"/>
          <w:sz w:val="28"/>
          <w:szCs w:val="28"/>
        </w:rPr>
        <w:t>万元，占收入合计的</w:t>
      </w:r>
      <w:r>
        <w:rPr>
          <w:rFonts w:hint="eastAsia" w:ascii="仿宋_GB2312" w:hAnsi="Times New Roman" w:eastAsia="仿宋_GB2312" w:cs="Times New Roman"/>
          <w:kern w:val="2"/>
          <w:sz w:val="28"/>
          <w:szCs w:val="28"/>
          <w:lang w:val="en-US" w:eastAsia="zh-CN" w:bidi="ar"/>
        </w:rPr>
        <w:t>16.14</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13887.13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hAnsi="仿宋" w:eastAsia="仿宋_GB2312" w:cs="Times New Roman"/>
          <w:kern w:val="2"/>
          <w:sz w:val="32"/>
          <w:szCs w:val="32"/>
          <w:lang w:val="en-US" w:eastAsia="zh-CN" w:bidi="ar"/>
        </w:rPr>
        <w:t>7116.93</w:t>
      </w:r>
      <w:r>
        <w:rPr>
          <w:rFonts w:hint="eastAsia" w:ascii="仿宋_GB2312" w:eastAsia="仿宋_GB2312"/>
          <w:sz w:val="28"/>
          <w:szCs w:val="28"/>
        </w:rPr>
        <w:t>万元，增长</w:t>
      </w:r>
      <w:r>
        <w:rPr>
          <w:rFonts w:hint="eastAsia" w:ascii="仿宋_GB2312" w:hAnsi="仿宋" w:eastAsia="仿宋_GB2312" w:cs="Times New Roman"/>
          <w:kern w:val="2"/>
          <w:sz w:val="32"/>
          <w:szCs w:val="32"/>
          <w:lang w:val="en-US" w:eastAsia="zh-CN" w:bidi="ar"/>
        </w:rPr>
        <w:t>105.12</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3398.91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24.48</w:t>
      </w:r>
      <w:r>
        <w:rPr>
          <w:rFonts w:hint="eastAsia" w:ascii="仿宋_GB2312" w:eastAsia="仿宋_GB2312"/>
          <w:sz w:val="28"/>
          <w:szCs w:val="28"/>
          <w:highlight w:val="none"/>
        </w:rPr>
        <w:t>%；项目支出</w:t>
      </w:r>
      <w:r>
        <w:rPr>
          <w:rFonts w:ascii="仿宋_GB2312" w:eastAsia="仿宋_GB2312"/>
          <w:sz w:val="28"/>
          <w:szCs w:val="28"/>
          <w:highlight w:val="none"/>
        </w:rPr>
        <w:t>10488.22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75.52</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1D49A23">
      <w:pPr>
        <w:keepNext w:val="0"/>
        <w:keepLines w:val="0"/>
        <w:widowControl/>
        <w:suppressLineNumbers w:val="0"/>
        <w:ind w:firstLine="840" w:firstLineChars="300"/>
        <w:jc w:val="left"/>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13887.13</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hAnsi="仿宋" w:eastAsia="仿宋_GB2312" w:cs="Times New Roman"/>
          <w:kern w:val="2"/>
          <w:sz w:val="32"/>
          <w:szCs w:val="32"/>
          <w:lang w:val="en-US" w:eastAsia="zh-CN" w:bidi="ar"/>
        </w:rPr>
        <w:t>7116.93</w:t>
      </w:r>
      <w:r>
        <w:rPr>
          <w:rFonts w:hint="eastAsia" w:ascii="仿宋_GB2312" w:hAnsi="Times New Roman" w:eastAsia="仿宋_GB2312" w:cs="Times New Roman"/>
          <w:kern w:val="2"/>
          <w:sz w:val="28"/>
          <w:szCs w:val="28"/>
          <w:lang w:val="en-US" w:eastAsia="zh-CN" w:bidi="ar"/>
        </w:rPr>
        <w:t>万元，增长</w:t>
      </w:r>
      <w:r>
        <w:rPr>
          <w:rFonts w:hint="eastAsia" w:ascii="仿宋_GB2312" w:hAnsi="仿宋" w:eastAsia="仿宋_GB2312" w:cs="Times New Roman"/>
          <w:kern w:val="2"/>
          <w:sz w:val="32"/>
          <w:szCs w:val="32"/>
          <w:lang w:val="en-US" w:eastAsia="zh-CN" w:bidi="ar"/>
        </w:rPr>
        <w:t>105.12</w:t>
      </w:r>
      <w:r>
        <w:rPr>
          <w:rFonts w:hint="eastAsia" w:ascii="仿宋_GB2312" w:hAnsi="Times New Roman" w:eastAsia="仿宋_GB2312" w:cs="Times New Roman"/>
          <w:kern w:val="2"/>
          <w:sz w:val="28"/>
          <w:szCs w:val="28"/>
          <w:lang w:val="en-US" w:eastAsia="zh-CN" w:bidi="ar"/>
        </w:rPr>
        <w:t>%</w:t>
      </w:r>
      <w:r>
        <w:rPr>
          <w:rFonts w:hint="eastAsia" w:ascii="仿宋_GB2312" w:eastAsia="仿宋_GB2312"/>
          <w:sz w:val="28"/>
          <w:szCs w:val="28"/>
        </w:rPr>
        <w:t>。主要原因：</w:t>
      </w:r>
      <w:r>
        <w:rPr>
          <w:rFonts w:hint="eastAsia" w:ascii="仿宋_GB2312" w:hAnsi="仿宋" w:eastAsia="仿宋_GB2312" w:cs="Times New Roman"/>
          <w:kern w:val="2"/>
          <w:sz w:val="32"/>
          <w:szCs w:val="32"/>
          <w:lang w:val="en-US" w:eastAsia="zh-CN" w:bidi="ar"/>
        </w:rPr>
        <w:t>主要是2024年有政府性基金预算财政拨款收入2200万元；大型修缮费800万元；发放第三批购房补贴255.58万元。</w:t>
      </w:r>
      <w:r>
        <w:rPr>
          <w:rFonts w:hint="default" w:ascii="宋体" w:hAnsi="宋体" w:eastAsia="宋体" w:cs="宋体"/>
          <w:kern w:val="2"/>
          <w:sz w:val="24"/>
          <w:szCs w:val="24"/>
          <w:lang w:val="en-US" w:eastAsia="zh-CN" w:bidi="ar"/>
        </w:rPr>
        <w:t xml:space="preserve"> </w:t>
      </w:r>
    </w:p>
    <w:p w14:paraId="46F60EAA">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8"/>
          <w:szCs w:val="28"/>
          <w:lang w:val="en-US"/>
        </w:rPr>
      </w:pP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keepNext w:val="0"/>
        <w:keepLines w:val="0"/>
        <w:widowControl w:val="0"/>
        <w:suppressLineNumbers w:val="0"/>
        <w:tabs>
          <w:tab w:val="center" w:pos="6979"/>
        </w:tabs>
        <w:spacing w:before="0" w:beforeAutospacing="0" w:after="0" w:afterAutospacing="0" w:line="580" w:lineRule="exact"/>
        <w:ind w:left="0" w:right="0" w:firstLine="560" w:firstLineChars="200"/>
        <w:jc w:val="both"/>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11687.13</w:t>
      </w:r>
      <w:r>
        <w:rPr>
          <w:rFonts w:hint="eastAsia" w:ascii="仿宋_GB2312" w:eastAsia="仿宋_GB2312"/>
          <w:sz w:val="28"/>
          <w:szCs w:val="28"/>
        </w:rPr>
        <w:t>万元，主要用于以下方面（按大类）：</w:t>
      </w:r>
      <w:r>
        <w:rPr>
          <w:rFonts w:hint="eastAsia" w:ascii="仿宋_GB2312" w:hAnsi="Times New Roman" w:eastAsia="仿宋_GB2312" w:cs="仿宋_GB2312"/>
          <w:kern w:val="2"/>
          <w:sz w:val="28"/>
          <w:szCs w:val="28"/>
          <w:lang w:val="en-US" w:eastAsia="zh-CN" w:bidi="ar"/>
        </w:rPr>
        <w:t xml:space="preserve"> 教育支出10891.64万元，占本年财政拨款支出93.19%；社会保障和就业支出354.13万元，占本年财政拨款支出3.03%；卫生健康支出185.79万元，占本年财政拨款支出1.59%；住房保障支出255.58万元，占本年财政拨款支出2.19%。</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212E9A54">
      <w:pPr>
        <w:keepNext w:val="0"/>
        <w:keepLines w:val="0"/>
        <w:widowControl w:val="0"/>
        <w:suppressLineNumbers w:val="0"/>
        <w:autoSpaceDE w:val="0"/>
        <w:autoSpaceDN w:val="0"/>
        <w:adjustRightInd w:val="0"/>
        <w:spacing w:before="0" w:beforeAutospacing="0" w:after="0" w:afterAutospacing="0" w:line="580" w:lineRule="exact"/>
        <w:ind w:left="0" w:right="0" w:firstLine="560" w:firstLineChars="200"/>
        <w:jc w:val="left"/>
        <w:rPr>
          <w:rFonts w:hint="eastAsia" w:ascii="仿宋_GB2312" w:hAnsi="Times New Roman" w:eastAsia="仿宋_GB2312" w:cs="仿宋_GB2312"/>
          <w:kern w:val="2"/>
          <w:sz w:val="28"/>
          <w:szCs w:val="28"/>
          <w:lang w:val="en-US" w:eastAsia="zh-CN" w:bidi="ar"/>
        </w:rPr>
      </w:pPr>
      <w:r>
        <w:rPr>
          <w:rFonts w:hint="eastAsia" w:ascii="仿宋_GB2312" w:hAnsi="Times New Roman" w:eastAsia="仿宋_GB2312" w:cs="仿宋_GB2312"/>
          <w:kern w:val="2"/>
          <w:sz w:val="28"/>
          <w:szCs w:val="28"/>
          <w:lang w:val="en-US" w:eastAsia="zh-CN" w:bidi="ar"/>
        </w:rPr>
        <w:t>1、教育支出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4229.53</w:t>
      </w:r>
      <w:r>
        <w:rPr>
          <w:rFonts w:hint="eastAsia" w:ascii="仿宋_GB2312" w:hAnsi="Times New Roman" w:eastAsia="仿宋_GB2312" w:cs="仿宋_GB2312"/>
          <w:kern w:val="2"/>
          <w:sz w:val="28"/>
          <w:szCs w:val="28"/>
          <w:lang w:val="en-US" w:eastAsia="zh-CN" w:bidi="ar"/>
        </w:rPr>
        <w:t>万元，2024年度决算10891.64</w:t>
      </w:r>
      <w:r>
        <w:rPr>
          <w:rFonts w:hint="eastAsia" w:ascii="仿宋_GB2312" w:eastAsia="仿宋_GB2312" w:cs="仿宋_GB2312"/>
          <w:kern w:val="2"/>
          <w:sz w:val="28"/>
          <w:szCs w:val="28"/>
          <w:lang w:val="en-US" w:eastAsia="zh-CN" w:bidi="ar"/>
        </w:rPr>
        <w:t>万元</w:t>
      </w:r>
      <w:r>
        <w:rPr>
          <w:rFonts w:hint="eastAsia" w:ascii="仿宋_GB2312" w:hAnsi="Times New Roman" w:eastAsia="仿宋_GB2312" w:cs="仿宋_GB2312"/>
          <w:kern w:val="2"/>
          <w:sz w:val="28"/>
          <w:szCs w:val="28"/>
          <w:lang w:val="en-US" w:eastAsia="zh-CN" w:bidi="ar"/>
        </w:rPr>
        <w:t>，</w:t>
      </w:r>
      <w:r>
        <w:rPr>
          <w:rFonts w:hint="eastAsia" w:ascii="仿宋_GB2312" w:eastAsia="仿宋_GB2312" w:cs="仿宋_GB2312"/>
          <w:kern w:val="2"/>
          <w:sz w:val="28"/>
          <w:szCs w:val="28"/>
          <w:lang w:val="en-US" w:eastAsia="zh-CN" w:bidi="ar"/>
        </w:rPr>
        <w:t>完成年初预算的</w:t>
      </w:r>
      <w:r>
        <w:rPr>
          <w:rFonts w:hint="eastAsia" w:ascii="仿宋_GB2312" w:hAnsi="Times New Roman" w:eastAsia="仿宋_GB2312" w:cs="仿宋_GB2312"/>
          <w:kern w:val="2"/>
          <w:sz w:val="28"/>
          <w:szCs w:val="28"/>
          <w:lang w:val="en-US" w:eastAsia="zh-CN" w:bidi="ar"/>
        </w:rPr>
        <w:t>157.51%。其中：</w:t>
      </w:r>
    </w:p>
    <w:p w14:paraId="636748FB">
      <w:pPr>
        <w:keepNext w:val="0"/>
        <w:keepLines w:val="0"/>
        <w:widowControl w:val="0"/>
        <w:suppressLineNumbers w:val="0"/>
        <w:autoSpaceDE w:val="0"/>
        <w:autoSpaceDN w:val="0"/>
        <w:adjustRightInd w:val="0"/>
        <w:spacing w:before="0" w:beforeAutospacing="0" w:after="0" w:afterAutospacing="0" w:line="580" w:lineRule="exact"/>
        <w:ind w:left="0" w:right="0" w:firstLine="560" w:firstLineChars="200"/>
        <w:jc w:val="left"/>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初中教育2024年度</w:t>
      </w:r>
      <w:r>
        <w:rPr>
          <w:rFonts w:hint="eastAsia" w:ascii="仿宋_GB2312" w:eastAsia="仿宋_GB2312" w:cs="仿宋_GB2312"/>
          <w:kern w:val="2"/>
          <w:sz w:val="28"/>
          <w:szCs w:val="28"/>
          <w:lang w:val="en-US" w:eastAsia="zh-CN" w:bidi="ar"/>
        </w:rPr>
        <w:t>年初预算3429.53万元</w:t>
      </w:r>
      <w:r>
        <w:rPr>
          <w:rFonts w:hint="eastAsia" w:ascii="仿宋_GB2312" w:hAnsi="Times New Roman" w:eastAsia="仿宋_GB2312" w:cs="仿宋_GB2312"/>
          <w:kern w:val="2"/>
          <w:sz w:val="28"/>
          <w:szCs w:val="28"/>
          <w:lang w:val="en-US" w:eastAsia="zh-CN" w:bidi="ar"/>
        </w:rPr>
        <w:t>，2024年</w:t>
      </w:r>
      <w:r>
        <w:rPr>
          <w:rFonts w:hint="eastAsia" w:ascii="仿宋_GB2312" w:eastAsia="仿宋_GB2312" w:cs="仿宋_GB2312"/>
          <w:kern w:val="2"/>
          <w:sz w:val="28"/>
          <w:szCs w:val="28"/>
          <w:lang w:val="en-US" w:eastAsia="zh-CN" w:bidi="ar"/>
        </w:rPr>
        <w:t>度决算10091.64</w:t>
      </w:r>
      <w:r>
        <w:rPr>
          <w:rFonts w:hint="eastAsia" w:ascii="仿宋_GB2312" w:hAnsi="Times New Roman" w:eastAsia="仿宋_GB2312" w:cs="仿宋_GB2312"/>
          <w:kern w:val="2"/>
          <w:sz w:val="28"/>
          <w:szCs w:val="28"/>
          <w:lang w:val="en-US" w:eastAsia="zh-CN" w:bidi="ar"/>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194.26</w:t>
      </w:r>
      <w:r>
        <w:rPr>
          <w:rFonts w:hint="eastAsia" w:ascii="仿宋_GB2312" w:eastAsia="仿宋_GB2312"/>
          <w:sz w:val="28"/>
          <w:szCs w:val="28"/>
        </w:rPr>
        <w:t>%</w:t>
      </w:r>
      <w:r>
        <w:rPr>
          <w:rFonts w:hint="eastAsia" w:ascii="仿宋_GB2312" w:hAnsi="Times New Roman" w:eastAsia="仿宋_GB2312" w:cs="仿宋_GB2312"/>
          <w:kern w:val="2"/>
          <w:sz w:val="28"/>
          <w:szCs w:val="28"/>
          <w:lang w:val="en-US" w:eastAsia="zh-CN" w:bidi="ar"/>
        </w:rPr>
        <w:t>；其他普通教育支出2024年度</w:t>
      </w:r>
      <w:r>
        <w:rPr>
          <w:rFonts w:hint="eastAsia" w:ascii="仿宋_GB2312" w:eastAsia="仿宋_GB2312" w:cs="仿宋_GB2312"/>
          <w:kern w:val="2"/>
          <w:sz w:val="28"/>
          <w:szCs w:val="28"/>
          <w:lang w:val="en-US" w:eastAsia="zh-CN" w:bidi="ar"/>
        </w:rPr>
        <w:t>年初预算0万元，</w:t>
      </w:r>
      <w:r>
        <w:rPr>
          <w:rFonts w:hint="eastAsia" w:ascii="仿宋_GB2312" w:hAnsi="Times New Roman" w:eastAsia="仿宋_GB2312" w:cs="仿宋_GB2312"/>
          <w:kern w:val="2"/>
          <w:sz w:val="28"/>
          <w:szCs w:val="28"/>
          <w:lang w:val="en-US" w:eastAsia="zh-CN" w:bidi="ar"/>
        </w:rPr>
        <w:t>2024年</w:t>
      </w:r>
      <w:r>
        <w:rPr>
          <w:rFonts w:hint="eastAsia" w:ascii="仿宋_GB2312" w:eastAsia="仿宋_GB2312" w:cs="仿宋_GB2312"/>
          <w:kern w:val="2"/>
          <w:sz w:val="28"/>
          <w:szCs w:val="28"/>
          <w:lang w:val="en-US" w:eastAsia="zh-CN" w:bidi="ar"/>
        </w:rPr>
        <w:t>度</w:t>
      </w:r>
      <w:r>
        <w:rPr>
          <w:rFonts w:hint="eastAsia" w:ascii="仿宋_GB2312" w:hAnsi="Times New Roman" w:eastAsia="仿宋_GB2312" w:cs="仿宋_GB2312"/>
          <w:kern w:val="2"/>
          <w:sz w:val="28"/>
          <w:szCs w:val="28"/>
          <w:lang w:val="en-US" w:eastAsia="zh-CN" w:bidi="ar"/>
        </w:rPr>
        <w:t>决算800万元。主要原因： 2024年我校校舍改造，财政投资增加。</w:t>
      </w:r>
    </w:p>
    <w:p w14:paraId="0EB20F13">
      <w:pPr>
        <w:keepNext w:val="0"/>
        <w:keepLines w:val="0"/>
        <w:widowControl w:val="0"/>
        <w:suppressLineNumbers w:val="0"/>
        <w:autoSpaceDE w:val="0"/>
        <w:autoSpaceDN w:val="0"/>
        <w:adjustRightInd w:val="0"/>
        <w:spacing w:before="0" w:beforeAutospacing="0" w:after="0" w:afterAutospacing="0" w:line="580" w:lineRule="exact"/>
        <w:ind w:left="0" w:right="0" w:firstLine="560" w:firstLineChars="200"/>
        <w:jc w:val="left"/>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2、社会保障和就业支出2024年度</w:t>
      </w:r>
      <w:r>
        <w:rPr>
          <w:rFonts w:hint="eastAsia" w:ascii="仿宋_GB2312" w:eastAsia="仿宋_GB2312" w:cs="仿宋_GB2312"/>
          <w:kern w:val="2"/>
          <w:sz w:val="28"/>
          <w:szCs w:val="28"/>
          <w:lang w:val="en-US" w:eastAsia="zh-CN" w:bidi="ar"/>
        </w:rPr>
        <w:t>年初预算367.16万元，</w:t>
      </w:r>
      <w:r>
        <w:rPr>
          <w:rFonts w:hint="eastAsia" w:ascii="仿宋_GB2312" w:hAnsi="Times New Roman" w:eastAsia="仿宋_GB2312" w:cs="仿宋_GB2312"/>
          <w:kern w:val="2"/>
          <w:sz w:val="28"/>
          <w:szCs w:val="28"/>
          <w:lang w:val="en-US" w:eastAsia="zh-CN" w:bidi="ar"/>
        </w:rPr>
        <w:t>2024年</w:t>
      </w:r>
      <w:r>
        <w:rPr>
          <w:rFonts w:hint="eastAsia" w:ascii="仿宋_GB2312" w:eastAsia="仿宋_GB2312" w:cs="仿宋_GB2312"/>
          <w:kern w:val="2"/>
          <w:sz w:val="28"/>
          <w:szCs w:val="28"/>
          <w:lang w:val="en-US" w:eastAsia="zh-CN" w:bidi="ar"/>
        </w:rPr>
        <w:t>度决算</w:t>
      </w:r>
      <w:r>
        <w:rPr>
          <w:rFonts w:hint="eastAsia" w:ascii="仿宋_GB2312" w:hAnsi="Times New Roman" w:eastAsia="仿宋_GB2312" w:cs="仿宋_GB2312"/>
          <w:kern w:val="2"/>
          <w:sz w:val="28"/>
          <w:szCs w:val="28"/>
          <w:lang w:val="en-US" w:eastAsia="zh-CN" w:bidi="ar"/>
        </w:rPr>
        <w:t>354.13万元，</w:t>
      </w:r>
      <w:r>
        <w:rPr>
          <w:rFonts w:hint="eastAsia" w:ascii="仿宋_GB2312" w:eastAsia="仿宋_GB2312" w:cs="仿宋_GB2312"/>
          <w:kern w:val="2"/>
          <w:sz w:val="28"/>
          <w:szCs w:val="28"/>
          <w:lang w:val="en-US" w:eastAsia="zh-CN" w:bidi="ar"/>
        </w:rPr>
        <w:t>完成年初预算的96.45%</w:t>
      </w:r>
      <w:r>
        <w:rPr>
          <w:rFonts w:hint="eastAsia" w:ascii="仿宋_GB2312" w:hAnsi="Times New Roman" w:eastAsia="仿宋_GB2312" w:cs="仿宋_GB2312"/>
          <w:kern w:val="2"/>
          <w:sz w:val="28"/>
          <w:szCs w:val="28"/>
          <w:lang w:val="en-US" w:eastAsia="zh-CN" w:bidi="ar"/>
        </w:rPr>
        <w:t>。其中：事业单位离退休2024年度</w:t>
      </w:r>
      <w:r>
        <w:rPr>
          <w:rFonts w:hint="eastAsia" w:ascii="仿宋_GB2312" w:eastAsia="仿宋_GB2312" w:cs="仿宋_GB2312"/>
          <w:kern w:val="2"/>
          <w:sz w:val="28"/>
          <w:szCs w:val="28"/>
          <w:lang w:val="en-US" w:eastAsia="zh-CN" w:bidi="ar"/>
        </w:rPr>
        <w:t>年初预算39.35万元，</w:t>
      </w:r>
      <w:r>
        <w:rPr>
          <w:rFonts w:hint="eastAsia" w:ascii="仿宋_GB2312" w:hAnsi="Times New Roman" w:eastAsia="仿宋_GB2312" w:cs="仿宋_GB2312"/>
          <w:kern w:val="2"/>
          <w:sz w:val="28"/>
          <w:szCs w:val="28"/>
          <w:lang w:val="en-US" w:eastAsia="zh-CN" w:bidi="ar"/>
        </w:rPr>
        <w:t>2024年</w:t>
      </w:r>
      <w:r>
        <w:rPr>
          <w:rFonts w:hint="eastAsia" w:ascii="仿宋_GB2312" w:eastAsia="仿宋_GB2312" w:cs="仿宋_GB2312"/>
          <w:kern w:val="2"/>
          <w:sz w:val="28"/>
          <w:szCs w:val="28"/>
          <w:lang w:val="en-US" w:eastAsia="zh-CN" w:bidi="ar"/>
        </w:rPr>
        <w:t>度决算</w:t>
      </w:r>
      <w:r>
        <w:rPr>
          <w:rFonts w:hint="eastAsia" w:ascii="仿宋_GB2312" w:hAnsi="Times New Roman" w:eastAsia="仿宋_GB2312" w:cs="仿宋_GB2312"/>
          <w:kern w:val="2"/>
          <w:sz w:val="28"/>
          <w:szCs w:val="28"/>
          <w:lang w:val="en-US" w:eastAsia="zh-CN" w:bidi="ar"/>
        </w:rPr>
        <w:t>59.11万元，</w:t>
      </w:r>
      <w:r>
        <w:rPr>
          <w:rFonts w:hint="eastAsia" w:ascii="仿宋_GB2312" w:eastAsia="仿宋_GB2312" w:cs="仿宋_GB2312"/>
          <w:kern w:val="2"/>
          <w:sz w:val="28"/>
          <w:szCs w:val="28"/>
          <w:lang w:val="en-US" w:eastAsia="zh-CN" w:bidi="ar"/>
        </w:rPr>
        <w:t>完成年初预算的150.22%</w:t>
      </w:r>
      <w:r>
        <w:rPr>
          <w:rFonts w:hint="eastAsia" w:ascii="仿宋_GB2312" w:hAnsi="Times New Roman" w:eastAsia="仿宋_GB2312" w:cs="仿宋_GB2312"/>
          <w:kern w:val="2"/>
          <w:sz w:val="28"/>
          <w:szCs w:val="28"/>
          <w:lang w:val="en-US" w:eastAsia="zh-CN" w:bidi="ar"/>
        </w:rPr>
        <w:t>。机关事业单位基本养老保险缴费2024年度</w:t>
      </w:r>
      <w:r>
        <w:rPr>
          <w:rFonts w:hint="eastAsia" w:ascii="仿宋_GB2312" w:eastAsia="仿宋_GB2312" w:cs="仿宋_GB2312"/>
          <w:kern w:val="2"/>
          <w:sz w:val="28"/>
          <w:szCs w:val="28"/>
          <w:lang w:val="en-US" w:eastAsia="zh-CN" w:bidi="ar"/>
        </w:rPr>
        <w:t>年初预算217.95万元，</w:t>
      </w:r>
      <w:r>
        <w:rPr>
          <w:rFonts w:hint="eastAsia" w:ascii="仿宋_GB2312" w:hAnsi="Times New Roman" w:eastAsia="仿宋_GB2312" w:cs="仿宋_GB2312"/>
          <w:kern w:val="2"/>
          <w:sz w:val="28"/>
          <w:szCs w:val="28"/>
          <w:lang w:val="en-US" w:eastAsia="zh-CN" w:bidi="ar"/>
        </w:rPr>
        <w:t>2024年</w:t>
      </w:r>
      <w:r>
        <w:rPr>
          <w:rFonts w:hint="eastAsia" w:ascii="仿宋_GB2312" w:eastAsia="仿宋_GB2312" w:cs="仿宋_GB2312"/>
          <w:kern w:val="2"/>
          <w:sz w:val="28"/>
          <w:szCs w:val="28"/>
          <w:lang w:val="en-US" w:eastAsia="zh-CN" w:bidi="ar"/>
        </w:rPr>
        <w:t>度决算184.1万元</w:t>
      </w:r>
      <w:r>
        <w:rPr>
          <w:rFonts w:hint="eastAsia" w:ascii="仿宋_GB2312" w:hAnsi="Times New Roman" w:eastAsia="仿宋_GB2312" w:cs="仿宋_GB2312"/>
          <w:kern w:val="2"/>
          <w:sz w:val="28"/>
          <w:szCs w:val="28"/>
          <w:lang w:val="en-US" w:eastAsia="zh-CN" w:bidi="ar"/>
        </w:rPr>
        <w:t>，</w:t>
      </w:r>
      <w:r>
        <w:rPr>
          <w:rFonts w:hint="eastAsia" w:ascii="仿宋_GB2312" w:eastAsia="仿宋_GB2312" w:cs="仿宋_GB2312"/>
          <w:kern w:val="2"/>
          <w:sz w:val="28"/>
          <w:szCs w:val="28"/>
          <w:lang w:val="en-US" w:eastAsia="zh-CN" w:bidi="ar"/>
        </w:rPr>
        <w:t>完成年初预算的84.47%</w:t>
      </w:r>
      <w:r>
        <w:rPr>
          <w:rFonts w:hint="eastAsia" w:ascii="仿宋_GB2312" w:hAnsi="Times New Roman" w:eastAsia="仿宋_GB2312" w:cs="仿宋_GB2312"/>
          <w:kern w:val="2"/>
          <w:sz w:val="28"/>
          <w:szCs w:val="28"/>
          <w:lang w:val="en-US" w:eastAsia="zh-CN" w:bidi="ar"/>
        </w:rPr>
        <w:t>。机关事业单位职业年金缴费2024年</w:t>
      </w:r>
      <w:r>
        <w:rPr>
          <w:rFonts w:hint="eastAsia" w:ascii="仿宋_GB2312" w:eastAsia="仿宋_GB2312" w:cs="仿宋_GB2312"/>
          <w:kern w:val="2"/>
          <w:sz w:val="28"/>
          <w:szCs w:val="28"/>
          <w:lang w:val="en-US" w:eastAsia="zh-CN" w:bidi="ar"/>
        </w:rPr>
        <w:t>度年初预算108.98万元，</w:t>
      </w:r>
      <w:r>
        <w:rPr>
          <w:rFonts w:hint="eastAsia" w:ascii="仿宋_GB2312" w:hAnsi="Times New Roman" w:eastAsia="仿宋_GB2312" w:cs="仿宋_GB2312"/>
          <w:kern w:val="2"/>
          <w:sz w:val="28"/>
          <w:szCs w:val="28"/>
          <w:lang w:val="en-US" w:eastAsia="zh-CN" w:bidi="ar"/>
        </w:rPr>
        <w:t>2024年</w:t>
      </w:r>
      <w:r>
        <w:rPr>
          <w:rFonts w:hint="eastAsia" w:ascii="仿宋_GB2312" w:eastAsia="仿宋_GB2312" w:cs="仿宋_GB2312"/>
          <w:kern w:val="2"/>
          <w:sz w:val="28"/>
          <w:szCs w:val="28"/>
          <w:lang w:val="en-US" w:eastAsia="zh-CN" w:bidi="ar"/>
        </w:rPr>
        <w:t>度决算110.04万元</w:t>
      </w:r>
      <w:r>
        <w:rPr>
          <w:rFonts w:hint="eastAsia" w:ascii="仿宋_GB2312" w:hAnsi="Times New Roman" w:eastAsia="仿宋_GB2312" w:cs="仿宋_GB2312"/>
          <w:kern w:val="2"/>
          <w:sz w:val="28"/>
          <w:szCs w:val="28"/>
          <w:lang w:val="en-US" w:eastAsia="zh-CN" w:bidi="ar"/>
        </w:rPr>
        <w:t>，</w:t>
      </w:r>
      <w:r>
        <w:rPr>
          <w:rFonts w:hint="eastAsia" w:ascii="仿宋_GB2312" w:eastAsia="仿宋_GB2312" w:cs="仿宋_GB2312"/>
          <w:kern w:val="2"/>
          <w:sz w:val="28"/>
          <w:szCs w:val="28"/>
          <w:lang w:val="en-US" w:eastAsia="zh-CN" w:bidi="ar"/>
        </w:rPr>
        <w:t>完成年初预算的100.97</w:t>
      </w:r>
      <w:r>
        <w:rPr>
          <w:rFonts w:hint="eastAsia" w:ascii="仿宋_GB2312" w:hAnsi="Times New Roman" w:eastAsia="仿宋_GB2312" w:cs="仿宋_GB2312"/>
          <w:kern w:val="2"/>
          <w:sz w:val="28"/>
          <w:szCs w:val="28"/>
          <w:lang w:val="en-US" w:eastAsia="zh-CN" w:bidi="ar"/>
        </w:rPr>
        <w:t>%。主要原因：退休人员去世增加抚恤金；保险基数调整。</w:t>
      </w:r>
    </w:p>
    <w:p w14:paraId="38C4025D">
      <w:pPr>
        <w:keepNext w:val="0"/>
        <w:keepLines w:val="0"/>
        <w:widowControl w:val="0"/>
        <w:suppressLineNumbers w:val="0"/>
        <w:autoSpaceDE w:val="0"/>
        <w:autoSpaceDN w:val="0"/>
        <w:adjustRightInd w:val="0"/>
        <w:spacing w:before="0" w:beforeAutospacing="0" w:after="0" w:afterAutospacing="0" w:line="580" w:lineRule="exact"/>
        <w:ind w:left="0" w:right="0" w:firstLine="560" w:firstLineChars="200"/>
        <w:jc w:val="left"/>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3.卫生健康支出2024年度</w:t>
      </w:r>
      <w:r>
        <w:rPr>
          <w:rFonts w:hint="eastAsia" w:ascii="仿宋_GB2312" w:eastAsia="仿宋_GB2312" w:cs="仿宋_GB2312"/>
          <w:kern w:val="2"/>
          <w:sz w:val="28"/>
          <w:szCs w:val="28"/>
          <w:lang w:val="en-US" w:eastAsia="zh-CN" w:bidi="ar"/>
        </w:rPr>
        <w:t>年初预算230.75万元</w:t>
      </w:r>
      <w:r>
        <w:rPr>
          <w:rFonts w:hint="eastAsia" w:ascii="仿宋_GB2312" w:hAnsi="Times New Roman" w:eastAsia="仿宋_GB2312" w:cs="仿宋_GB2312"/>
          <w:kern w:val="2"/>
          <w:sz w:val="28"/>
          <w:szCs w:val="28"/>
          <w:lang w:val="en-US" w:eastAsia="zh-CN" w:bidi="ar"/>
        </w:rPr>
        <w:t>，2024年</w:t>
      </w:r>
      <w:r>
        <w:rPr>
          <w:rFonts w:hint="eastAsia" w:ascii="仿宋_GB2312" w:eastAsia="仿宋_GB2312" w:cs="仿宋_GB2312"/>
          <w:kern w:val="2"/>
          <w:sz w:val="28"/>
          <w:szCs w:val="28"/>
          <w:lang w:val="en-US" w:eastAsia="zh-CN" w:bidi="ar"/>
        </w:rPr>
        <w:t>度</w:t>
      </w:r>
      <w:r>
        <w:rPr>
          <w:rFonts w:hint="eastAsia" w:ascii="仿宋_GB2312" w:hAnsi="Times New Roman" w:eastAsia="仿宋_GB2312" w:cs="仿宋_GB2312"/>
          <w:kern w:val="2"/>
          <w:sz w:val="28"/>
          <w:szCs w:val="28"/>
          <w:lang w:val="en-US" w:eastAsia="zh-CN" w:bidi="ar"/>
        </w:rPr>
        <w:t>决算185.79万元，</w:t>
      </w:r>
      <w:r>
        <w:rPr>
          <w:rFonts w:hint="eastAsia" w:ascii="仿宋_GB2312" w:eastAsia="仿宋_GB2312" w:cs="仿宋_GB2312"/>
          <w:kern w:val="2"/>
          <w:sz w:val="28"/>
          <w:szCs w:val="28"/>
          <w:lang w:val="en-US" w:eastAsia="zh-CN" w:bidi="ar"/>
        </w:rPr>
        <w:t>完成年初预算的80.52%</w:t>
      </w:r>
      <w:r>
        <w:rPr>
          <w:rFonts w:hint="eastAsia" w:ascii="仿宋_GB2312" w:hAnsi="Times New Roman" w:eastAsia="仿宋_GB2312" w:cs="仿宋_GB2312"/>
          <w:kern w:val="2"/>
          <w:sz w:val="28"/>
          <w:szCs w:val="28"/>
          <w:lang w:val="en-US" w:eastAsia="zh-CN" w:bidi="ar"/>
        </w:rPr>
        <w:t>。主要原因：保险基数调整。</w:t>
      </w:r>
    </w:p>
    <w:p w14:paraId="64B17BA8">
      <w:pPr>
        <w:keepNext w:val="0"/>
        <w:keepLines w:val="0"/>
        <w:widowControl w:val="0"/>
        <w:suppressLineNumbers w:val="0"/>
        <w:autoSpaceDE w:val="0"/>
        <w:autoSpaceDN w:val="0"/>
        <w:adjustRightInd w:val="0"/>
        <w:spacing w:before="0" w:beforeAutospacing="0" w:after="0" w:afterAutospacing="0" w:line="580" w:lineRule="exact"/>
        <w:ind w:left="0" w:right="0" w:firstLine="560" w:firstLineChars="200"/>
        <w:jc w:val="left"/>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4.住房保障支出2024年度</w:t>
      </w:r>
      <w:r>
        <w:rPr>
          <w:rFonts w:hint="eastAsia" w:ascii="仿宋_GB2312" w:eastAsia="仿宋_GB2312" w:cs="仿宋_GB2312"/>
          <w:kern w:val="2"/>
          <w:sz w:val="28"/>
          <w:szCs w:val="28"/>
          <w:lang w:val="en-US" w:eastAsia="zh-CN" w:bidi="ar"/>
        </w:rPr>
        <w:t>年初预算0万元，</w:t>
      </w:r>
      <w:r>
        <w:rPr>
          <w:rFonts w:hint="eastAsia" w:ascii="仿宋_GB2312" w:hAnsi="Times New Roman" w:eastAsia="仿宋_GB2312" w:cs="仿宋_GB2312"/>
          <w:kern w:val="2"/>
          <w:sz w:val="28"/>
          <w:szCs w:val="28"/>
          <w:lang w:val="en-US" w:eastAsia="zh-CN" w:bidi="ar"/>
        </w:rPr>
        <w:t>2024年</w:t>
      </w:r>
      <w:r>
        <w:rPr>
          <w:rFonts w:hint="eastAsia" w:ascii="仿宋_GB2312" w:eastAsia="仿宋_GB2312" w:cs="仿宋_GB2312"/>
          <w:kern w:val="2"/>
          <w:sz w:val="28"/>
          <w:szCs w:val="28"/>
          <w:lang w:val="en-US" w:eastAsia="zh-CN" w:bidi="ar"/>
        </w:rPr>
        <w:t>度</w:t>
      </w:r>
      <w:r>
        <w:rPr>
          <w:rFonts w:hint="eastAsia" w:ascii="仿宋_GB2312" w:hAnsi="Times New Roman" w:eastAsia="仿宋_GB2312" w:cs="仿宋_GB2312"/>
          <w:kern w:val="2"/>
          <w:sz w:val="28"/>
          <w:szCs w:val="28"/>
          <w:lang w:val="en-US" w:eastAsia="zh-CN" w:bidi="ar"/>
        </w:rPr>
        <w:t xml:space="preserve">决算255.58万元。主要原因：2024年度追加补发了以前年度的住房补贴。 </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3B2B20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1F320804">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2200</w:t>
      </w:r>
      <w:r>
        <w:rPr>
          <w:rFonts w:hint="eastAsia" w:ascii="仿宋_GB2312" w:eastAsia="仿宋_GB2312"/>
          <w:sz w:val="28"/>
          <w:szCs w:val="28"/>
        </w:rPr>
        <w:t>万元，主要用于以下方面：城乡社区支出</w:t>
      </w:r>
      <w:r>
        <w:rPr>
          <w:rFonts w:hint="eastAsia" w:ascii="仿宋_GB2312" w:eastAsia="仿宋_GB2312"/>
          <w:sz w:val="28"/>
          <w:szCs w:val="28"/>
          <w:lang w:val="en-US" w:eastAsia="zh-CN"/>
        </w:rPr>
        <w:t>2200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eastAsia="zh-CN"/>
        </w:rPr>
        <w:t>。</w:t>
      </w:r>
    </w:p>
    <w:p w14:paraId="5AE8FAD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70E36E28">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城乡社区支出202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2200</w:t>
      </w:r>
      <w:r>
        <w:rPr>
          <w:rFonts w:hint="eastAsia" w:ascii="仿宋_GB2312" w:eastAsia="仿宋_GB2312"/>
          <w:sz w:val="28"/>
          <w:szCs w:val="28"/>
        </w:rPr>
        <w:t>万元。其中：</w:t>
      </w:r>
    </w:p>
    <w:p w14:paraId="1A0AD210">
      <w:pPr>
        <w:spacing w:line="580" w:lineRule="exact"/>
        <w:ind w:firstLine="840" w:firstLineChars="300"/>
        <w:rPr>
          <w:rFonts w:hint="eastAsia" w:ascii="仿宋_GB2312" w:eastAsia="仿宋_GB2312"/>
          <w:sz w:val="28"/>
          <w:szCs w:val="28"/>
        </w:rPr>
      </w:pPr>
      <w:r>
        <w:rPr>
          <w:rFonts w:hint="eastAsia" w:ascii="仿宋_GB2312" w:eastAsia="仿宋_GB2312"/>
          <w:sz w:val="28"/>
          <w:szCs w:val="28"/>
        </w:rPr>
        <w:t>城市</w:t>
      </w:r>
      <w:r>
        <w:rPr>
          <w:rFonts w:hint="eastAsia" w:ascii="仿宋_GB2312" w:eastAsia="仿宋_GB2312"/>
          <w:sz w:val="28"/>
          <w:szCs w:val="28"/>
          <w:lang w:val="en-US" w:eastAsia="zh-CN"/>
        </w:rPr>
        <w:t>建设支出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2200</w:t>
      </w:r>
      <w:r>
        <w:rPr>
          <w:rFonts w:hint="eastAsia" w:ascii="仿宋_GB2312" w:eastAsia="仿宋_GB2312"/>
          <w:sz w:val="28"/>
          <w:szCs w:val="28"/>
        </w:rPr>
        <w:t>万元。主要原因：</w:t>
      </w:r>
      <w:r>
        <w:rPr>
          <w:rFonts w:hint="eastAsia" w:ascii="仿宋_GB2312" w:hAnsi="Times New Roman" w:eastAsia="仿宋_GB2312" w:cs="仿宋_GB2312"/>
          <w:kern w:val="2"/>
          <w:sz w:val="28"/>
          <w:szCs w:val="28"/>
          <w:lang w:val="en-US" w:eastAsia="zh-CN" w:bidi="ar"/>
        </w:rPr>
        <w:t xml:space="preserve"> 2024年我校校舍改造，财政投资增加</w:t>
      </w:r>
      <w:r>
        <w:rPr>
          <w:rFonts w:hint="eastAsia" w:ascii="仿宋_GB2312" w:eastAsia="仿宋_GB2312"/>
          <w:sz w:val="28"/>
          <w:szCs w:val="28"/>
        </w:rPr>
        <w:t>。</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581FFC98">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3398.91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w:t>
      </w:r>
    </w:p>
    <w:p w14:paraId="6487F37F">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65171DA3">
      <w:pPr>
        <w:tabs>
          <w:tab w:val="center" w:pos="6979"/>
        </w:tabs>
        <w:spacing w:line="580" w:lineRule="exact"/>
        <w:ind w:firstLine="548" w:firstLineChars="196"/>
        <w:rPr>
          <w:rFonts w:hint="eastAsia" w:ascii="仿宋_GB2312" w:eastAsia="仿宋_GB2312"/>
          <w:sz w:val="28"/>
          <w:szCs w:val="28"/>
        </w:rPr>
      </w:pPr>
    </w:p>
    <w:p w14:paraId="382915DA">
      <w:pPr>
        <w:autoSpaceDE w:val="0"/>
        <w:autoSpaceDN w:val="0"/>
        <w:adjustRightInd w:val="0"/>
        <w:spacing w:line="580" w:lineRule="exact"/>
        <w:ind w:firstLine="4800" w:firstLineChars="1200"/>
        <w:jc w:val="both"/>
        <w:rPr>
          <w:rFonts w:hint="eastAsia" w:ascii="宋体" w:hAnsi="宋体" w:cs="宋体"/>
          <w:b/>
          <w:spacing w:val="40"/>
          <w:kern w:val="0"/>
          <w:sz w:val="32"/>
          <w:szCs w:val="32"/>
        </w:rPr>
      </w:pPr>
      <w:bookmarkStart w:id="0" w:name="_GoBack"/>
      <w:bookmarkEnd w:id="0"/>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8.78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15.33</w:t>
      </w:r>
      <w:r>
        <w:rPr>
          <w:rFonts w:hint="eastAsia" w:ascii="仿宋_GB2312" w:eastAsia="仿宋_GB2312"/>
          <w:sz w:val="28"/>
          <w:szCs w:val="28"/>
        </w:rPr>
        <w:t>万元减少</w:t>
      </w:r>
      <w:r>
        <w:rPr>
          <w:rFonts w:hint="eastAsia" w:ascii="仿宋_GB2312" w:eastAsia="仿宋_GB2312"/>
          <w:sz w:val="28"/>
          <w:szCs w:val="28"/>
          <w:lang w:val="en-US" w:eastAsia="zh-CN"/>
        </w:rPr>
        <w:t>6.55</w:t>
      </w:r>
      <w:r>
        <w:rPr>
          <w:rFonts w:hint="eastAsia" w:ascii="仿宋_GB2312" w:eastAsia="仿宋_GB2312"/>
          <w:sz w:val="28"/>
          <w:szCs w:val="28"/>
        </w:rPr>
        <w:t>万元。其中：</w:t>
      </w:r>
    </w:p>
    <w:p w14:paraId="4A925C1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万元增减</w:t>
      </w:r>
      <w:r>
        <w:rPr>
          <w:rFonts w:hint="eastAsia" w:ascii="仿宋_GB2312" w:eastAsia="仿宋_GB2312"/>
          <w:sz w:val="28"/>
          <w:szCs w:val="28"/>
          <w:lang w:val="en-US" w:eastAsia="zh-CN"/>
        </w:rPr>
        <w:t>无变化</w:t>
      </w:r>
      <w:r>
        <w:rPr>
          <w:rFonts w:hint="eastAsia" w:ascii="仿宋_GB2312" w:eastAsia="仿宋_GB2312"/>
          <w:sz w:val="28"/>
          <w:szCs w:val="28"/>
        </w:rPr>
        <w:t>。主要原因：</w:t>
      </w:r>
      <w:r>
        <w:rPr>
          <w:rFonts w:hint="eastAsia" w:ascii="仿宋_GB2312" w:eastAsia="仿宋_GB2312"/>
          <w:sz w:val="28"/>
          <w:szCs w:val="28"/>
          <w:lang w:val="en-US" w:eastAsia="zh-CN"/>
        </w:rPr>
        <w:t>是因公出国（境）费用根据年度出国审批情况作为追加项目管理，单位不做年初预算，本年也没有出国审批项目发生；2024年度因公出国（境）费用主要用于出国(境）的会议、培训交流等事项，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312FDAB1">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1.83</w:t>
      </w:r>
      <w:r>
        <w:rPr>
          <w:rFonts w:hint="eastAsia" w:ascii="仿宋_GB2312" w:eastAsia="仿宋_GB2312"/>
          <w:sz w:val="28"/>
          <w:szCs w:val="28"/>
        </w:rPr>
        <w:t>万元</w:t>
      </w:r>
      <w:r>
        <w:rPr>
          <w:rFonts w:hint="eastAsia" w:ascii="仿宋_GB2312" w:eastAsia="仿宋_GB2312"/>
          <w:sz w:val="28"/>
          <w:szCs w:val="28"/>
          <w:lang w:val="en-US" w:eastAsia="zh-CN"/>
        </w:rPr>
        <w:t>减少1.83</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本单位无此项支出。</w:t>
      </w:r>
      <w:r>
        <w:rPr>
          <w:rFonts w:hint="eastAsia" w:ascii="仿宋_GB2312" w:eastAsia="仿宋_GB2312" w:cs="Times New Roman"/>
          <w:kern w:val="2"/>
          <w:sz w:val="28"/>
          <w:szCs w:val="28"/>
          <w:lang w:val="en-US" w:eastAsia="zh-CN" w:bidi="ar"/>
        </w:rPr>
        <w:t>2024年度公务接待费主要用于公务接待事项。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8.78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13.5</w:t>
      </w:r>
      <w:r>
        <w:rPr>
          <w:rFonts w:hint="eastAsia" w:ascii="仿宋_GB2312" w:eastAsia="仿宋_GB2312"/>
          <w:sz w:val="28"/>
          <w:szCs w:val="28"/>
        </w:rPr>
        <w:t>万元减少</w:t>
      </w:r>
      <w:r>
        <w:rPr>
          <w:rFonts w:hint="eastAsia" w:ascii="仿宋_GB2312" w:hAnsi="Times New Roman" w:eastAsia="仿宋_GB2312" w:cs="Times New Roman"/>
          <w:kern w:val="2"/>
          <w:sz w:val="28"/>
          <w:szCs w:val="28"/>
          <w:lang w:val="en-US" w:eastAsia="zh-CN" w:bidi="ar"/>
        </w:rPr>
        <w:t>4.72</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本年度无公务用车购置</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8.78</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2024年年初预算在编五辆车，因2024年有一辆是能源车，因此车辆费用支出减少</w:t>
      </w:r>
      <w:r>
        <w:rPr>
          <w:rFonts w:hint="eastAsia" w:ascii="仿宋_GB2312" w:eastAsia="仿宋_GB2312" w:cs="Times New Roman"/>
          <w:kern w:val="2"/>
          <w:sz w:val="28"/>
          <w:szCs w:val="28"/>
          <w:lang w:val="en-US" w:eastAsia="zh-CN" w:bidi="ar"/>
        </w:rPr>
        <w:t>；严格落实公务用车使用规定，认真贯彻厉行节约反对浪费的有关要求，本着节俭高效的原则，进一步加强公务用车管理，减少费用支出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5</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0A1D8017">
      <w:pPr>
        <w:keepNext w:val="0"/>
        <w:keepLines w:val="0"/>
        <w:widowControl w:val="0"/>
        <w:suppressLineNumbers w:val="0"/>
        <w:snapToGrid w:val="0"/>
        <w:spacing w:before="0" w:beforeAutospacing="0" w:after="0" w:afterAutospacing="0" w:line="520" w:lineRule="exact"/>
        <w:ind w:right="0" w:firstLine="560" w:firstLineChars="200"/>
        <w:jc w:val="both"/>
        <w:rPr>
          <w:rFonts w:hint="eastAsia" w:ascii="黑体" w:hAnsi="Times New Roman" w:eastAsia="黑体" w:cs="黑体"/>
          <w:sz w:val="28"/>
          <w:szCs w:val="28"/>
          <w:lang w:val="en-US"/>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万元，比上年增加（减少）</w:t>
      </w:r>
      <w:r>
        <w:rPr>
          <w:rFonts w:hint="eastAsia" w:ascii="仿宋_GB2312" w:eastAsia="仿宋_GB2312"/>
          <w:sz w:val="28"/>
          <w:szCs w:val="28"/>
          <w:lang w:val="en-US" w:eastAsia="zh-CN"/>
        </w:rPr>
        <w:t>0</w:t>
      </w:r>
      <w:r>
        <w:rPr>
          <w:rFonts w:hint="eastAsia" w:ascii="仿宋_GB2312" w:eastAsia="仿宋_GB2312"/>
          <w:sz w:val="28"/>
          <w:szCs w:val="28"/>
        </w:rPr>
        <w:t>万元，增加（减少）原因：</w:t>
      </w:r>
      <w:r>
        <w:rPr>
          <w:rFonts w:hint="eastAsia" w:ascii="仿宋_GB2312" w:hAnsi="Times New Roman" w:eastAsia="仿宋_GB2312" w:cs="仿宋_GB2312"/>
          <w:kern w:val="2"/>
          <w:sz w:val="28"/>
          <w:szCs w:val="28"/>
          <w:lang w:val="en-US" w:eastAsia="zh-CN" w:bidi="ar"/>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7676.31</w:t>
      </w:r>
      <w:r>
        <w:rPr>
          <w:rFonts w:hint="eastAsia" w:ascii="仿宋_GB2312" w:eastAsia="仿宋_GB2312"/>
          <w:sz w:val="28"/>
          <w:szCs w:val="28"/>
        </w:rPr>
        <w:t>万元，其中：政府采购货物支出</w:t>
      </w:r>
      <w:r>
        <w:rPr>
          <w:rFonts w:hint="eastAsia" w:ascii="仿宋_GB2312" w:hAnsi="Times New Roman" w:eastAsia="仿宋_GB2312" w:cs="Times New Roman"/>
          <w:kern w:val="2"/>
          <w:sz w:val="28"/>
          <w:szCs w:val="28"/>
          <w:lang w:val="en-US" w:eastAsia="zh-CN" w:bidi="ar"/>
        </w:rPr>
        <w:t>6937.49</w:t>
      </w:r>
      <w:r>
        <w:rPr>
          <w:rFonts w:hint="eastAsia" w:ascii="仿宋_GB2312" w:eastAsia="仿宋_GB2312"/>
          <w:sz w:val="28"/>
          <w:szCs w:val="28"/>
        </w:rPr>
        <w:t>万元，政府采购工程支出</w:t>
      </w:r>
      <w:r>
        <w:rPr>
          <w:rFonts w:hint="eastAsia" w:ascii="仿宋_GB2312" w:hAnsi="Times New Roman" w:eastAsia="仿宋_GB2312" w:cs="Times New Roman"/>
          <w:kern w:val="2"/>
          <w:sz w:val="28"/>
          <w:szCs w:val="28"/>
          <w:lang w:val="en-US" w:eastAsia="zh-CN" w:bidi="ar"/>
        </w:rPr>
        <w:t>685.37</w:t>
      </w:r>
      <w:r>
        <w:rPr>
          <w:rFonts w:hint="eastAsia" w:ascii="仿宋_GB2312" w:eastAsia="仿宋_GB2312"/>
          <w:sz w:val="28"/>
          <w:szCs w:val="28"/>
        </w:rPr>
        <w:t>万元，政府采购服务支出</w:t>
      </w:r>
      <w:r>
        <w:rPr>
          <w:rFonts w:hint="eastAsia" w:ascii="仿宋_GB2312" w:hAnsi="Times New Roman" w:eastAsia="仿宋_GB2312" w:cs="Times New Roman"/>
          <w:kern w:val="2"/>
          <w:sz w:val="28"/>
          <w:szCs w:val="28"/>
          <w:lang w:val="en-US" w:eastAsia="zh-CN" w:bidi="ar"/>
        </w:rPr>
        <w:t>53.45</w:t>
      </w:r>
      <w:r>
        <w:rPr>
          <w:rFonts w:hint="eastAsia" w:ascii="仿宋_GB2312" w:eastAsia="仿宋_GB2312"/>
          <w:sz w:val="28"/>
          <w:szCs w:val="28"/>
        </w:rPr>
        <w:t>万元。授予中小企业合同金额</w:t>
      </w:r>
      <w:r>
        <w:rPr>
          <w:rFonts w:ascii="仿宋_GB2312" w:eastAsia="仿宋_GB2312"/>
          <w:sz w:val="28"/>
          <w:szCs w:val="28"/>
        </w:rPr>
        <w:t>7674.33</w:t>
      </w:r>
      <w:r>
        <w:rPr>
          <w:rFonts w:hint="eastAsia" w:ascii="仿宋_GB2312" w:eastAsia="仿宋_GB2312"/>
          <w:sz w:val="28"/>
          <w:szCs w:val="28"/>
        </w:rPr>
        <w:t>万元，占政府采购支出总额的</w:t>
      </w:r>
      <w:r>
        <w:rPr>
          <w:rFonts w:hint="eastAsia" w:ascii="仿宋_GB2312" w:eastAsia="仿宋_GB2312"/>
          <w:sz w:val="28"/>
          <w:szCs w:val="28"/>
          <w:lang w:eastAsia="zh-CN"/>
        </w:rPr>
        <w:t>99.97</w:t>
      </w:r>
      <w:r>
        <w:rPr>
          <w:rFonts w:hint="eastAsia" w:ascii="仿宋_GB2312" w:eastAsia="仿宋_GB2312"/>
          <w:sz w:val="28"/>
          <w:szCs w:val="28"/>
        </w:rPr>
        <w:t>%，其中：授予小微企业合同金额</w:t>
      </w:r>
      <w:r>
        <w:rPr>
          <w:rFonts w:ascii="仿宋_GB2312" w:eastAsia="仿宋_GB2312"/>
          <w:sz w:val="28"/>
          <w:szCs w:val="28"/>
        </w:rPr>
        <w:t>6988.96</w:t>
      </w:r>
      <w:r>
        <w:rPr>
          <w:rFonts w:hint="eastAsia" w:ascii="仿宋_GB2312" w:eastAsia="仿宋_GB2312"/>
          <w:sz w:val="28"/>
          <w:szCs w:val="28"/>
        </w:rPr>
        <w:t>万元，占政府采购支出总额的</w:t>
      </w:r>
      <w:r>
        <w:rPr>
          <w:rFonts w:ascii="仿宋_GB2312" w:eastAsia="仿宋_GB2312"/>
          <w:sz w:val="28"/>
          <w:szCs w:val="28"/>
        </w:rPr>
        <w:t>91.05</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12月31日，北京师范大学附属实验中学大兴分校</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5</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9ADBE78">
      <w:pPr>
        <w:keepNext w:val="0"/>
        <w:keepLines w:val="0"/>
        <w:widowControl w:val="0"/>
        <w:suppressLineNumbers w:val="0"/>
        <w:spacing w:before="0" w:beforeAutospacing="0" w:after="0" w:afterAutospacing="0"/>
        <w:ind w:left="0" w:right="0" w:firstLine="420" w:firstLineChars="150"/>
        <w:jc w:val="both"/>
        <w:rPr>
          <w:rFonts w:hint="eastAsia" w:ascii="仿宋_GB2312" w:eastAsia="仿宋_GB2312" w:cs="仿宋_GB2312"/>
          <w:sz w:val="28"/>
          <w:szCs w:val="28"/>
          <w:lang w:val="en-US"/>
        </w:rPr>
      </w:pPr>
      <w:r>
        <w:rPr>
          <w:rFonts w:hint="eastAsia" w:ascii="仿宋_GB2312" w:eastAsia="仿宋_GB2312" w:cs="仿宋_GB2312"/>
          <w:kern w:val="2"/>
          <w:sz w:val="28"/>
          <w:szCs w:val="28"/>
          <w:lang w:val="en-US" w:eastAsia="zh-CN" w:bidi="ar"/>
        </w:rPr>
        <w:t>7</w:t>
      </w:r>
      <w:r>
        <w:rPr>
          <w:rFonts w:hint="eastAsia" w:ascii="仿宋_GB2312" w:hAnsi="Times New Roman" w:eastAsia="仿宋_GB2312" w:cs="仿宋_GB2312"/>
          <w:kern w:val="2"/>
          <w:sz w:val="28"/>
          <w:szCs w:val="28"/>
          <w:lang w:val="en-US" w:eastAsia="zh-CN" w:bidi="ar"/>
        </w:rPr>
        <w:t>.教育支出普通教育初中教育：反映各部门举办的初中教育支出。政府各部门对社会组织等举办的初中的资助，如捐赠、补贴等也在本科目中反映。</w:t>
      </w:r>
    </w:p>
    <w:p w14:paraId="2366F4E5">
      <w:pPr>
        <w:keepNext w:val="0"/>
        <w:keepLines w:val="0"/>
        <w:widowControl w:val="0"/>
        <w:suppressLineNumbers w:val="0"/>
        <w:spacing w:before="0" w:beforeAutospacing="0" w:after="0" w:afterAutospacing="0"/>
        <w:ind w:left="0" w:right="0" w:firstLine="420" w:firstLineChars="150"/>
        <w:jc w:val="both"/>
        <w:rPr>
          <w:rFonts w:hint="eastAsia" w:ascii="仿宋_GB2312" w:eastAsia="仿宋_GB2312" w:cs="仿宋_GB2312"/>
          <w:sz w:val="28"/>
          <w:szCs w:val="28"/>
          <w:lang w:val="en-US"/>
        </w:rPr>
      </w:pPr>
      <w:r>
        <w:rPr>
          <w:rFonts w:hint="eastAsia" w:ascii="仿宋_GB2312" w:eastAsia="仿宋_GB2312" w:cs="仿宋_GB2312"/>
          <w:kern w:val="2"/>
          <w:sz w:val="28"/>
          <w:szCs w:val="28"/>
          <w:lang w:val="en-US" w:eastAsia="zh-CN" w:bidi="ar"/>
        </w:rPr>
        <w:t>8</w:t>
      </w:r>
      <w:r>
        <w:rPr>
          <w:rFonts w:hint="eastAsia" w:ascii="仿宋_GB2312" w:hAnsi="Times New Roman" w:eastAsia="仿宋_GB2312" w:cs="仿宋_GB2312"/>
          <w:kern w:val="2"/>
          <w:sz w:val="28"/>
          <w:szCs w:val="28"/>
          <w:lang w:val="en-US" w:eastAsia="zh-CN" w:bidi="ar"/>
        </w:rPr>
        <w:t>. 教育支出普通教育其他普通教育支出：反映除上述项目以外其他用于普通教育方面的支出。</w:t>
      </w:r>
    </w:p>
    <w:p w14:paraId="520F1292">
      <w:pPr>
        <w:keepNext w:val="0"/>
        <w:keepLines w:val="0"/>
        <w:widowControl w:val="0"/>
        <w:suppressLineNumbers w:val="0"/>
        <w:spacing w:before="0" w:beforeAutospacing="0" w:after="0" w:afterAutospacing="0"/>
        <w:ind w:left="0" w:right="0" w:firstLine="420" w:firstLineChars="150"/>
        <w:jc w:val="both"/>
        <w:rPr>
          <w:rFonts w:hint="eastAsia" w:ascii="仿宋_GB2312" w:eastAsia="仿宋_GB2312" w:cs="仿宋_GB2312"/>
          <w:sz w:val="28"/>
          <w:szCs w:val="28"/>
          <w:lang w:val="en-US"/>
        </w:rPr>
      </w:pPr>
      <w:r>
        <w:rPr>
          <w:rFonts w:hint="eastAsia" w:ascii="仿宋_GB2312" w:eastAsia="仿宋_GB2312" w:cs="仿宋_GB2312"/>
          <w:kern w:val="2"/>
          <w:sz w:val="28"/>
          <w:szCs w:val="28"/>
          <w:lang w:val="en-US" w:eastAsia="zh-CN" w:bidi="ar"/>
        </w:rPr>
        <w:t>9</w:t>
      </w:r>
      <w:r>
        <w:rPr>
          <w:rFonts w:hint="eastAsia" w:ascii="仿宋_GB2312" w:hAnsi="Times New Roman" w:eastAsia="仿宋_GB2312" w:cs="仿宋_GB2312"/>
          <w:kern w:val="2"/>
          <w:sz w:val="28"/>
          <w:szCs w:val="28"/>
          <w:lang w:val="en-US" w:eastAsia="zh-CN" w:bidi="ar"/>
        </w:rPr>
        <w:t>. 社会保障和就业支出行政事业单位养老支出事业单位离退休：反映事业单位开支的离退休经费。</w:t>
      </w:r>
    </w:p>
    <w:p w14:paraId="2028C778">
      <w:pPr>
        <w:keepNext w:val="0"/>
        <w:keepLines w:val="0"/>
        <w:widowControl w:val="0"/>
        <w:suppressLineNumbers w:val="0"/>
        <w:spacing w:before="0" w:beforeAutospacing="0" w:after="0" w:afterAutospacing="0"/>
        <w:ind w:left="0" w:right="0" w:firstLine="420" w:firstLineChars="150"/>
        <w:jc w:val="both"/>
        <w:rPr>
          <w:rFonts w:hint="eastAsia" w:ascii="仿宋_GB2312" w:eastAsia="仿宋_GB2312" w:cs="仿宋_GB2312"/>
          <w:sz w:val="28"/>
          <w:szCs w:val="28"/>
          <w:lang w:val="en-US"/>
        </w:rPr>
      </w:pPr>
      <w:r>
        <w:rPr>
          <w:rFonts w:hint="eastAsia" w:ascii="仿宋_GB2312" w:eastAsia="仿宋_GB2312" w:cs="仿宋_GB2312"/>
          <w:kern w:val="2"/>
          <w:sz w:val="28"/>
          <w:szCs w:val="28"/>
          <w:lang w:val="en-US" w:eastAsia="zh-CN" w:bidi="ar"/>
        </w:rPr>
        <w:t>10</w:t>
      </w:r>
      <w:r>
        <w:rPr>
          <w:rFonts w:hint="eastAsia" w:ascii="仿宋_GB2312" w:hAnsi="Times New Roman" w:eastAsia="仿宋_GB2312" w:cs="仿宋_GB2312"/>
          <w:kern w:val="2"/>
          <w:sz w:val="28"/>
          <w:szCs w:val="28"/>
          <w:lang w:val="en-US" w:eastAsia="zh-CN" w:bidi="ar"/>
        </w:rPr>
        <w:t>. 社会保障和就业支出行政事业单位养老支出其他行政事业单位养老支出：反映出上述项目以外其他用于行政事业单位养老方面的支出。</w:t>
      </w:r>
    </w:p>
    <w:p w14:paraId="56B2CDEA">
      <w:pPr>
        <w:keepNext w:val="0"/>
        <w:keepLines w:val="0"/>
        <w:widowControl w:val="0"/>
        <w:suppressLineNumbers w:val="0"/>
        <w:spacing w:before="0" w:beforeAutospacing="0" w:after="0" w:afterAutospacing="0"/>
        <w:ind w:left="0" w:right="0" w:firstLine="420" w:firstLineChars="150"/>
        <w:jc w:val="both"/>
        <w:rPr>
          <w:rFonts w:hint="eastAsia" w:ascii="仿宋_GB2312" w:eastAsia="仿宋_GB2312" w:cs="仿宋_GB2312"/>
          <w:sz w:val="28"/>
          <w:szCs w:val="28"/>
          <w:lang w:val="en-US"/>
        </w:rPr>
      </w:pPr>
      <w:r>
        <w:rPr>
          <w:rFonts w:hint="eastAsia" w:ascii="仿宋_GB2312" w:eastAsia="仿宋_GB2312" w:cs="仿宋_GB2312"/>
          <w:kern w:val="2"/>
          <w:sz w:val="28"/>
          <w:szCs w:val="28"/>
          <w:lang w:val="en-US" w:eastAsia="zh-CN" w:bidi="ar"/>
        </w:rPr>
        <w:t>11</w:t>
      </w:r>
      <w:r>
        <w:rPr>
          <w:rFonts w:hint="eastAsia" w:ascii="仿宋_GB2312" w:hAnsi="Times New Roman" w:eastAsia="仿宋_GB2312" w:cs="仿宋_GB2312"/>
          <w:kern w:val="2"/>
          <w:sz w:val="28"/>
          <w:szCs w:val="28"/>
          <w:lang w:val="en-US" w:eastAsia="zh-CN" w:bidi="ar"/>
        </w:rPr>
        <w:t xml:space="preserve"> 社会保障和就业支出行政事业单位养老支出机关事业单位基本养老保险缴费支出：反映机关事业单位实施养老保险制度由单位缴纳的基本养老保险费支出。</w:t>
      </w:r>
    </w:p>
    <w:p w14:paraId="2A13FBA0">
      <w:pPr>
        <w:keepNext w:val="0"/>
        <w:keepLines w:val="0"/>
        <w:widowControl w:val="0"/>
        <w:suppressLineNumbers w:val="0"/>
        <w:spacing w:before="0" w:beforeAutospacing="0" w:after="0" w:afterAutospacing="0"/>
        <w:ind w:left="0" w:right="0" w:firstLine="420" w:firstLineChars="15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1</w:t>
      </w:r>
      <w:r>
        <w:rPr>
          <w:rFonts w:hint="eastAsia" w:ascii="仿宋_GB2312" w:eastAsia="仿宋_GB2312" w:cs="仿宋_GB2312"/>
          <w:kern w:val="2"/>
          <w:sz w:val="28"/>
          <w:szCs w:val="28"/>
          <w:lang w:val="en-US" w:eastAsia="zh-CN" w:bidi="ar"/>
        </w:rPr>
        <w:t>2</w:t>
      </w:r>
      <w:r>
        <w:rPr>
          <w:rFonts w:hint="eastAsia" w:ascii="仿宋_GB2312" w:hAnsi="Times New Roman" w:eastAsia="仿宋_GB2312" w:cs="仿宋_GB2312"/>
          <w:kern w:val="2"/>
          <w:sz w:val="28"/>
          <w:szCs w:val="28"/>
          <w:lang w:val="en-US" w:eastAsia="zh-CN" w:bidi="ar"/>
        </w:rPr>
        <w:t>. 社会保障和就业支出行政事业单位养老支出机关事业单位职业年金缴费支出：反映机关事业单位实施养老保险制度由单位实际缴纳的职业年金支出。</w:t>
      </w:r>
    </w:p>
    <w:p w14:paraId="1B87B610">
      <w:pPr>
        <w:keepNext w:val="0"/>
        <w:keepLines w:val="0"/>
        <w:widowControl w:val="0"/>
        <w:suppressLineNumbers w:val="0"/>
        <w:spacing w:before="0" w:beforeAutospacing="0" w:after="0" w:afterAutospacing="0"/>
        <w:ind w:left="0" w:right="0" w:firstLine="420" w:firstLineChars="15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1</w:t>
      </w:r>
      <w:r>
        <w:rPr>
          <w:rFonts w:hint="eastAsia" w:ascii="仿宋_GB2312" w:eastAsia="仿宋_GB2312" w:cs="仿宋_GB2312"/>
          <w:kern w:val="2"/>
          <w:sz w:val="28"/>
          <w:szCs w:val="28"/>
          <w:lang w:val="en-US" w:eastAsia="zh-CN" w:bidi="ar"/>
        </w:rPr>
        <w:t>3</w:t>
      </w:r>
      <w:r>
        <w:rPr>
          <w:rFonts w:hint="eastAsia" w:ascii="仿宋_GB2312" w:hAnsi="Times New Roman" w:eastAsia="仿宋_GB2312" w:cs="仿宋_GB2312"/>
          <w:kern w:val="2"/>
          <w:sz w:val="28"/>
          <w:szCs w:val="28"/>
          <w:lang w:val="en-US" w:eastAsia="zh-CN" w:bidi="ar"/>
        </w:rPr>
        <w:t>. 卫生健康支出行政事业单位医疗事业单位医疗：反映财政部门安排的事业单位基本医疗保险缴费经费，未参加医疗保险的事业单位的公费医疗经费，按国家规定享受离休人员待遇的医疗经费。</w:t>
      </w:r>
    </w:p>
    <w:p w14:paraId="4A17C45A">
      <w:pPr>
        <w:keepNext w:val="0"/>
        <w:keepLines w:val="0"/>
        <w:widowControl w:val="0"/>
        <w:suppressLineNumbers w:val="0"/>
        <w:spacing w:before="0" w:beforeAutospacing="0" w:after="0" w:afterAutospacing="0"/>
        <w:ind w:left="0" w:right="0" w:firstLine="420" w:firstLineChars="15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1</w:t>
      </w:r>
      <w:r>
        <w:rPr>
          <w:rFonts w:hint="eastAsia" w:ascii="仿宋_GB2312" w:eastAsia="仿宋_GB2312" w:cs="仿宋_GB2312"/>
          <w:kern w:val="2"/>
          <w:sz w:val="28"/>
          <w:szCs w:val="28"/>
          <w:lang w:val="en-US" w:eastAsia="zh-CN" w:bidi="ar"/>
        </w:rPr>
        <w:t>4</w:t>
      </w:r>
      <w:r>
        <w:rPr>
          <w:rFonts w:hint="eastAsia" w:ascii="仿宋_GB2312" w:hAnsi="Times New Roman" w:eastAsia="仿宋_GB2312" w:cs="仿宋_GB2312"/>
          <w:kern w:val="2"/>
          <w:sz w:val="28"/>
          <w:szCs w:val="28"/>
          <w:lang w:val="en-US" w:eastAsia="zh-CN" w:bidi="ar"/>
        </w:rPr>
        <w:t>. 卫生健康支出行政事业单位医疗公务员医疗补助：反映财政部门安排的公务员医疗补助金。</w:t>
      </w:r>
    </w:p>
    <w:p w14:paraId="5AFB1131">
      <w:pPr>
        <w:keepNext w:val="0"/>
        <w:keepLines w:val="0"/>
        <w:widowControl w:val="0"/>
        <w:suppressLineNumbers w:val="0"/>
        <w:spacing w:before="0" w:beforeAutospacing="0" w:after="0" w:afterAutospacing="0"/>
        <w:ind w:left="0" w:right="0" w:firstLine="420" w:firstLineChars="15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1</w:t>
      </w:r>
      <w:r>
        <w:rPr>
          <w:rFonts w:hint="eastAsia" w:ascii="仿宋_GB2312" w:eastAsia="仿宋_GB2312" w:cs="仿宋_GB2312"/>
          <w:kern w:val="2"/>
          <w:sz w:val="28"/>
          <w:szCs w:val="28"/>
          <w:lang w:val="en-US" w:eastAsia="zh-CN" w:bidi="ar"/>
        </w:rPr>
        <w:t>5</w:t>
      </w:r>
      <w:r>
        <w:rPr>
          <w:rFonts w:hint="eastAsia" w:ascii="仿宋_GB2312" w:hAnsi="Times New Roman" w:eastAsia="仿宋_GB2312" w:cs="仿宋_GB2312"/>
          <w:kern w:val="2"/>
          <w:sz w:val="28"/>
          <w:szCs w:val="28"/>
          <w:lang w:val="en-US" w:eastAsia="zh-CN" w:bidi="ar"/>
        </w:rPr>
        <w:t>.住房保障支出购房补贴：反映按房改政策规定，行政事业单位向符合条件职工（含离退休人员）、军队（含武警）向转役复员离退休人员发放的用于购买住房的补贴。</w:t>
      </w:r>
    </w:p>
    <w:p w14:paraId="7B15FFB1">
      <w:pPr>
        <w:keepNext w:val="0"/>
        <w:keepLines w:val="0"/>
        <w:widowControl w:val="0"/>
        <w:suppressLineNumbers w:val="0"/>
        <w:spacing w:before="0" w:beforeAutospacing="0" w:after="0" w:afterAutospacing="0"/>
        <w:ind w:left="0" w:right="0" w:firstLine="420" w:firstLineChars="15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1</w:t>
      </w:r>
      <w:r>
        <w:rPr>
          <w:rFonts w:hint="eastAsia" w:ascii="仿宋_GB2312" w:eastAsia="仿宋_GB2312" w:cs="仿宋_GB2312"/>
          <w:kern w:val="2"/>
          <w:sz w:val="28"/>
          <w:szCs w:val="28"/>
          <w:lang w:val="en-US" w:eastAsia="zh-CN" w:bidi="ar"/>
        </w:rPr>
        <w:t>6</w:t>
      </w:r>
      <w:r>
        <w:rPr>
          <w:rFonts w:hint="eastAsia" w:ascii="仿宋_GB2312" w:hAnsi="Times New Roman" w:eastAsia="仿宋_GB2312" w:cs="仿宋_GB2312"/>
          <w:kern w:val="2"/>
          <w:sz w:val="28"/>
          <w:szCs w:val="28"/>
          <w:lang w:val="en-US" w:eastAsia="zh-CN" w:bidi="ar"/>
        </w:rPr>
        <w:t>.城乡社区支出城市建设支出：反映土地出让收入用于完善国有土地使用功能的配套设施建设和城市基础设施建设支出。</w:t>
      </w:r>
    </w:p>
    <w:p w14:paraId="5ECAE45C">
      <w:pPr>
        <w:jc w:val="both"/>
        <w:rPr>
          <w:rFonts w:hint="eastAsia" w:ascii="黑体" w:eastAsia="黑体"/>
          <w:sz w:val="32"/>
          <w:szCs w:val="32"/>
        </w:rPr>
      </w:pPr>
    </w:p>
    <w:p w14:paraId="629AFF4C">
      <w:pPr>
        <w:ind w:firstLine="4160" w:firstLineChars="1300"/>
        <w:jc w:val="both"/>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1F809966">
      <w:pPr>
        <w:numPr>
          <w:ilvl w:val="0"/>
          <w:numId w:val="0"/>
        </w:numPr>
        <w:ind w:firstLine="4200" w:firstLineChars="15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1499B81F">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14:paraId="7154EA1C">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6C61153"/>
    <w:rsid w:val="079004AC"/>
    <w:rsid w:val="0BA148CA"/>
    <w:rsid w:val="0C1165C4"/>
    <w:rsid w:val="0D6D544B"/>
    <w:rsid w:val="0D8D4A86"/>
    <w:rsid w:val="0DD136FE"/>
    <w:rsid w:val="0E1373FB"/>
    <w:rsid w:val="0F542F2C"/>
    <w:rsid w:val="0F8E2C57"/>
    <w:rsid w:val="1059665E"/>
    <w:rsid w:val="10AC13BA"/>
    <w:rsid w:val="12051813"/>
    <w:rsid w:val="145A6C1B"/>
    <w:rsid w:val="14B73493"/>
    <w:rsid w:val="167A2FF9"/>
    <w:rsid w:val="1764587C"/>
    <w:rsid w:val="18581C69"/>
    <w:rsid w:val="1AAF6D55"/>
    <w:rsid w:val="1AEC0734"/>
    <w:rsid w:val="1C1F6931"/>
    <w:rsid w:val="1CCB10D7"/>
    <w:rsid w:val="1D6B7F07"/>
    <w:rsid w:val="1DEF20B0"/>
    <w:rsid w:val="1FF7AB17"/>
    <w:rsid w:val="214243FA"/>
    <w:rsid w:val="21AD613C"/>
    <w:rsid w:val="22467189"/>
    <w:rsid w:val="257A14F5"/>
    <w:rsid w:val="262D4E7A"/>
    <w:rsid w:val="27196C26"/>
    <w:rsid w:val="29EF086F"/>
    <w:rsid w:val="2ACE78FC"/>
    <w:rsid w:val="2BC34C59"/>
    <w:rsid w:val="2EFFE297"/>
    <w:rsid w:val="301437CA"/>
    <w:rsid w:val="349D1F0A"/>
    <w:rsid w:val="34DD0473"/>
    <w:rsid w:val="367C4FD6"/>
    <w:rsid w:val="3A8E35DC"/>
    <w:rsid w:val="3C684897"/>
    <w:rsid w:val="41774466"/>
    <w:rsid w:val="433E495C"/>
    <w:rsid w:val="46116B34"/>
    <w:rsid w:val="46C45DC9"/>
    <w:rsid w:val="489F2FD7"/>
    <w:rsid w:val="4AC27CB3"/>
    <w:rsid w:val="4BF72BEF"/>
    <w:rsid w:val="4FA90297"/>
    <w:rsid w:val="4FC41A43"/>
    <w:rsid w:val="50571744"/>
    <w:rsid w:val="51DB3C59"/>
    <w:rsid w:val="53441ED2"/>
    <w:rsid w:val="550C0952"/>
    <w:rsid w:val="55762E42"/>
    <w:rsid w:val="57007C70"/>
    <w:rsid w:val="57A7B272"/>
    <w:rsid w:val="58470068"/>
    <w:rsid w:val="58747CAC"/>
    <w:rsid w:val="59490573"/>
    <w:rsid w:val="5A1720F9"/>
    <w:rsid w:val="5ACF3815"/>
    <w:rsid w:val="5B9C37C2"/>
    <w:rsid w:val="5BA7C654"/>
    <w:rsid w:val="5DF716AE"/>
    <w:rsid w:val="5F9F507E"/>
    <w:rsid w:val="60A54109"/>
    <w:rsid w:val="61D01CDF"/>
    <w:rsid w:val="64C0607C"/>
    <w:rsid w:val="65756C86"/>
    <w:rsid w:val="674D385B"/>
    <w:rsid w:val="676F09E1"/>
    <w:rsid w:val="682732A7"/>
    <w:rsid w:val="6B4F4E6E"/>
    <w:rsid w:val="6C1410DE"/>
    <w:rsid w:val="6D16067A"/>
    <w:rsid w:val="6FAE733F"/>
    <w:rsid w:val="71691990"/>
    <w:rsid w:val="71793A80"/>
    <w:rsid w:val="7357290B"/>
    <w:rsid w:val="756E3DEA"/>
    <w:rsid w:val="76FB1693"/>
    <w:rsid w:val="79753464"/>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13631.56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3398.91</c:v>
                </c:pt>
                <c:pt idx="1">
                  <c:v>10488.22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268</Words>
  <Characters>286</Characters>
  <Lines>44</Lines>
  <Paragraphs>12</Paragraphs>
  <TotalTime>3</TotalTime>
  <ScaleCrop>false</ScaleCrop>
  <LinksUpToDate>false</LinksUpToDate>
  <CharactersWithSpaces>298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2025-09-25T07:12:43Z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74A1C13ABCFD45438FC726639EFA65F6_13</vt:lpwstr>
  </property>
  <property fmtid="{D5CDD505-2E9C-101B-9397-08002B2CF9AE}" pid="4" name="KSOTemplateDocerSaveRecord">
    <vt:lpwstr>eyJoZGlkIjoiMjQwNjQzNTg4ZDE0ZTBiOGFjNjE4NDNkMzM5NWRjMzIiLCJ1c2VySWQiOiI4OTI4ODkxNzIifQ==</vt:lpwstr>
  </property>
</Properties>
</file>