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91CACC6">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1．主要职能。</w:t>
      </w:r>
    </w:p>
    <w:p w14:paraId="77FFD1F0">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魏善庄一小深入贯彻落实习近平新时代中国特色社会主义思想，以“办好人民满意的教育”为根本宗旨，坚定立德树人的根本任务，紧紧围绕区教委“三全两高五化”的发展目标, 结合学校生命教育办学理念，进一步深化课程改革，强化了师资队伍，丰富了办学内涵，彰显了办学特色，稳步推进了教学质量的提升，促进了学生、教师和学校的和谐发展。</w:t>
      </w:r>
    </w:p>
    <w:p w14:paraId="5AD2E868">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2．机构情况。</w:t>
      </w:r>
    </w:p>
    <w:p w14:paraId="08B066BB">
      <w:pPr>
        <w:tabs>
          <w:tab w:val="center" w:pos="6979"/>
        </w:tabs>
        <w:spacing w:line="580" w:lineRule="exact"/>
        <w:rPr>
          <w:rFonts w:hint="eastAsia" w:ascii="仿宋_GB2312" w:eastAsia="仿宋_GB2312"/>
          <w:sz w:val="28"/>
          <w:szCs w:val="28"/>
        </w:rPr>
      </w:pPr>
      <w:r>
        <w:rPr>
          <w:rFonts w:hint="eastAsia" w:ascii="仿宋_GB2312" w:eastAsia="仿宋_GB2312"/>
          <w:sz w:val="28"/>
          <w:szCs w:val="28"/>
        </w:rPr>
        <w:t>我校为独立核算单位，共设有11个部门，即校长办公室、副校长室、党支部、德育处、少先队、教导处、办公室、总务处、工会、安保办、信息办等部门，各部门各司其职，负责本单位的日常运行。</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5061.75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318.47万元，增长6.71%。</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4766.81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206.72万元，增长4.53%</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4766.81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4766.81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5061.75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318.47万元，增长6.71%，其中：基本支</w:t>
      </w:r>
      <w:r>
        <w:rPr>
          <w:rFonts w:hint="eastAsia" w:ascii="仿宋_GB2312" w:eastAsia="仿宋_GB2312"/>
          <w:sz w:val="28"/>
          <w:szCs w:val="28"/>
          <w:highlight w:val="none"/>
        </w:rPr>
        <w:t>出</w:t>
      </w:r>
      <w:r>
        <w:rPr>
          <w:rFonts w:ascii="仿宋_GB2312" w:eastAsia="仿宋_GB2312"/>
          <w:sz w:val="28"/>
          <w:szCs w:val="28"/>
          <w:highlight w:val="none"/>
        </w:rPr>
        <w:t>4497.05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88.84</w:t>
      </w:r>
      <w:r>
        <w:rPr>
          <w:rFonts w:hint="eastAsia" w:ascii="仿宋_GB2312" w:eastAsia="仿宋_GB2312"/>
          <w:sz w:val="28"/>
          <w:szCs w:val="28"/>
          <w:highlight w:val="none"/>
        </w:rPr>
        <w:t>%；项目支出</w:t>
      </w:r>
      <w:r>
        <w:rPr>
          <w:rFonts w:ascii="仿宋_GB2312" w:eastAsia="仿宋_GB2312"/>
          <w:sz w:val="28"/>
          <w:szCs w:val="28"/>
          <w:highlight w:val="none"/>
        </w:rPr>
        <w:t>564.7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11.16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5061.75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318.47万元，增长6.71%。主要原因：本年补发了2022及2023年区统筹结余、晋升薪级，工作量标准上调等。较上年我校增加了手拉手项目，搭建手拉手平台，提升协同发展效率。学生人数增加，项目支出金额增加。</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5061.75</w:t>
      </w:r>
      <w:r>
        <w:rPr>
          <w:rFonts w:hint="eastAsia" w:ascii="仿宋_GB2312" w:eastAsia="仿宋_GB2312"/>
          <w:sz w:val="28"/>
          <w:szCs w:val="28"/>
        </w:rPr>
        <w:t>万元，主要用于以下方面（按大类）：教育支出3918.48万元，占本年财政拨款支出77.41%； 社会保障和就业支出533.81万元，占本年财政拨款支出10.55%；卫生健康支出314.52万元，占本年财政拨款支出6.21%，住房保障支出294.94万元，占本年财政拨款支出5.83%。</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3794.8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年度决算3918.48万元，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103.26</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普通教育</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3794.8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年度决算3918.48万元，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103.26</w:t>
      </w:r>
      <w:r>
        <w:rPr>
          <w:rFonts w:hint="eastAsia" w:ascii="仿宋_GB2312" w:eastAsia="仿宋_GB2312"/>
          <w:sz w:val="28"/>
          <w:szCs w:val="28"/>
        </w:rPr>
        <w:t>%。主要原因：本年补发了2022及2023年区统筹结余、晋升薪级，增人增班，核增校长职级制工资，发放1名去世教师抚恤金，1名退休教师一次性提高比例资金。项目追加了临时工工资及遗属。中小学生项目较年初增加。</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565.4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年度决算533.81万元，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94.41</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565.4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年度决算533.81万元，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94.41</w:t>
      </w:r>
      <w:r>
        <w:rPr>
          <w:rFonts w:hint="eastAsia" w:ascii="仿宋_GB2312" w:eastAsia="仿宋_GB2312"/>
          <w:sz w:val="28"/>
          <w:szCs w:val="28"/>
        </w:rPr>
        <w:t>%。主要原因：本年市级乡村补补充保险，社保基数降低。</w:t>
      </w:r>
    </w:p>
    <w:p w14:paraId="7602877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361.55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年度决算314.52万元，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86.99</w:t>
      </w:r>
      <w:r>
        <w:rPr>
          <w:rFonts w:hint="eastAsia" w:ascii="仿宋_GB2312" w:eastAsia="仿宋_GB2312"/>
          <w:sz w:val="28"/>
          <w:szCs w:val="28"/>
        </w:rPr>
        <w:t>%。其中：</w:t>
      </w:r>
    </w:p>
    <w:p w14:paraId="39870E5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361.55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年度决算314.52万元，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86.99</w:t>
      </w:r>
      <w:r>
        <w:rPr>
          <w:rFonts w:hint="eastAsia" w:ascii="仿宋_GB2312" w:eastAsia="仿宋_GB2312"/>
          <w:sz w:val="28"/>
          <w:szCs w:val="28"/>
        </w:rPr>
        <w:t>%。主要原因：本年市级乡村补补充保险，社保基数降低。</w:t>
      </w:r>
    </w:p>
    <w:p w14:paraId="34D0A38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年度决算294.94万元。其中：</w:t>
      </w:r>
    </w:p>
    <w:p w14:paraId="22FD7B40">
      <w:pPr>
        <w:spacing w:line="580" w:lineRule="exact"/>
        <w:ind w:firstLine="560" w:firstLineChars="200"/>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年度决算294.94万元。主要原因：发放了机关事业单位职工住房补贴系数调整补发的部分金额。</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3537DB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4497.05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7.2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10.8</w:t>
      </w:r>
      <w:r>
        <w:rPr>
          <w:rFonts w:hint="eastAsia" w:ascii="仿宋_GB2312" w:eastAsia="仿宋_GB2312"/>
          <w:sz w:val="28"/>
          <w:szCs w:val="28"/>
        </w:rPr>
        <w:t>万元减少3.6万元。其中：</w:t>
      </w:r>
    </w:p>
    <w:p w14:paraId="45F5563E">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无变化，保持一致。</w:t>
      </w:r>
    </w:p>
    <w:p w14:paraId="3466F7A2">
      <w:pPr>
        <w:spacing w:line="560" w:lineRule="exact"/>
        <w:rPr>
          <w:rFonts w:hint="eastAsia"/>
        </w:rPr>
      </w:pPr>
      <w:r>
        <w:rPr>
          <w:rFonts w:hint="eastAsia" w:ascii="仿宋_GB2312" w:eastAsia="仿宋_GB2312"/>
          <w:sz w:val="28"/>
          <w:szCs w:val="28"/>
        </w:rPr>
        <w:t>主要原因：</w:t>
      </w:r>
      <w:r>
        <w:rPr>
          <w:rFonts w:hint="eastAsia" w:ascii="仿宋_GB2312" w:eastAsia="仿宋_GB2312"/>
          <w:sz w:val="28"/>
          <w:szCs w:val="28"/>
          <w:lang w:eastAsia="zh-CN"/>
        </w:rPr>
        <w:t>是因公出国（境）费用根据年度出国审批情况做追加项目管理，单位不做年初预算，本年也没有出国审批项目发生；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年度因公出国（境）费用主要用于出国的会议、培训等方面，202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18513C52">
      <w:pPr>
        <w:numPr>
          <w:ilvl w:val="0"/>
          <w:numId w:val="1"/>
        </w:numPr>
        <w:spacing w:line="560" w:lineRule="exact"/>
        <w:ind w:left="0" w:leftChars="0" w:firstLine="600" w:firstLineChars="0"/>
        <w:rPr>
          <w:rFonts w:hint="default"/>
          <w:lang w:val="en-US"/>
        </w:rPr>
      </w:pP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主要原因是：本年度无公务接待费支出。</w:t>
      </w:r>
      <w:r>
        <w:rPr>
          <w:rFonts w:hint="default" w:ascii="仿宋_GB2312" w:hAnsi="Times New Roman" w:eastAsia="仿宋_GB2312" w:cs="Times New Roman"/>
          <w:b w:val="0"/>
          <w:bCs w:val="0"/>
          <w:kern w:val="2"/>
          <w:sz w:val="28"/>
          <w:szCs w:val="28"/>
          <w:lang w:val="en-US" w:eastAsia="zh-CN" w:bidi="ar-SA"/>
        </w:rPr>
        <w:t>2024年度公务接待费主要用于</w:t>
      </w:r>
      <w:r>
        <w:rPr>
          <w:rFonts w:hint="eastAsia" w:ascii="仿宋_GB2312" w:eastAsia="仿宋_GB2312" w:cs="Times New Roman"/>
          <w:b w:val="0"/>
          <w:bCs w:val="0"/>
          <w:kern w:val="2"/>
          <w:sz w:val="28"/>
          <w:szCs w:val="28"/>
          <w:lang w:val="en-US" w:eastAsia="zh-CN" w:bidi="ar-SA"/>
        </w:rPr>
        <w:t>公务接待事项</w:t>
      </w:r>
      <w:r>
        <w:rPr>
          <w:rFonts w:hint="default" w:ascii="仿宋_GB2312" w:hAnsi="Times New Roman" w:eastAsia="仿宋_GB2312" w:cs="Times New Roman"/>
          <w:b w:val="0"/>
          <w:bCs w:val="0"/>
          <w:kern w:val="2"/>
          <w:sz w:val="28"/>
          <w:szCs w:val="28"/>
          <w:lang w:val="en-US" w:eastAsia="zh-CN" w:bidi="ar-SA"/>
        </w:rPr>
        <w:t>。公务接待0批次，公务接待0人次。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年度决算数7.2万元，比202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年度年初预算数10.8万元减少3.6万元。其中，公务用车购置费202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年度决算数7.2万元，主要原因：</w:t>
      </w:r>
      <w:r>
        <w:rPr>
          <w:rFonts w:hint="eastAsia" w:ascii="仿宋_GB2312" w:eastAsia="仿宋_GB2312"/>
          <w:sz w:val="28"/>
          <w:szCs w:val="28"/>
          <w:lang w:eastAsia="zh-CN"/>
        </w:rPr>
        <w:t>严格落实公务用车使用规定，认真贯彻例行节约反对浪费的有关要求，本着节约高效的原则，进一步加强公务车管理，减少费用支出。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bookmarkStart w:id="0" w:name="_GoBack"/>
      <w:bookmarkEnd w:id="0"/>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w:t>
      </w:r>
      <w:r>
        <w:rPr>
          <w:rFonts w:hint="eastAsia" w:ascii="仿宋_GB2312" w:eastAsia="仿宋_GB2312"/>
          <w:sz w:val="28"/>
          <w:szCs w:val="28"/>
          <w:lang w:val="en-US" w:eastAsia="zh-CN"/>
        </w:rPr>
        <w:t>0</w:t>
      </w:r>
      <w:r>
        <w:rPr>
          <w:rFonts w:hint="eastAsia" w:ascii="仿宋_GB2312" w:eastAsia="仿宋_GB2312"/>
          <w:sz w:val="28"/>
          <w:szCs w:val="28"/>
        </w:rPr>
        <w:t>万元。</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12.39</w:t>
      </w:r>
      <w:r>
        <w:rPr>
          <w:rFonts w:hint="eastAsia" w:ascii="仿宋_GB2312" w:eastAsia="仿宋_GB2312"/>
          <w:sz w:val="28"/>
          <w:szCs w:val="28"/>
        </w:rPr>
        <w:t>万元，其中：政府采购货物支出5.03万元，政府采购工程支出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万元，政府采购服务支出7.36万元。授予中小企业合同金额</w:t>
      </w:r>
      <w:r>
        <w:rPr>
          <w:rFonts w:ascii="仿宋_GB2312" w:eastAsia="仿宋_GB2312"/>
          <w:sz w:val="28"/>
          <w:szCs w:val="28"/>
        </w:rPr>
        <w:t>10.06</w:t>
      </w:r>
      <w:r>
        <w:rPr>
          <w:rFonts w:hint="eastAsia" w:ascii="仿宋_GB2312" w:eastAsia="仿宋_GB2312"/>
          <w:sz w:val="28"/>
          <w:szCs w:val="28"/>
        </w:rPr>
        <w:t>万元，占政府采购支出总额的</w:t>
      </w:r>
      <w:r>
        <w:rPr>
          <w:rFonts w:hint="eastAsia" w:ascii="仿宋_GB2312" w:eastAsia="仿宋_GB2312"/>
          <w:sz w:val="28"/>
          <w:szCs w:val="28"/>
          <w:lang w:eastAsia="zh-CN"/>
        </w:rPr>
        <w:t>81.2</w:t>
      </w:r>
      <w:r>
        <w:rPr>
          <w:rFonts w:hint="eastAsia" w:ascii="仿宋_GB2312" w:eastAsia="仿宋_GB2312"/>
          <w:sz w:val="28"/>
          <w:szCs w:val="28"/>
        </w:rPr>
        <w:t>%，其中：授予小微企业合同金额</w:t>
      </w:r>
      <w:r>
        <w:rPr>
          <w:rFonts w:ascii="仿宋_GB2312" w:eastAsia="仿宋_GB2312"/>
          <w:sz w:val="28"/>
          <w:szCs w:val="28"/>
        </w:rPr>
        <w:t>10.06</w:t>
      </w:r>
      <w:r>
        <w:rPr>
          <w:rFonts w:hint="eastAsia" w:ascii="仿宋_GB2312" w:eastAsia="仿宋_GB2312"/>
          <w:sz w:val="28"/>
          <w:szCs w:val="28"/>
        </w:rPr>
        <w:t>万元，占政府采购支出总额的</w:t>
      </w:r>
      <w:r>
        <w:rPr>
          <w:rFonts w:ascii="仿宋_GB2312" w:eastAsia="仿宋_GB2312"/>
          <w:sz w:val="28"/>
          <w:szCs w:val="28"/>
        </w:rPr>
        <w:t>81.2</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12月31日，北京市大兴区魏善庄镇第一中心小学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0046AB8">
      <w:pPr>
        <w:jc w:val="both"/>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A26FDB4">
      <w:pPr>
        <w:jc w:val="both"/>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CCF5C02">
      <w:pPr>
        <w:jc w:val="both"/>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E6222C3">
      <w:pPr>
        <w:jc w:val="both"/>
        <w:rPr>
          <w:rFonts w:hint="eastAsia"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4</w:t>
      </w:r>
      <w:r>
        <w:rPr>
          <w:rFonts w:hint="eastAsia" w:ascii="仿宋_GB2312" w:eastAsia="仿宋_GB2312"/>
          <w:sz w:val="28"/>
          <w:szCs w:val="28"/>
        </w:rPr>
        <w:t>.政府采购：指各级国家机关、事业单位和团体组织，使用财政性资金采购依法制定的集中目录以内的或者采购限额标准以上的货物、工程和服务的行为，是规范财政支出管理和强化预算约束的有效措施。</w:t>
      </w:r>
    </w:p>
    <w:p w14:paraId="13A189EC">
      <w:pPr>
        <w:jc w:val="both"/>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67E4BD1">
      <w:pPr>
        <w:jc w:val="both"/>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.小学教育支出：反映各部门举办的小学教育支出。政府各部门对社会等组织的小学的资助，如捐赠、补贴等，也在本科目中反应。</w:t>
      </w:r>
    </w:p>
    <w:p w14:paraId="5984D7F4">
      <w:pPr>
        <w:jc w:val="both"/>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.其他教育费附加安排的支出：反映教育费附加安排的农村中小学建设、农村中小学教学设施、城市中小学校舍建设、城市中小学教学设施、中等职业学校教学设施以外的支出。</w:t>
      </w:r>
    </w:p>
    <w:p w14:paraId="3B7267EE">
      <w:pPr>
        <w:jc w:val="both"/>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.事业单位离退休支出：反映事业单位开支的离退休经费。</w:t>
      </w:r>
    </w:p>
    <w:p w14:paraId="4F476A30">
      <w:pPr>
        <w:jc w:val="both"/>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.机关事业单位基本养老保险缴费支出：反映机关事业单位实施养老保险制度由单位缴纳的基本养老保险缴费支出。</w:t>
      </w:r>
    </w:p>
    <w:p w14:paraId="70ED91C3">
      <w:pPr>
        <w:jc w:val="both"/>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0</w:t>
      </w:r>
      <w:r>
        <w:rPr>
          <w:rFonts w:hint="eastAsia" w:ascii="仿宋_GB2312" w:eastAsia="仿宋_GB2312"/>
          <w:sz w:val="28"/>
          <w:szCs w:val="28"/>
        </w:rPr>
        <w:t>.机关事业单位职业年金缴费支出：反映机关事业单位实施养老保险制度由单位缴纳的职业年金缴费支出。</w:t>
      </w:r>
    </w:p>
    <w:p w14:paraId="49BBE998">
      <w:pPr>
        <w:jc w:val="both"/>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.其他行政事业单位养老支出：反映除行政单位离退休、事业单位离退休、机关事业单位基本养老保险缴费支出、机关事业单位职业年金缴费支出等以外其他用于行政事业单位养老方面的支出。</w:t>
      </w:r>
    </w:p>
    <w:p w14:paraId="2157F871">
      <w:pPr>
        <w:jc w:val="both"/>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.事业单位医疗：反映财政部门安排的事业单位医疗保险缴费经费。</w:t>
      </w:r>
    </w:p>
    <w:p w14:paraId="4ACD3880">
      <w:pPr>
        <w:jc w:val="both"/>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.公务员医疗补助：反应财政部门安排的公务员医疗补助。</w:t>
      </w:r>
    </w:p>
    <w:p w14:paraId="5DC71D38">
      <w:pPr>
        <w:jc w:val="both"/>
        <w:rPr>
          <w:rFonts w:hint="eastAsia" w:ascii="黑体" w:eastAsia="黑体"/>
          <w:sz w:val="32"/>
          <w:szCs w:val="32"/>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.购房补贴：反映按房改政策规定，行政事业单位向符合条件职工（含离退休人员）、军队（含武警）向转役复员 离退休人员发放的用于购买住房的补贴。</w:t>
      </w: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2B0E4EA0"/>
    <w:multiLevelType w:val="singleLevel"/>
    <w:tmpl w:val="2B0E4EA0"/>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D917F9"/>
    <w:rsid w:val="04C3537C"/>
    <w:rsid w:val="079004AC"/>
    <w:rsid w:val="0BA148CA"/>
    <w:rsid w:val="0C1165C4"/>
    <w:rsid w:val="0D6D544B"/>
    <w:rsid w:val="0DD136FE"/>
    <w:rsid w:val="0F396338"/>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7EA7B61"/>
    <w:rsid w:val="29EF086F"/>
    <w:rsid w:val="2BC34C59"/>
    <w:rsid w:val="2EFFE297"/>
    <w:rsid w:val="301437CA"/>
    <w:rsid w:val="349D1F0A"/>
    <w:rsid w:val="34DD0473"/>
    <w:rsid w:val="3A8E35DC"/>
    <w:rsid w:val="3C684897"/>
    <w:rsid w:val="433E495C"/>
    <w:rsid w:val="489F2FD7"/>
    <w:rsid w:val="4AC27CB3"/>
    <w:rsid w:val="4BF72BEF"/>
    <w:rsid w:val="4FA90297"/>
    <w:rsid w:val="4FC41A43"/>
    <w:rsid w:val="50063536"/>
    <w:rsid w:val="51DB3C59"/>
    <w:rsid w:val="550C0952"/>
    <w:rsid w:val="55762E42"/>
    <w:rsid w:val="57A7B272"/>
    <w:rsid w:val="58470068"/>
    <w:rsid w:val="58747CAC"/>
    <w:rsid w:val="59FC31C1"/>
    <w:rsid w:val="5A1720F9"/>
    <w:rsid w:val="5B9C37C2"/>
    <w:rsid w:val="5BA7C654"/>
    <w:rsid w:val="5DF716AE"/>
    <w:rsid w:val="5F9F507E"/>
    <w:rsid w:val="60A54109"/>
    <w:rsid w:val="61D01CDF"/>
    <w:rsid w:val="61DF337F"/>
    <w:rsid w:val="64C0607C"/>
    <w:rsid w:val="65756C86"/>
    <w:rsid w:val="674D385B"/>
    <w:rsid w:val="676F09E1"/>
    <w:rsid w:val="71691990"/>
    <w:rsid w:val="71793A80"/>
    <w:rsid w:val="7357290B"/>
    <w:rsid w:val="756E3DEA"/>
    <w:rsid w:val="76F9765B"/>
    <w:rsid w:val="76FB1693"/>
    <w:rsid w:val="798524E4"/>
    <w:rsid w:val="7A7F1C49"/>
    <w:rsid w:val="7B5B7AE6"/>
    <w:rsid w:val="7B7B6628"/>
    <w:rsid w:val="7BA7071E"/>
    <w:rsid w:val="7BDF6DA8"/>
    <w:rsid w:val="7C7EDC1A"/>
    <w:rsid w:val="7CCED98D"/>
    <w:rsid w:val="7D08410F"/>
    <w:rsid w:val="7DB96DED"/>
    <w:rsid w:val="7DD3AD81"/>
    <w:rsid w:val="7DFFF77E"/>
    <w:rsid w:val="7F4053F2"/>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4766.81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4497.05</c:v>
                </c:pt>
                <c:pt idx="1">
                  <c:v>564.7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815</Words>
  <Characters>904</Characters>
  <Lines>44</Lines>
  <Paragraphs>12</Paragraphs>
  <TotalTime>3</TotalTime>
  <ScaleCrop>false</ScaleCrop>
  <LinksUpToDate>false</LinksUpToDate>
  <CharactersWithSpaces>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2025-09-24T05:47:00Z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eyJoZGlkIjoiZGM2NjZjY2VkM2VlZDFlODc1YjJkZDE5NGFmZTQzMDMifQ==</vt:lpwstr>
  </property>
</Properties>
</file>