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E034967">
      <w:pPr>
        <w:autoSpaceDE w:val="0"/>
        <w:spacing w:line="560" w:lineRule="exact"/>
        <w:ind w:firstLine="300" w:firstLineChars="1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（一）大兴区礼贤民族中学主要职责</w:t>
      </w:r>
    </w:p>
    <w:p w14:paraId="61DEB27B">
      <w:pPr>
        <w:spacing w:line="620" w:lineRule="exact"/>
        <w:ind w:left="638" w:leftChars="304" w:firstLine="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全面贯彻国家教育方针，培养学生的创新精神与实践能力，使之成为社会主义事业的建设者和接班人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负责所属服务片学生义务教育阶段中初中教育教学工作</w:t>
      </w:r>
    </w:p>
    <w:p w14:paraId="1C641759">
      <w:pPr>
        <w:autoSpaceDE w:val="0"/>
        <w:spacing w:line="560" w:lineRule="exact"/>
        <w:ind w:firstLine="300" w:firstLineChars="1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（二）机构设置情况</w:t>
      </w:r>
    </w:p>
    <w:p w14:paraId="7035EF3B">
      <w:pPr>
        <w:spacing w:line="62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内设机构：校长室、工会、办公室、科研室、总务处、德育处、教导处、安保办、医务室、会计室。</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4366.66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238.44</w:t>
      </w:r>
      <w:r>
        <w:rPr>
          <w:rFonts w:hint="eastAsia" w:ascii="仿宋_GB2312" w:eastAsia="仿宋_GB2312"/>
          <w:sz w:val="28"/>
          <w:szCs w:val="28"/>
        </w:rPr>
        <w:t>万元，增长</w:t>
      </w:r>
      <w:r>
        <w:rPr>
          <w:rFonts w:hint="eastAsia" w:ascii="仿宋_GB2312" w:eastAsia="仿宋_GB2312"/>
          <w:sz w:val="28"/>
          <w:szCs w:val="28"/>
          <w:lang w:val="en-US" w:eastAsia="zh-CN"/>
        </w:rPr>
        <w:t>5.78</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4063.93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64.29</w:t>
      </w:r>
      <w:r>
        <w:rPr>
          <w:rFonts w:hint="eastAsia" w:ascii="仿宋_GB2312" w:eastAsia="仿宋_GB2312"/>
          <w:sz w:val="28"/>
          <w:szCs w:val="28"/>
        </w:rPr>
        <w:t>万元，下降</w:t>
      </w:r>
      <w:r>
        <w:rPr>
          <w:rFonts w:hint="eastAsia" w:ascii="仿宋_GB2312" w:eastAsia="仿宋_GB2312"/>
          <w:sz w:val="28"/>
          <w:szCs w:val="28"/>
          <w:lang w:val="en-US" w:eastAsia="zh-CN"/>
        </w:rPr>
        <w:t>1.56</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4063.93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4063.93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4366.66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238.44</w:t>
      </w:r>
      <w:r>
        <w:rPr>
          <w:rFonts w:hint="eastAsia" w:ascii="仿宋_GB2312" w:eastAsia="仿宋_GB2312"/>
          <w:sz w:val="28"/>
          <w:szCs w:val="28"/>
        </w:rPr>
        <w:t>万元，增长</w:t>
      </w:r>
      <w:r>
        <w:rPr>
          <w:rFonts w:hint="eastAsia" w:ascii="仿宋_GB2312" w:eastAsia="仿宋_GB2312"/>
          <w:sz w:val="28"/>
          <w:szCs w:val="28"/>
          <w:lang w:val="en-US" w:eastAsia="zh-CN"/>
        </w:rPr>
        <w:t>5.78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4117.57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94.3</w:t>
      </w:r>
      <w:r>
        <w:rPr>
          <w:rFonts w:hint="eastAsia" w:ascii="仿宋_GB2312" w:eastAsia="仿宋_GB2312"/>
          <w:sz w:val="28"/>
          <w:szCs w:val="28"/>
          <w:highlight w:val="none"/>
        </w:rPr>
        <w:t>%；项目支出</w:t>
      </w:r>
      <w:r>
        <w:rPr>
          <w:rFonts w:ascii="仿宋_GB2312" w:eastAsia="仿宋_GB2312"/>
          <w:sz w:val="28"/>
          <w:szCs w:val="28"/>
          <w:highlight w:val="none"/>
        </w:rPr>
        <w:t>249.09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4366.66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238.44</w:t>
      </w:r>
      <w:r>
        <w:rPr>
          <w:rFonts w:hint="eastAsia" w:ascii="仿宋_GB2312" w:eastAsia="仿宋_GB2312"/>
          <w:sz w:val="28"/>
          <w:szCs w:val="28"/>
        </w:rPr>
        <w:t>万元，增长</w:t>
      </w:r>
      <w:r>
        <w:rPr>
          <w:rFonts w:hint="eastAsia" w:ascii="仿宋_GB2312" w:eastAsia="仿宋_GB2312"/>
          <w:sz w:val="28"/>
          <w:szCs w:val="28"/>
          <w:lang w:val="en-US" w:eastAsia="zh-CN"/>
        </w:rPr>
        <w:t>5.78</w:t>
      </w:r>
      <w:r>
        <w:rPr>
          <w:rFonts w:hint="eastAsia" w:ascii="仿宋_GB2312" w:eastAsia="仿宋_GB2312"/>
          <w:sz w:val="28"/>
          <w:szCs w:val="28"/>
        </w:rPr>
        <w:t>%。主要原因：</w:t>
      </w:r>
      <w:r>
        <w:rPr>
          <w:rFonts w:hint="eastAsia" w:ascii="仿宋_GB2312" w:eastAsia="仿宋_GB2312"/>
          <w:sz w:val="28"/>
          <w:szCs w:val="28"/>
          <w:lang w:val="en-US" w:eastAsia="zh-CN"/>
        </w:rPr>
        <w:t>由于</w:t>
      </w:r>
      <w:r>
        <w:rPr>
          <w:rFonts w:hint="eastAsia" w:ascii="仿宋_GB2312" w:eastAsia="仿宋_GB2312"/>
          <w:sz w:val="28"/>
          <w:szCs w:val="28"/>
        </w:rPr>
        <w:t>聘薪级晋升等工资变化，社保、公积金基数调整增加，</w:t>
      </w:r>
      <w:r>
        <w:rPr>
          <w:rFonts w:hint="eastAsia" w:ascii="仿宋_GB2312" w:eastAsia="仿宋_GB2312"/>
          <w:sz w:val="28"/>
          <w:szCs w:val="28"/>
          <w:lang w:val="en-US" w:eastAsia="zh-CN"/>
        </w:rPr>
        <w:t>补发在职人员住房补贴，导致</w:t>
      </w:r>
      <w:r>
        <w:rPr>
          <w:rFonts w:hint="eastAsia" w:ascii="仿宋_GB2312" w:eastAsia="仿宋_GB2312"/>
          <w:sz w:val="28"/>
          <w:szCs w:val="28"/>
        </w:rPr>
        <w:t>人员经费</w:t>
      </w:r>
      <w:r>
        <w:rPr>
          <w:rFonts w:hint="eastAsia" w:ascii="仿宋_GB2312" w:eastAsia="仿宋_GB2312"/>
          <w:sz w:val="28"/>
          <w:szCs w:val="28"/>
          <w:lang w:val="en-US" w:eastAsia="zh-CN"/>
        </w:rPr>
        <w:t>增加</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4366.66</w:t>
      </w:r>
      <w:r>
        <w:rPr>
          <w:rFonts w:hint="eastAsia" w:ascii="仿宋_GB2312" w:eastAsia="仿宋_GB2312"/>
          <w:sz w:val="28"/>
          <w:szCs w:val="28"/>
        </w:rPr>
        <w:t>万元，主要用于以下方面（按大类）：</w:t>
      </w:r>
    </w:p>
    <w:p w14:paraId="03EC2988">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“205教育支出”（类）202</w:t>
      </w:r>
      <w:r>
        <w:rPr>
          <w:rFonts w:hint="eastAsia" w:ascii="仿宋_GB2312" w:eastAsia="仿宋_GB2312"/>
          <w:sz w:val="28"/>
          <w:szCs w:val="28"/>
          <w:lang w:val="en-US" w:eastAsia="zh-CN"/>
        </w:rPr>
        <w:t>4</w:t>
      </w:r>
      <w:r>
        <w:rPr>
          <w:rFonts w:hint="eastAsia" w:ascii="仿宋_GB2312" w:eastAsia="仿宋_GB2312"/>
          <w:sz w:val="28"/>
          <w:szCs w:val="28"/>
        </w:rPr>
        <w:t>年度决算3233</w:t>
      </w:r>
      <w:r>
        <w:rPr>
          <w:rFonts w:hint="eastAsia" w:ascii="仿宋_GB2312" w:eastAsia="仿宋_GB2312"/>
          <w:sz w:val="28"/>
          <w:szCs w:val="28"/>
          <w:lang w:val="en-US" w:eastAsia="zh-CN"/>
        </w:rPr>
        <w:t>.</w:t>
      </w:r>
      <w:r>
        <w:rPr>
          <w:rFonts w:hint="eastAsia" w:ascii="仿宋_GB2312" w:eastAsia="仿宋_GB2312"/>
          <w:sz w:val="28"/>
          <w:szCs w:val="28"/>
        </w:rPr>
        <w:t>79万元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74.06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r>
        <w:rPr>
          <w:rFonts w:hint="eastAsia" w:ascii="仿宋_GB2312" w:eastAsia="仿宋_GB2312"/>
          <w:sz w:val="28"/>
          <w:szCs w:val="28"/>
        </w:rPr>
        <w:t>“20502普通教育”（款）202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3233.79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“208社会保障和就业支出”(类)202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496.72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11.37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r>
        <w:rPr>
          <w:rFonts w:hint="eastAsia" w:ascii="仿宋_GB2312" w:eastAsia="仿宋_GB2312"/>
          <w:sz w:val="28"/>
          <w:szCs w:val="28"/>
        </w:rPr>
        <w:t>“20805行政事业单位养老支出”（款）202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496.72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“210卫生健康支出”(类)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333.42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7.64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r>
        <w:rPr>
          <w:rFonts w:hint="eastAsia" w:ascii="仿宋_GB2312" w:eastAsia="仿宋_GB2312"/>
          <w:sz w:val="28"/>
          <w:szCs w:val="28"/>
        </w:rPr>
        <w:t>“21011行政事业单位医疗”（款）202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333.42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val="en-US" w:eastAsia="zh-CN"/>
        </w:rPr>
        <w:t>221住房保障支出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年决算</w:t>
      </w:r>
      <w:r>
        <w:rPr>
          <w:rFonts w:hint="eastAsia" w:ascii="仿宋_GB2312" w:eastAsia="仿宋_GB2312"/>
          <w:sz w:val="28"/>
          <w:szCs w:val="28"/>
          <w:lang w:val="en-US" w:eastAsia="zh-CN"/>
        </w:rPr>
        <w:t>302.73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6.93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其中：“2</w:t>
      </w:r>
      <w:r>
        <w:rPr>
          <w:rFonts w:hint="eastAsia" w:ascii="仿宋_GB2312" w:eastAsia="仿宋_GB2312"/>
          <w:sz w:val="28"/>
          <w:szCs w:val="28"/>
          <w:lang w:val="en-US" w:eastAsia="zh-CN"/>
        </w:rPr>
        <w:t>2102住房改革支出302.73</w:t>
      </w:r>
      <w:r>
        <w:rPr>
          <w:rFonts w:hint="eastAsia" w:ascii="仿宋_GB2312" w:eastAsia="仿宋_GB2312"/>
          <w:sz w:val="28"/>
          <w:szCs w:val="28"/>
        </w:rPr>
        <w:t>万元</w:t>
      </w:r>
      <w:r>
        <w:rPr>
          <w:rFonts w:hint="eastAsia" w:ascii="仿宋_GB2312" w:eastAsia="仿宋_GB2312"/>
          <w:sz w:val="28"/>
          <w:szCs w:val="28"/>
          <w:lang w:eastAsia="zh-CN"/>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99CF82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“一般预算财政拨款支出”（类）202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rPr>
        <w:t>4155.47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仿宋" w:eastAsia="仿宋_GB2312"/>
          <w:sz w:val="32"/>
          <w:szCs w:val="32"/>
          <w:highlight w:val="none"/>
          <w:u w:val="none"/>
        </w:rPr>
        <w:t>4366.66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105.08</w:t>
      </w:r>
      <w:r>
        <w:rPr>
          <w:rFonts w:hint="eastAsia" w:ascii="仿宋_GB2312" w:eastAsia="仿宋_GB2312"/>
          <w:sz w:val="28"/>
          <w:szCs w:val="28"/>
        </w:rPr>
        <w:t>%。其中：</w:t>
      </w:r>
    </w:p>
    <w:p w14:paraId="2F9641D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1、“205教育支出”（类）202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lang w:val="en-US" w:eastAsia="zh-CN"/>
        </w:rPr>
        <w:t>3231.6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年度决算3233</w:t>
      </w:r>
      <w:r>
        <w:rPr>
          <w:rFonts w:hint="eastAsia" w:ascii="仿宋_GB2312" w:eastAsia="仿宋_GB2312"/>
          <w:sz w:val="28"/>
          <w:szCs w:val="28"/>
          <w:lang w:val="en-US" w:eastAsia="zh-CN"/>
        </w:rPr>
        <w:t>.</w:t>
      </w:r>
      <w:r>
        <w:rPr>
          <w:rFonts w:hint="eastAsia" w:ascii="仿宋_GB2312" w:eastAsia="仿宋_GB2312"/>
          <w:sz w:val="28"/>
          <w:szCs w:val="28"/>
        </w:rPr>
        <w:t>79万元，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100.07</w:t>
      </w:r>
      <w:r>
        <w:rPr>
          <w:rFonts w:hint="eastAsia" w:ascii="仿宋_GB2312" w:eastAsia="仿宋_GB2312"/>
          <w:sz w:val="28"/>
          <w:szCs w:val="28"/>
        </w:rPr>
        <w:t>%。其中：</w:t>
      </w:r>
    </w:p>
    <w:p w14:paraId="63599AA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“20502普通教育”（款）202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lang w:val="en-US" w:eastAsia="zh-CN"/>
        </w:rPr>
        <w:t>3231.6，</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3233.79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100.07</w:t>
      </w:r>
      <w:r>
        <w:rPr>
          <w:rFonts w:hint="eastAsia" w:ascii="仿宋_GB2312" w:eastAsia="仿宋_GB2312"/>
          <w:sz w:val="28"/>
          <w:szCs w:val="28"/>
        </w:rPr>
        <w:t>%。主要原因：聘薪级晋升等工资变化，社保、公积金基数调整，</w:t>
      </w:r>
      <w:r>
        <w:rPr>
          <w:rFonts w:hint="eastAsia" w:ascii="仿宋_GB2312" w:eastAsia="仿宋_GB2312"/>
          <w:sz w:val="28"/>
          <w:szCs w:val="28"/>
          <w:lang w:val="en-US" w:eastAsia="zh-CN"/>
        </w:rPr>
        <w:t>补发在职人员住房补贴，</w:t>
      </w:r>
      <w:r>
        <w:rPr>
          <w:rFonts w:hint="eastAsia" w:ascii="仿宋_GB2312" w:eastAsia="仿宋_GB2312"/>
          <w:sz w:val="28"/>
          <w:szCs w:val="28"/>
        </w:rPr>
        <w:t>进而人员经费有所提高。</w:t>
      </w:r>
    </w:p>
    <w:p w14:paraId="3FC83898">
      <w:pPr>
        <w:numPr>
          <w:ilvl w:val="0"/>
          <w:numId w:val="1"/>
        </w:num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“208社会保障和就业支出”(类)202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lang w:val="en-US" w:eastAsia="zh-CN"/>
        </w:rPr>
        <w:t>506.51万元，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98.07</w:t>
      </w:r>
      <w:r>
        <w:rPr>
          <w:rFonts w:hint="eastAsia" w:ascii="仿宋_GB2312" w:eastAsia="仿宋_GB2312"/>
          <w:sz w:val="28"/>
          <w:szCs w:val="28"/>
        </w:rPr>
        <w:t>%。其中：</w:t>
      </w:r>
    </w:p>
    <w:p w14:paraId="0938DFCB">
      <w:pPr>
        <w:numPr>
          <w:ilvl w:val="0"/>
          <w:numId w:val="0"/>
        </w:num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“20805行政事业单位养老支出”（款）202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lang w:val="en-US" w:eastAsia="zh-CN"/>
        </w:rPr>
        <w:t>506.51万元，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98.07</w:t>
      </w:r>
      <w:r>
        <w:rPr>
          <w:rFonts w:hint="eastAsia" w:ascii="仿宋_GB2312" w:eastAsia="仿宋_GB2312"/>
          <w:sz w:val="28"/>
          <w:szCs w:val="28"/>
        </w:rPr>
        <w:t>%。主要原因：</w:t>
      </w:r>
      <w:r>
        <w:rPr>
          <w:rFonts w:hint="eastAsia" w:ascii="仿宋_GB2312" w:eastAsia="仿宋_GB2312"/>
          <w:sz w:val="28"/>
          <w:szCs w:val="28"/>
          <w:lang w:val="en-US" w:eastAsia="zh-CN"/>
        </w:rPr>
        <w:t>2024年9月调出4人。</w:t>
      </w:r>
    </w:p>
    <w:p w14:paraId="17B8CC00">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3、“210卫生健康支出”(类)202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lang w:val="en-US" w:eastAsia="zh-CN"/>
        </w:rPr>
        <w:t>417.35万元，</w:t>
      </w:r>
      <w:r>
        <w:rPr>
          <w:rFonts w:hint="eastAsia" w:ascii="仿宋_GB2312" w:eastAsia="仿宋_GB2312"/>
          <w:sz w:val="28"/>
          <w:szCs w:val="28"/>
        </w:rPr>
        <w:t xml:space="preserve">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79.89</w:t>
      </w:r>
      <w:r>
        <w:rPr>
          <w:rFonts w:hint="eastAsia" w:ascii="仿宋_GB2312" w:eastAsia="仿宋_GB2312"/>
          <w:sz w:val="28"/>
          <w:szCs w:val="28"/>
        </w:rPr>
        <w:t>%。其中：</w:t>
      </w:r>
    </w:p>
    <w:p w14:paraId="07FD29A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“21011行政事业单位医疗”（款）202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hAnsi="仿宋" w:eastAsia="仿宋_GB2312"/>
          <w:strike w:val="0"/>
          <w:dstrike w:val="0"/>
          <w:sz w:val="32"/>
          <w:szCs w:val="32"/>
          <w:highlight w:val="none"/>
          <w:u w:val="none"/>
          <w:lang w:val="en-US" w:eastAsia="zh-CN"/>
        </w:rPr>
        <w:t>417.35万元，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79.89</w:t>
      </w:r>
      <w:r>
        <w:rPr>
          <w:rFonts w:hint="eastAsia" w:ascii="仿宋_GB2312" w:eastAsia="仿宋_GB2312"/>
          <w:sz w:val="28"/>
          <w:szCs w:val="28"/>
        </w:rPr>
        <w:t>%。主要原因：</w:t>
      </w:r>
      <w:r>
        <w:rPr>
          <w:rFonts w:hint="eastAsia" w:ascii="仿宋_GB2312" w:eastAsia="仿宋_GB2312"/>
          <w:sz w:val="28"/>
          <w:szCs w:val="28"/>
          <w:lang w:val="en-US" w:eastAsia="zh-CN"/>
        </w:rPr>
        <w:t>2024年9月调出4人。</w:t>
      </w:r>
    </w:p>
    <w:p w14:paraId="085E1EB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lang w:val="en-US" w:eastAsia="zh-CN"/>
        </w:rPr>
        <w:t>221住房保障支出</w:t>
      </w:r>
      <w:r>
        <w:rPr>
          <w:rFonts w:hint="eastAsia" w:ascii="仿宋_GB2312" w:eastAsia="仿宋_GB2312"/>
          <w:sz w:val="28"/>
          <w:szCs w:val="28"/>
        </w:rPr>
        <w:t>”</w:t>
      </w:r>
      <w:r>
        <w:rPr>
          <w:rFonts w:hint="eastAsia" w:ascii="仿宋_GB2312" w:eastAsia="仿宋_GB2312"/>
          <w:sz w:val="28"/>
          <w:szCs w:val="28"/>
          <w:lang w:val="en-US" w:eastAsia="zh-CN"/>
        </w:rPr>
        <w:t>2024年初无此项预算，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年决算</w:t>
      </w:r>
      <w:r>
        <w:rPr>
          <w:rFonts w:hint="eastAsia" w:ascii="仿宋_GB2312" w:eastAsia="仿宋_GB2312"/>
          <w:sz w:val="28"/>
          <w:szCs w:val="28"/>
          <w:lang w:val="en-US" w:eastAsia="zh-CN"/>
        </w:rPr>
        <w:t>302.73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302.73</w:t>
      </w:r>
      <w:r>
        <w:rPr>
          <w:rFonts w:hint="eastAsia" w:ascii="仿宋_GB2312" w:eastAsia="仿宋_GB2312"/>
          <w:sz w:val="28"/>
          <w:szCs w:val="28"/>
        </w:rPr>
        <w:t>万元。增加100%。其中：“2</w:t>
      </w:r>
      <w:r>
        <w:rPr>
          <w:rFonts w:hint="eastAsia" w:ascii="仿宋_GB2312" w:eastAsia="仿宋_GB2312"/>
          <w:sz w:val="28"/>
          <w:szCs w:val="28"/>
          <w:lang w:val="en-US" w:eastAsia="zh-CN"/>
        </w:rPr>
        <w:t>2102住房改革支出302.73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302.73</w:t>
      </w:r>
      <w:r>
        <w:rPr>
          <w:rFonts w:hint="eastAsia" w:ascii="仿宋_GB2312" w:eastAsia="仿宋_GB2312"/>
          <w:sz w:val="28"/>
          <w:szCs w:val="28"/>
        </w:rPr>
        <w:t>万元。原因：</w:t>
      </w:r>
      <w:r>
        <w:rPr>
          <w:rFonts w:hint="eastAsia" w:ascii="仿宋_GB2312" w:eastAsia="仿宋_GB2312"/>
          <w:sz w:val="28"/>
          <w:szCs w:val="28"/>
          <w:lang w:val="en-US" w:eastAsia="zh-CN"/>
        </w:rPr>
        <w:t>补发在职人员以前年度住房补贴，</w:t>
      </w:r>
      <w:r>
        <w:rPr>
          <w:rFonts w:hint="eastAsia" w:ascii="仿宋_GB2312" w:eastAsia="仿宋_GB2312"/>
          <w:sz w:val="28"/>
          <w:szCs w:val="28"/>
        </w:rPr>
        <w:t>年初未安排此预算。</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FE6CAE">
      <w:pPr>
        <w:ind w:firstLine="560" w:firstLineChars="2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4117.57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5.82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13.8</w:t>
      </w:r>
      <w:r>
        <w:rPr>
          <w:rFonts w:hint="eastAsia" w:ascii="仿宋_GB2312" w:eastAsia="仿宋_GB2312"/>
          <w:sz w:val="28"/>
          <w:szCs w:val="28"/>
        </w:rPr>
        <w:t>万元减少</w:t>
      </w:r>
      <w:r>
        <w:rPr>
          <w:rFonts w:hint="eastAsia" w:ascii="仿宋_GB2312" w:eastAsia="仿宋_GB2312"/>
          <w:sz w:val="28"/>
          <w:szCs w:val="28"/>
          <w:lang w:val="en-US" w:eastAsia="zh-CN"/>
        </w:rPr>
        <w:t>7.98</w:t>
      </w:r>
      <w:r>
        <w:rPr>
          <w:rFonts w:hint="eastAsia" w:ascii="仿宋_GB2312" w:eastAsia="仿宋_GB2312"/>
          <w:sz w:val="28"/>
          <w:szCs w:val="28"/>
        </w:rPr>
        <w:t>万元。其中：</w:t>
      </w:r>
    </w:p>
    <w:p w14:paraId="601BB865">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万元。主要原因：因公出国(境)费用根据年度出国审批情况作为追加项目管理，单位不做年初预算，本年也没有出国审批项目发生。；202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年度因公出国(境)费用主要用于出国的会议、培训等事项，202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年度组织因公出国(境)团组0个、0人次，人均因公出国(境)费用0万元。</w:t>
      </w:r>
    </w:p>
    <w:p w14:paraId="6D27C250">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2024年初预算数0.3万元，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w:t>
      </w:r>
      <w:bookmarkStart w:id="0" w:name="_GoBack"/>
      <w:bookmarkEnd w:id="0"/>
      <w:r>
        <w:rPr>
          <w:rFonts w:hint="eastAsia" w:ascii="仿宋_GB2312" w:eastAsia="仿宋_GB2312"/>
          <w:sz w:val="28"/>
          <w:szCs w:val="28"/>
        </w:rPr>
        <w:t>年初预算数</w:t>
      </w:r>
      <w:r>
        <w:rPr>
          <w:rFonts w:hint="eastAsia" w:ascii="仿宋_GB2312" w:eastAsia="仿宋_GB2312"/>
          <w:sz w:val="28"/>
          <w:szCs w:val="28"/>
          <w:lang w:val="en-US" w:eastAsia="zh-CN"/>
        </w:rPr>
        <w:t>0.3</w:t>
      </w:r>
      <w:r>
        <w:rPr>
          <w:rFonts w:hint="eastAsia" w:ascii="仿宋_GB2312" w:eastAsia="仿宋_GB2312"/>
          <w:sz w:val="28"/>
          <w:szCs w:val="28"/>
        </w:rPr>
        <w:t>万元减少</w:t>
      </w:r>
      <w:r>
        <w:rPr>
          <w:rFonts w:hint="eastAsia" w:ascii="仿宋_GB2312" w:eastAsia="仿宋_GB2312"/>
          <w:sz w:val="28"/>
          <w:szCs w:val="28"/>
          <w:lang w:val="en-US" w:eastAsia="zh-CN"/>
        </w:rPr>
        <w:t>0.3</w:t>
      </w:r>
      <w:r>
        <w:rPr>
          <w:rFonts w:hint="eastAsia" w:ascii="仿宋_GB2312" w:eastAsia="仿宋_GB2312"/>
          <w:sz w:val="28"/>
          <w:szCs w:val="28"/>
        </w:rPr>
        <w:t>万元。主要原因：</w:t>
      </w:r>
      <w:r>
        <w:rPr>
          <w:rFonts w:hint="eastAsia" w:ascii="仿宋_GB2312" w:eastAsia="仿宋_GB2312"/>
          <w:color w:val="000000"/>
          <w:sz w:val="28"/>
          <w:szCs w:val="28"/>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年度公务接待0批次，公务接待0人次。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val="en-US" w:eastAsia="zh-CN"/>
        </w:rPr>
        <w:t>2024年初预算数13.5万元，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5.82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13.5</w:t>
      </w:r>
      <w:r>
        <w:rPr>
          <w:rFonts w:hint="eastAsia" w:ascii="仿宋_GB2312" w:eastAsia="仿宋_GB2312"/>
          <w:sz w:val="28"/>
          <w:szCs w:val="28"/>
        </w:rPr>
        <w:t>万元减少</w:t>
      </w:r>
      <w:r>
        <w:rPr>
          <w:rFonts w:hint="eastAsia" w:ascii="仿宋_GB2312" w:eastAsia="仿宋_GB2312"/>
          <w:sz w:val="28"/>
          <w:szCs w:val="28"/>
          <w:lang w:val="en-US" w:eastAsia="zh-CN"/>
        </w:rPr>
        <w:t>7.68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5.82</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w:t>
      </w:r>
      <w:r>
        <w:rPr>
          <w:rFonts w:hint="eastAsia" w:ascii="仿宋_GB2312" w:eastAsia="仿宋_GB2312"/>
          <w:sz w:val="28"/>
          <w:szCs w:val="28"/>
          <w:lang w:val="en-US" w:eastAsia="zh-CN"/>
        </w:rPr>
        <w:t>截止到</w:t>
      </w:r>
      <w:r>
        <w:rPr>
          <w:rFonts w:hint="eastAsia" w:ascii="仿宋_GB2312" w:eastAsia="仿宋_GB2312"/>
          <w:sz w:val="28"/>
          <w:szCs w:val="28"/>
        </w:rPr>
        <w:t>2024年</w:t>
      </w:r>
      <w:r>
        <w:rPr>
          <w:rFonts w:hint="eastAsia" w:ascii="仿宋_GB2312" w:eastAsia="仿宋_GB2312"/>
          <w:sz w:val="28"/>
          <w:szCs w:val="28"/>
          <w:lang w:val="en-US" w:eastAsia="zh-CN"/>
        </w:rPr>
        <w:t>底</w:t>
      </w:r>
      <w:r>
        <w:rPr>
          <w:rFonts w:hint="eastAsia" w:ascii="仿宋_GB2312" w:eastAsia="仿宋_GB2312"/>
          <w:sz w:val="28"/>
          <w:szCs w:val="28"/>
        </w:rPr>
        <w:t>公务用车保有量辆</w:t>
      </w:r>
      <w:r>
        <w:rPr>
          <w:rFonts w:hint="eastAsia" w:ascii="仿宋_GB2312" w:eastAsia="仿宋_GB2312"/>
          <w:sz w:val="28"/>
          <w:szCs w:val="28"/>
          <w:lang w:val="en-US" w:eastAsia="zh-CN"/>
        </w:rPr>
        <w:t>4辆</w:t>
      </w:r>
      <w:r>
        <w:rPr>
          <w:rFonts w:hint="eastAsia" w:ascii="仿宋_GB2312" w:eastAsia="仿宋_GB2312"/>
          <w:sz w:val="28"/>
          <w:szCs w:val="28"/>
        </w:rPr>
        <w:t>。</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9FB5A10">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10.04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5.97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4.07</w:t>
      </w:r>
      <w:r>
        <w:rPr>
          <w:rFonts w:hint="eastAsia" w:ascii="仿宋_GB2312" w:eastAsia="仿宋_GB2312"/>
          <w:sz w:val="28"/>
          <w:szCs w:val="28"/>
        </w:rPr>
        <w:t>万元。授予中小企业合同金额</w:t>
      </w:r>
      <w:r>
        <w:rPr>
          <w:rFonts w:ascii="仿宋_GB2312" w:eastAsia="仿宋_GB2312"/>
          <w:sz w:val="28"/>
          <w:szCs w:val="28"/>
        </w:rPr>
        <w:t>7.64</w:t>
      </w:r>
      <w:r>
        <w:rPr>
          <w:rFonts w:hint="eastAsia" w:ascii="仿宋_GB2312" w:eastAsia="仿宋_GB2312"/>
          <w:sz w:val="28"/>
          <w:szCs w:val="28"/>
        </w:rPr>
        <w:t>万元，占政府采购支出总额的</w:t>
      </w:r>
      <w:r>
        <w:rPr>
          <w:rFonts w:hint="eastAsia" w:ascii="仿宋_GB2312" w:eastAsia="仿宋_GB2312"/>
          <w:sz w:val="28"/>
          <w:szCs w:val="28"/>
          <w:lang w:eastAsia="zh-CN"/>
        </w:rPr>
        <w:t>76.1</w:t>
      </w:r>
      <w:r>
        <w:rPr>
          <w:rFonts w:hint="eastAsia" w:ascii="仿宋_GB2312" w:eastAsia="仿宋_GB2312"/>
          <w:sz w:val="28"/>
          <w:szCs w:val="28"/>
        </w:rPr>
        <w:t>%，其中：授予小微企业合同金额</w:t>
      </w:r>
      <w:r>
        <w:rPr>
          <w:rFonts w:ascii="仿宋_GB2312" w:eastAsia="仿宋_GB2312"/>
          <w:sz w:val="28"/>
          <w:szCs w:val="28"/>
        </w:rPr>
        <w:t>7.64</w:t>
      </w:r>
      <w:r>
        <w:rPr>
          <w:rFonts w:hint="eastAsia" w:ascii="仿宋_GB2312" w:eastAsia="仿宋_GB2312"/>
          <w:sz w:val="28"/>
          <w:szCs w:val="28"/>
        </w:rPr>
        <w:t>万元，占政府采购支出总额的</w:t>
      </w:r>
      <w:r>
        <w:rPr>
          <w:rFonts w:ascii="仿宋_GB2312" w:eastAsia="仿宋_GB2312"/>
          <w:sz w:val="28"/>
          <w:szCs w:val="28"/>
        </w:rPr>
        <w:t>76.1</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12月31日，北京市大兴区礼贤民族中学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DC71D38">
      <w:pPr>
        <w:ind w:firstLine="280" w:firstLineChars="1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7、教育支出：反映政府教育事务支出。其中，2050203 初中教育，反映各部门举办的初中教育支出。2050299 其他普通教育支出，反映出其他项目外其他用于普通教育方面的支出。</w:t>
      </w:r>
    </w:p>
    <w:p w14:paraId="5942BE09">
      <w:pPr>
        <w:ind w:firstLine="280" w:firstLineChars="100"/>
        <w:jc w:val="both"/>
        <w:rPr>
          <w:rFonts w:hint="default" w:ascii="仿宋_GB2312" w:eastAsia="仿宋_GB2312"/>
          <w:sz w:val="28"/>
          <w:szCs w:val="28"/>
          <w:lang w:val="en-US" w:eastAsia="zh-CN"/>
        </w:rPr>
      </w:pPr>
      <w:r>
        <w:rPr>
          <w:rFonts w:hint="eastAsia" w:ascii="仿宋_GB2312" w:eastAsia="仿宋_GB2312"/>
          <w:sz w:val="28"/>
          <w:szCs w:val="28"/>
          <w:lang w:val="en-US" w:eastAsia="zh-CN"/>
        </w:rPr>
        <w:t>8、社会保障和就业支出：反映政府在社会保障和就业方面的支出。其中20805行政事业单位养老支出，反映用于行政事业单位养老方面的支出，2080502事业单位离退休反映事业单位开支的离退休经费，2080505机关事业单位基本养老保险缴费支出反映机关事业单位实施养老保险制度由单位实际缴纳的基本养老保险费支出，2080506机关事业单位职业年金缴费支出反映机关事业单位实施养老保险制度由单位实际缴纳的职业年金支出（含职业年金补记支出），2080599其他行政事业单位养老支出反映除其他项目以外其他用于行政事业单位养老方面支出。</w:t>
      </w:r>
    </w:p>
    <w:p w14:paraId="3BAFAA2C">
      <w:pPr>
        <w:ind w:firstLine="280" w:firstLineChars="1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9、卫生健康支出：反映政府卫生健康反面的支出。其中2101102事业单位医疗反映政府部门安排的事业单位基本医疗保险缴费经费，2101103公务员医疗补助反映财政部门安排的公务员员医疗补助经费。</w:t>
      </w:r>
    </w:p>
    <w:p w14:paraId="3FFA464D">
      <w:pPr>
        <w:ind w:firstLine="280" w:firstLineChars="100"/>
        <w:jc w:val="both"/>
        <w:rPr>
          <w:rFonts w:hint="default" w:ascii="仿宋_GB2312" w:eastAsia="仿宋_GB2312"/>
          <w:sz w:val="28"/>
          <w:szCs w:val="28"/>
          <w:lang w:val="en-US" w:eastAsia="zh-CN"/>
        </w:rPr>
      </w:pPr>
      <w:r>
        <w:rPr>
          <w:rFonts w:hint="eastAsia" w:ascii="仿宋_GB2312" w:eastAsia="仿宋_GB2312"/>
          <w:sz w:val="28"/>
          <w:szCs w:val="28"/>
          <w:lang w:val="en-US" w:eastAsia="zh-CN"/>
        </w:rPr>
        <w:t>10、住房保障支出：集中反映政府用于住房方面的支出。其中2210203购房补贴反映按房改政策规定，行政事业单位向符合条件职工（含离退休）、军队（含武警）向转役复原离退休人员发放的用于购买住房的补贴。</w:t>
      </w:r>
    </w:p>
    <w:p w14:paraId="629AFF4C">
      <w:pPr>
        <w:ind w:firstLine="4160" w:firstLineChars="1300"/>
        <w:jc w:val="both"/>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ilvl w:val="0"/>
          <w:numId w:val="0"/>
        </w:numPr>
        <w:ind w:firstLine="280" w:firstLineChars="1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40D92F"/>
    <w:multiLevelType w:val="singleLevel"/>
    <w:tmpl w:val="9140D92F"/>
    <w:lvl w:ilvl="0" w:tentative="0">
      <w:start w:val="1"/>
      <w:numFmt w:val="decimal"/>
      <w:lvlText w:val="%1."/>
      <w:lvlJc w:val="left"/>
      <w:pPr>
        <w:tabs>
          <w:tab w:val="left" w:pos="312"/>
        </w:tabs>
      </w:pPr>
    </w:lvl>
  </w:abstractNum>
  <w:abstractNum w:abstractNumId="1">
    <w:nsid w:val="30AD1064"/>
    <w:multiLevelType w:val="singleLevel"/>
    <w:tmpl w:val="30AD106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4F41221"/>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72162A1"/>
    <w:rsid w:val="29EF086F"/>
    <w:rsid w:val="2BC34C59"/>
    <w:rsid w:val="2EFFE297"/>
    <w:rsid w:val="301437CA"/>
    <w:rsid w:val="349D1F0A"/>
    <w:rsid w:val="34DD0473"/>
    <w:rsid w:val="37657BB9"/>
    <w:rsid w:val="3A8E35DC"/>
    <w:rsid w:val="3C684897"/>
    <w:rsid w:val="433E495C"/>
    <w:rsid w:val="489F2FD7"/>
    <w:rsid w:val="4AC27CB3"/>
    <w:rsid w:val="4BF72BEF"/>
    <w:rsid w:val="4FA90297"/>
    <w:rsid w:val="4FC41A43"/>
    <w:rsid w:val="51DB3C59"/>
    <w:rsid w:val="550C0952"/>
    <w:rsid w:val="55762E42"/>
    <w:rsid w:val="55995837"/>
    <w:rsid w:val="57A7B272"/>
    <w:rsid w:val="58470068"/>
    <w:rsid w:val="58747CAC"/>
    <w:rsid w:val="5A1720F9"/>
    <w:rsid w:val="5B9C37C2"/>
    <w:rsid w:val="5BA7C654"/>
    <w:rsid w:val="5DF716AE"/>
    <w:rsid w:val="5F9F507E"/>
    <w:rsid w:val="60A54109"/>
    <w:rsid w:val="61D01CDF"/>
    <w:rsid w:val="63AD4C9D"/>
    <w:rsid w:val="64C0607C"/>
    <w:rsid w:val="65756C86"/>
    <w:rsid w:val="673168F8"/>
    <w:rsid w:val="674D385B"/>
    <w:rsid w:val="676F09E1"/>
    <w:rsid w:val="6E066735"/>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4063.93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4117.57</c:v>
                </c:pt>
                <c:pt idx="1">
                  <c:v>249.09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4048</Words>
  <Characters>4733</Characters>
  <Lines>44</Lines>
  <Paragraphs>12</Paragraphs>
  <TotalTime>1</TotalTime>
  <ScaleCrop>false</ScaleCrop>
  <LinksUpToDate>false</LinksUpToDate>
  <CharactersWithSpaces>4757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2025-09-26T01:11:36Z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eyJoZGlkIjoiMjM5YTU1ODZkYjVkNWJhYzMwYzFkNjkwYWFkNGE5NDAifQ==</vt:lpwstr>
  </property>
</Properties>
</file>