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仿宋_GB2312"/>
          <w:b/>
          <w:sz w:val="28"/>
          <w:szCs w:val="28"/>
          <w:lang w:eastAsia="zh-CN"/>
        </w:rPr>
      </w:pPr>
      <w:r>
        <w:rPr>
          <w:rFonts w:hint="eastAsia" w:ascii="黑体" w:eastAsia="黑体"/>
          <w:b/>
          <w:sz w:val="28"/>
          <w:szCs w:val="28"/>
        </w:rPr>
        <w:t>一、单位基本情况</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1.主要职责：为本地学龄前儿童提供优质的保育教育服务。</w:t>
      </w:r>
    </w:p>
    <w:p>
      <w:pPr>
        <w:tabs>
          <w:tab w:val="center" w:pos="6979"/>
        </w:tabs>
        <w:spacing w:line="580" w:lineRule="exact"/>
        <w:ind w:firstLine="565" w:firstLineChars="202"/>
        <w:rPr>
          <w:rFonts w:hint="eastAsia" w:ascii="仿宋_GB2312" w:eastAsia="仿宋_GB2312"/>
          <w:kern w:val="0"/>
          <w:sz w:val="28"/>
          <w:szCs w:val="28"/>
          <w:lang w:eastAsia="zh-CN"/>
        </w:rPr>
      </w:pPr>
      <w:r>
        <w:rPr>
          <w:rFonts w:hint="eastAsia" w:ascii="仿宋_GB2312" w:eastAsia="仿宋_GB2312"/>
          <w:kern w:val="0"/>
          <w:sz w:val="28"/>
          <w:szCs w:val="28"/>
        </w:rPr>
        <w:t>2.机构情况：下设园长室、办公室、财务室、后勤、保健室、保教室、安全保卫、资料室等部门</w:t>
      </w:r>
      <w:r>
        <w:rPr>
          <w:rFonts w:hint="eastAsia" w:ascii="仿宋_GB2312" w:eastAsia="仿宋_GB2312"/>
          <w:kern w:val="0"/>
          <w:sz w:val="28"/>
          <w:szCs w:val="28"/>
          <w:lang w:eastAsia="zh-CN"/>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w:t>
      </w:r>
      <w:r>
        <w:rPr>
          <w:rFonts w:hint="eastAsia" w:ascii="仿宋_GB2312" w:eastAsia="仿宋_GB2312"/>
          <w:sz w:val="28"/>
          <w:szCs w:val="28"/>
          <w:lang w:eastAsia="zh-CN"/>
        </w:rPr>
        <w:t>、</w:t>
      </w:r>
      <w:r>
        <w:rPr>
          <w:rFonts w:hint="eastAsia" w:ascii="仿宋_GB2312" w:eastAsia="仿宋_GB2312"/>
          <w:sz w:val="28"/>
          <w:szCs w:val="28"/>
          <w:lang w:val="en-US" w:eastAsia="zh-CN"/>
        </w:rPr>
        <w:t>支</w:t>
      </w:r>
      <w:r>
        <w:rPr>
          <w:rFonts w:hint="eastAsia" w:ascii="仿宋_GB2312" w:eastAsia="仿宋_GB2312"/>
          <w:sz w:val="28"/>
          <w:szCs w:val="28"/>
        </w:rPr>
        <w:t>总计2617.8</w:t>
      </w:r>
      <w:r>
        <w:rPr>
          <w:rFonts w:hint="eastAsia" w:ascii="仿宋_GB2312" w:eastAsia="仿宋_GB2312"/>
          <w:sz w:val="28"/>
          <w:szCs w:val="28"/>
          <w:lang w:val="en-US" w:eastAsia="zh-CN"/>
        </w:rPr>
        <w:t>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12.52</w:t>
      </w:r>
      <w:r>
        <w:rPr>
          <w:rFonts w:hint="eastAsia" w:ascii="仿宋_GB2312" w:eastAsia="仿宋_GB2312"/>
          <w:sz w:val="28"/>
          <w:szCs w:val="28"/>
        </w:rPr>
        <w:t>万元，下降</w:t>
      </w:r>
      <w:r>
        <w:rPr>
          <w:rFonts w:hint="eastAsia" w:ascii="仿宋_GB2312" w:eastAsia="仿宋_GB2312"/>
          <w:sz w:val="28"/>
          <w:szCs w:val="28"/>
          <w:lang w:val="en-US" w:eastAsia="zh-CN"/>
        </w:rPr>
        <w:t>0.48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2024年度本年收入合计2433.48万元，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129.07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下降</w:t>
      </w:r>
      <w:r>
        <w:rPr>
          <w:rFonts w:hint="eastAsia" w:ascii="仿宋_GB2312" w:eastAsia="仿宋_GB2312"/>
          <w:sz w:val="28"/>
          <w:szCs w:val="28"/>
          <w:lang w:val="en-US" w:eastAsia="zh-CN"/>
        </w:rPr>
        <w:t>5.04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1.财政拨款收入2433.48万元，占收入合计的</w:t>
      </w:r>
      <w:r>
        <w:rPr>
          <w:rFonts w:hint="eastAsia" w:ascii="仿宋_GB2312" w:eastAsia="仿宋_GB2312"/>
          <w:sz w:val="28"/>
          <w:szCs w:val="28"/>
          <w:lang w:val="en-US" w:eastAsia="zh-CN"/>
        </w:rPr>
        <w:t>100.00</w:t>
      </w:r>
      <w:r>
        <w:rPr>
          <w:rFonts w:hint="eastAsia" w:ascii="仿宋_GB2312" w:eastAsia="仿宋_GB2312"/>
          <w:sz w:val="28"/>
          <w:szCs w:val="28"/>
        </w:rPr>
        <w:t>%。其中：一般公共预算财政拨款收入2433.48万元，占收入合计的</w:t>
      </w:r>
      <w:r>
        <w:rPr>
          <w:rFonts w:hint="eastAsia" w:ascii="仿宋_GB2312" w:eastAsia="仿宋_GB2312"/>
          <w:sz w:val="28"/>
          <w:szCs w:val="28"/>
          <w:lang w:val="en-US" w:eastAsia="zh-CN"/>
        </w:rPr>
        <w:t>100.00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2024年度本年支出合计2617.8</w:t>
      </w:r>
      <w:r>
        <w:rPr>
          <w:rFonts w:hint="eastAsia" w:ascii="仿宋_GB2312" w:eastAsia="仿宋_GB2312"/>
          <w:sz w:val="28"/>
          <w:szCs w:val="28"/>
          <w:lang w:val="en-US" w:eastAsia="zh-CN"/>
        </w:rPr>
        <w:t>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12.52</w:t>
      </w:r>
      <w:r>
        <w:rPr>
          <w:rFonts w:hint="eastAsia" w:ascii="仿宋_GB2312" w:eastAsia="仿宋_GB2312"/>
          <w:sz w:val="28"/>
          <w:szCs w:val="28"/>
        </w:rPr>
        <w:t>万元，下降</w:t>
      </w:r>
      <w:r>
        <w:rPr>
          <w:rFonts w:hint="eastAsia" w:ascii="仿宋_GB2312" w:eastAsia="仿宋_GB2312"/>
          <w:sz w:val="28"/>
          <w:szCs w:val="28"/>
          <w:lang w:val="en-US" w:eastAsia="zh-CN"/>
        </w:rPr>
        <w:t>0.48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2118.09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80.91</w:t>
      </w:r>
      <w:r>
        <w:rPr>
          <w:rFonts w:hint="eastAsia" w:ascii="仿宋_GB2312" w:eastAsia="仿宋_GB2312"/>
          <w:sz w:val="28"/>
          <w:szCs w:val="28"/>
          <w:highlight w:val="none"/>
        </w:rPr>
        <w:t>%；项目支出</w:t>
      </w:r>
      <w:r>
        <w:rPr>
          <w:rFonts w:ascii="仿宋_GB2312" w:eastAsia="仿宋_GB2312"/>
          <w:sz w:val="28"/>
          <w:szCs w:val="28"/>
          <w:highlight w:val="none"/>
        </w:rPr>
        <w:t>499.79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19.09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w:t>
      </w:r>
      <w:r>
        <w:rPr>
          <w:rFonts w:hint="eastAsia" w:ascii="仿宋_GB2312" w:eastAsia="仿宋_GB2312"/>
          <w:sz w:val="28"/>
          <w:szCs w:val="28"/>
          <w:lang w:eastAsia="zh-CN"/>
        </w:rPr>
        <w:t>、</w:t>
      </w:r>
      <w:r>
        <w:rPr>
          <w:rFonts w:hint="eastAsia" w:ascii="仿宋_GB2312" w:eastAsia="仿宋_GB2312"/>
          <w:sz w:val="28"/>
          <w:szCs w:val="28"/>
          <w:lang w:val="en-US" w:eastAsia="zh-CN"/>
        </w:rPr>
        <w:t>支</w:t>
      </w:r>
      <w:r>
        <w:rPr>
          <w:rFonts w:hint="eastAsia" w:ascii="仿宋_GB2312" w:eastAsia="仿宋_GB2312"/>
          <w:sz w:val="28"/>
          <w:szCs w:val="28"/>
        </w:rPr>
        <w:t>总计2617.8</w:t>
      </w:r>
      <w:r>
        <w:rPr>
          <w:rFonts w:hint="eastAsia" w:ascii="仿宋_GB2312" w:eastAsia="仿宋_GB2312"/>
          <w:sz w:val="28"/>
          <w:szCs w:val="28"/>
          <w:lang w:val="en-US" w:eastAsia="zh-CN"/>
        </w:rPr>
        <w:t>8</w:t>
      </w:r>
      <w:r>
        <w:rPr>
          <w:rFonts w:hint="eastAsia" w:ascii="仿宋_GB2312" w:eastAsia="仿宋_GB2312"/>
          <w:sz w:val="28"/>
          <w:szCs w:val="28"/>
        </w:rPr>
        <w:t>万元，比上年减少</w:t>
      </w:r>
      <w:r>
        <w:rPr>
          <w:rFonts w:hint="eastAsia" w:ascii="仿宋_GB2312" w:eastAsia="仿宋_GB2312"/>
          <w:sz w:val="28"/>
          <w:szCs w:val="28"/>
          <w:lang w:val="en-US" w:eastAsia="zh-CN"/>
        </w:rPr>
        <w:t>12.52</w:t>
      </w:r>
      <w:r>
        <w:rPr>
          <w:rFonts w:hint="eastAsia" w:ascii="仿宋_GB2312" w:eastAsia="仿宋_GB2312"/>
          <w:sz w:val="28"/>
          <w:szCs w:val="28"/>
        </w:rPr>
        <w:t>万元，下降</w:t>
      </w:r>
      <w:r>
        <w:rPr>
          <w:rFonts w:hint="eastAsia" w:ascii="仿宋_GB2312" w:eastAsia="仿宋_GB2312"/>
          <w:sz w:val="28"/>
          <w:szCs w:val="28"/>
          <w:lang w:val="en-US" w:eastAsia="zh-CN"/>
        </w:rPr>
        <w:t>0.48</w:t>
      </w:r>
      <w:r>
        <w:rPr>
          <w:rFonts w:hint="eastAsia" w:ascii="仿宋_GB2312" w:eastAsia="仿宋_GB2312"/>
          <w:sz w:val="28"/>
          <w:szCs w:val="28"/>
        </w:rPr>
        <w:t>%。主要原因：</w:t>
      </w:r>
      <w:r>
        <w:rPr>
          <w:rFonts w:hint="eastAsia" w:ascii="仿宋_GB2312" w:eastAsia="仿宋_GB2312"/>
          <w:sz w:val="28"/>
          <w:szCs w:val="28"/>
          <w:lang w:val="en-US" w:eastAsia="zh-CN"/>
        </w:rPr>
        <w:t>2024年度人员调出4人、退休1人，人员经费减少，学生人数减少，生均公用经费下降</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2024年度一般公共预算财政拨款支出2617.8</w:t>
      </w:r>
      <w:r>
        <w:rPr>
          <w:rFonts w:hint="eastAsia" w:ascii="仿宋_GB2312" w:eastAsia="仿宋_GB2312"/>
          <w:sz w:val="28"/>
          <w:szCs w:val="28"/>
          <w:lang w:val="en-US" w:eastAsia="zh-CN"/>
        </w:rPr>
        <w:t>8</w:t>
      </w:r>
      <w:r>
        <w:rPr>
          <w:rFonts w:hint="eastAsia" w:ascii="仿宋_GB2312" w:eastAsia="仿宋_GB2312"/>
          <w:sz w:val="28"/>
          <w:szCs w:val="28"/>
        </w:rPr>
        <w:t>万元，主要用于以下方面（按大类）：</w:t>
      </w:r>
      <w:r>
        <w:rPr>
          <w:rFonts w:hint="eastAsia" w:ascii="仿宋" w:hAnsi="仿宋" w:eastAsia="仿宋" w:cs="仿宋"/>
          <w:color w:val="000000"/>
          <w:sz w:val="28"/>
          <w:szCs w:val="28"/>
        </w:rPr>
        <w:t>教育支出</w:t>
      </w:r>
      <w:r>
        <w:rPr>
          <w:rFonts w:hint="eastAsia" w:ascii="仿宋_GB2312" w:eastAsia="仿宋_GB2312"/>
          <w:sz w:val="28"/>
          <w:szCs w:val="28"/>
          <w:lang w:val="en-US" w:eastAsia="zh-CN"/>
        </w:rPr>
        <w:t>2045.86</w:t>
      </w:r>
      <w:r>
        <w:rPr>
          <w:rFonts w:hint="eastAsia" w:ascii="仿宋" w:hAnsi="仿宋" w:eastAsia="仿宋" w:cs="仿宋"/>
          <w:color w:val="000000"/>
          <w:sz w:val="28"/>
          <w:szCs w:val="28"/>
        </w:rPr>
        <w:t>万元，占本年财政拨款支出</w:t>
      </w:r>
      <w:r>
        <w:rPr>
          <w:rFonts w:hint="eastAsia" w:ascii="仿宋" w:hAnsi="仿宋" w:eastAsia="仿宋" w:cs="仿宋"/>
          <w:color w:val="000000"/>
          <w:sz w:val="28"/>
          <w:szCs w:val="28"/>
          <w:lang w:val="en-US" w:eastAsia="zh-CN"/>
        </w:rPr>
        <w:t>78.15</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社会保障和就业支出</w:t>
      </w:r>
      <w:r>
        <w:rPr>
          <w:rFonts w:hint="eastAsia" w:ascii="仿宋_GB2312" w:eastAsia="仿宋_GB2312"/>
          <w:sz w:val="28"/>
          <w:szCs w:val="28"/>
          <w:lang w:val="en-US" w:eastAsia="zh-CN"/>
        </w:rPr>
        <w:t>231.16</w:t>
      </w:r>
      <w:r>
        <w:rPr>
          <w:rFonts w:hint="eastAsia" w:ascii="仿宋" w:hAnsi="仿宋" w:eastAsia="仿宋" w:cs="仿宋"/>
          <w:color w:val="000000"/>
          <w:sz w:val="28"/>
          <w:szCs w:val="28"/>
        </w:rPr>
        <w:t>万元</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占本年财政拨款支出</w:t>
      </w:r>
      <w:r>
        <w:rPr>
          <w:rFonts w:hint="eastAsia" w:ascii="仿宋" w:hAnsi="仿宋" w:eastAsia="仿宋" w:cs="仿宋"/>
          <w:color w:val="000000"/>
          <w:sz w:val="28"/>
          <w:szCs w:val="28"/>
          <w:lang w:val="en-US" w:eastAsia="zh-CN"/>
        </w:rPr>
        <w:t>8.83</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卫生健康支出</w:t>
      </w:r>
      <w:r>
        <w:rPr>
          <w:rFonts w:hint="eastAsia" w:ascii="仿宋_GB2312" w:eastAsia="仿宋_GB2312" w:cs="Times New Roman"/>
          <w:sz w:val="28"/>
          <w:szCs w:val="28"/>
          <w:lang w:val="en-US" w:eastAsia="zh-CN"/>
        </w:rPr>
        <w:t>156.46</w:t>
      </w:r>
      <w:r>
        <w:rPr>
          <w:rFonts w:hint="eastAsia" w:ascii="仿宋" w:hAnsi="仿宋" w:eastAsia="仿宋" w:cs="仿宋"/>
          <w:color w:val="000000"/>
          <w:sz w:val="28"/>
          <w:szCs w:val="28"/>
        </w:rPr>
        <w:t>万元，占本年财政拨款支出5.</w:t>
      </w:r>
      <w:r>
        <w:rPr>
          <w:rFonts w:hint="eastAsia" w:ascii="仿宋" w:hAnsi="仿宋" w:eastAsia="仿宋" w:cs="仿宋"/>
          <w:color w:val="000000"/>
          <w:sz w:val="28"/>
          <w:szCs w:val="28"/>
          <w:lang w:val="en-US" w:eastAsia="zh-CN"/>
        </w:rPr>
        <w:t>97</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；住房保障支出</w:t>
      </w:r>
      <w:r>
        <w:rPr>
          <w:rFonts w:hint="eastAsia" w:ascii="仿宋_GB2312" w:eastAsia="仿宋_GB2312" w:cs="Times New Roman"/>
          <w:sz w:val="28"/>
          <w:szCs w:val="28"/>
          <w:lang w:val="en-US" w:eastAsia="zh-CN"/>
        </w:rPr>
        <w:t>184.39</w:t>
      </w:r>
      <w:r>
        <w:rPr>
          <w:rFonts w:hint="eastAsia" w:ascii="仿宋" w:hAnsi="仿宋" w:eastAsia="仿宋" w:cs="仿宋"/>
          <w:color w:val="000000"/>
          <w:sz w:val="28"/>
          <w:szCs w:val="28"/>
          <w:lang w:val="en-US" w:eastAsia="zh-CN"/>
        </w:rPr>
        <w:t>万元，</w:t>
      </w:r>
      <w:r>
        <w:rPr>
          <w:rFonts w:hint="eastAsia" w:ascii="仿宋" w:hAnsi="仿宋" w:eastAsia="仿宋" w:cs="仿宋"/>
          <w:color w:val="000000"/>
          <w:sz w:val="28"/>
          <w:szCs w:val="28"/>
        </w:rPr>
        <w:t>占本年财政拨款支出</w:t>
      </w:r>
      <w:r>
        <w:rPr>
          <w:rFonts w:hint="eastAsia" w:ascii="仿宋" w:hAnsi="仿宋" w:eastAsia="仿宋" w:cs="仿宋"/>
          <w:color w:val="000000"/>
          <w:sz w:val="28"/>
          <w:szCs w:val="28"/>
          <w:lang w:val="en-US" w:eastAsia="zh-CN"/>
        </w:rPr>
        <w:t>7.04</w:t>
      </w:r>
      <w:r>
        <w:rPr>
          <w:rFonts w:hint="eastAsia" w:ascii="仿宋" w:hAnsi="仿宋" w:eastAsia="仿宋" w:cs="仿宋"/>
          <w:color w:val="000000"/>
          <w:sz w:val="28"/>
          <w:szCs w:val="28"/>
        </w:rPr>
        <w:t>%。</w:t>
      </w:r>
    </w:p>
    <w:p>
      <w:pPr>
        <w:tabs>
          <w:tab w:val="center" w:pos="6979"/>
        </w:tabs>
        <w:spacing w:line="580" w:lineRule="exact"/>
        <w:ind w:firstLine="560" w:firstLineChars="200"/>
        <w:rPr>
          <w:rFonts w:hint="eastAsia" w:ascii="仿宋_GB2312" w:eastAsia="仿宋_GB2312"/>
          <w:sz w:val="28"/>
          <w:szCs w:val="28"/>
        </w:rPr>
      </w:pPr>
    </w:p>
    <w:p>
      <w:pPr>
        <w:autoSpaceDE w:val="0"/>
        <w:autoSpaceDN w:val="0"/>
        <w:adjustRightInd w:val="0"/>
        <w:spacing w:line="580" w:lineRule="exact"/>
        <w:ind w:firstLine="560" w:firstLineChars="200"/>
        <w:jc w:val="left"/>
        <w:rPr>
          <w:rFonts w:hint="eastAsia" w:ascii="仿宋_GB2312" w:eastAsia="仿宋_GB2312"/>
          <w:sz w:val="28"/>
          <w:szCs w:val="28"/>
          <w:highlight w:val="yellow"/>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 w:hAnsi="仿宋" w:eastAsia="仿宋" w:cs="仿宋"/>
          <w:color w:val="000000"/>
          <w:sz w:val="28"/>
          <w:szCs w:val="28"/>
          <w:highlight w:val="none"/>
        </w:rPr>
        <w:t>“教育支出”(类)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1995.80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2045.86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102.55</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rPr>
        <w:t>“普通教育”（款）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1995.80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2045.86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102.55</w:t>
      </w:r>
      <w:r>
        <w:rPr>
          <w:rFonts w:hint="eastAsia" w:ascii="仿宋_GB2312" w:eastAsia="仿宋_GB2312"/>
          <w:sz w:val="28"/>
          <w:szCs w:val="28"/>
          <w:highlight w:val="none"/>
        </w:rPr>
        <w:t>%。主要原因：人员费用增加</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年中追加2024年员额制项目</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w:t>
      </w:r>
      <w:r>
        <w:rPr>
          <w:rFonts w:hint="default" w:ascii="仿宋_GB2312" w:eastAsia="仿宋_GB2312"/>
          <w:sz w:val="28"/>
          <w:szCs w:val="28"/>
          <w:highlight w:val="none"/>
          <w:lang w:val="en-US" w:eastAsia="zh-CN"/>
        </w:rPr>
        <w:t>”</w:t>
      </w:r>
      <w:r>
        <w:rPr>
          <w:rFonts w:hint="eastAsia" w:ascii="仿宋" w:hAnsi="仿宋" w:eastAsia="仿宋" w:cs="仿宋"/>
          <w:color w:val="000000"/>
          <w:sz w:val="28"/>
          <w:szCs w:val="28"/>
          <w:highlight w:val="none"/>
        </w:rPr>
        <w:t>社会保障和就业支出”(类)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207.72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 w:hAnsi="仿宋" w:eastAsia="仿宋" w:cs="仿宋"/>
          <w:color w:val="000000"/>
          <w:sz w:val="28"/>
          <w:szCs w:val="28"/>
          <w:highlight w:val="none"/>
        </w:rPr>
        <w:t>决算</w:t>
      </w:r>
      <w:r>
        <w:rPr>
          <w:rFonts w:hint="eastAsia" w:ascii="仿宋_GB2312" w:eastAsia="仿宋_GB2312"/>
          <w:sz w:val="28"/>
          <w:szCs w:val="28"/>
          <w:highlight w:val="none"/>
          <w:lang w:val="en-US" w:eastAsia="zh-CN"/>
        </w:rPr>
        <w:t>231.16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111.28</w:t>
      </w:r>
      <w:r>
        <w:rPr>
          <w:rFonts w:hint="eastAsia" w:ascii="仿宋_GB2312" w:eastAsia="仿宋_GB2312"/>
          <w:sz w:val="28"/>
          <w:szCs w:val="28"/>
          <w:highlight w:val="none"/>
        </w:rPr>
        <w:t>%。其中：</w:t>
      </w:r>
    </w:p>
    <w:p>
      <w:pPr>
        <w:tabs>
          <w:tab w:val="center" w:pos="6979"/>
        </w:tabs>
        <w:spacing w:line="580" w:lineRule="exact"/>
        <w:ind w:firstLine="570"/>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rPr>
        <w:t>“行政事业单位养老支出”(款)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207.72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231.16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111.28</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 w:hAnsi="仿宋" w:eastAsia="仿宋" w:cs="仿宋"/>
          <w:color w:val="000000"/>
          <w:sz w:val="28"/>
          <w:szCs w:val="28"/>
          <w:highlight w:val="none"/>
          <w:lang w:val="en-US" w:eastAsia="zh-CN"/>
        </w:rPr>
        <w:t>2024年7月</w:t>
      </w:r>
      <w:r>
        <w:rPr>
          <w:rFonts w:hint="eastAsia" w:ascii="仿宋_GB2312" w:eastAsia="仿宋_GB2312"/>
          <w:sz w:val="28"/>
          <w:szCs w:val="28"/>
          <w:highlight w:val="none"/>
          <w:lang w:val="en-US" w:eastAsia="zh-CN"/>
        </w:rPr>
        <w:t>社保、公积金基数上调</w:t>
      </w:r>
      <w:r>
        <w:rPr>
          <w:rFonts w:hint="eastAsia" w:ascii="仿宋" w:hAnsi="仿宋" w:eastAsia="仿宋" w:cs="仿宋"/>
          <w:color w:val="000000"/>
          <w:sz w:val="28"/>
          <w:szCs w:val="28"/>
          <w:highlight w:val="none"/>
          <w:lang w:eastAsia="zh-CN"/>
        </w:rPr>
        <w:t>。</w:t>
      </w:r>
    </w:p>
    <w:p>
      <w:pPr>
        <w:spacing w:line="580" w:lineRule="exact"/>
        <w:ind w:firstLine="560" w:firstLineChars="200"/>
        <w:rPr>
          <w:rFonts w:hint="eastAsia" w:ascii="仿宋_GB2312" w:eastAsia="仿宋_GB2312"/>
          <w:sz w:val="28"/>
          <w:szCs w:val="28"/>
          <w:highlight w:val="none"/>
        </w:rPr>
      </w:pPr>
      <w:r>
        <w:rPr>
          <w:rFonts w:hint="eastAsia" w:ascii="仿宋" w:hAnsi="仿宋" w:eastAsia="仿宋" w:cs="仿宋"/>
          <w:color w:val="000000"/>
          <w:sz w:val="28"/>
          <w:szCs w:val="28"/>
          <w:highlight w:val="none"/>
          <w:lang w:val="en-US" w:eastAsia="zh-CN"/>
        </w:rPr>
        <w:t>3、</w:t>
      </w:r>
      <w:r>
        <w:rPr>
          <w:rFonts w:hint="default" w:ascii="仿宋" w:hAnsi="仿宋" w:eastAsia="仿宋" w:cs="仿宋"/>
          <w:color w:val="000000"/>
          <w:sz w:val="28"/>
          <w:szCs w:val="28"/>
          <w:highlight w:val="none"/>
          <w:lang w:val="en-US" w:eastAsia="zh-CN"/>
        </w:rPr>
        <w:t>”</w:t>
      </w:r>
      <w:r>
        <w:rPr>
          <w:rFonts w:hint="eastAsia" w:ascii="仿宋" w:hAnsi="仿宋" w:eastAsia="仿宋" w:cs="仿宋"/>
          <w:color w:val="000000"/>
          <w:sz w:val="28"/>
          <w:szCs w:val="28"/>
          <w:highlight w:val="none"/>
        </w:rPr>
        <w:t>卫生健康支出”（类）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151.64</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 w:hAnsi="仿宋" w:eastAsia="仿宋" w:cs="仿宋"/>
          <w:color w:val="000000"/>
          <w:sz w:val="28"/>
          <w:szCs w:val="28"/>
          <w:highlight w:val="none"/>
        </w:rPr>
        <w:t>决算</w:t>
      </w:r>
      <w:r>
        <w:rPr>
          <w:rFonts w:hint="eastAsia" w:ascii="仿宋_GB2312" w:eastAsia="仿宋_GB2312" w:cs="Times New Roman"/>
          <w:sz w:val="28"/>
          <w:szCs w:val="28"/>
          <w:highlight w:val="none"/>
          <w:lang w:val="en-US" w:eastAsia="zh-CN"/>
        </w:rPr>
        <w:t>156.46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103.18</w:t>
      </w:r>
      <w:r>
        <w:rPr>
          <w:rFonts w:hint="eastAsia" w:ascii="仿宋_GB2312" w:eastAsia="仿宋_GB2312"/>
          <w:sz w:val="28"/>
          <w:szCs w:val="28"/>
          <w:highlight w:val="none"/>
        </w:rPr>
        <w:t>%。其中：</w:t>
      </w:r>
    </w:p>
    <w:p>
      <w:pPr>
        <w:tabs>
          <w:tab w:val="center" w:pos="6979"/>
        </w:tabs>
        <w:spacing w:line="580" w:lineRule="exact"/>
        <w:ind w:firstLine="570"/>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rPr>
        <w:t>“行政事业单位养老支出”(款)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151.64</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 w:hAnsi="仿宋" w:eastAsia="仿宋" w:cs="仿宋"/>
          <w:color w:val="000000"/>
          <w:sz w:val="28"/>
          <w:szCs w:val="28"/>
          <w:highlight w:val="none"/>
        </w:rPr>
        <w:t>决算</w:t>
      </w:r>
      <w:r>
        <w:rPr>
          <w:rFonts w:hint="eastAsia" w:ascii="仿宋_GB2312" w:eastAsia="仿宋_GB2312" w:cs="Times New Roman"/>
          <w:sz w:val="28"/>
          <w:szCs w:val="28"/>
          <w:highlight w:val="none"/>
          <w:lang w:val="en-US" w:eastAsia="zh-CN"/>
        </w:rPr>
        <w:t>156.46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103.18</w:t>
      </w:r>
      <w:r>
        <w:rPr>
          <w:rFonts w:hint="eastAsia" w:ascii="仿宋_GB2312" w:eastAsia="仿宋_GB2312"/>
          <w:sz w:val="28"/>
          <w:szCs w:val="28"/>
          <w:highlight w:val="none"/>
        </w:rPr>
        <w:t>%。主要原因：</w:t>
      </w:r>
      <w:r>
        <w:rPr>
          <w:rFonts w:hint="eastAsia" w:ascii="仿宋" w:hAnsi="仿宋" w:eastAsia="仿宋" w:cs="仿宋"/>
          <w:color w:val="000000"/>
          <w:sz w:val="28"/>
          <w:szCs w:val="28"/>
          <w:highlight w:val="none"/>
          <w:lang w:val="en-US" w:eastAsia="zh-CN"/>
        </w:rPr>
        <w:t>2024年7月社保</w:t>
      </w:r>
      <w:r>
        <w:rPr>
          <w:rFonts w:hint="eastAsia" w:ascii="仿宋" w:hAnsi="仿宋" w:eastAsia="仿宋" w:cs="仿宋"/>
          <w:color w:val="000000"/>
          <w:sz w:val="28"/>
          <w:szCs w:val="28"/>
          <w:highlight w:val="none"/>
        </w:rPr>
        <w:t>基数调整</w:t>
      </w:r>
      <w:r>
        <w:rPr>
          <w:rFonts w:hint="eastAsia" w:ascii="仿宋" w:hAnsi="仿宋" w:eastAsia="仿宋" w:cs="仿宋"/>
          <w:color w:val="000000"/>
          <w:sz w:val="28"/>
          <w:szCs w:val="28"/>
          <w:highlight w:val="none"/>
          <w:lang w:eastAsia="zh-CN"/>
        </w:rPr>
        <w:t>，基数上涨。</w:t>
      </w:r>
    </w:p>
    <w:p>
      <w:pPr>
        <w:numPr>
          <w:ilvl w:val="0"/>
          <w:numId w:val="1"/>
        </w:numPr>
        <w:spacing w:line="580" w:lineRule="exact"/>
        <w:ind w:firstLine="560" w:firstLineChars="200"/>
        <w:rPr>
          <w:rFonts w:hint="eastAsia" w:ascii="仿宋_GB2312" w:eastAsia="仿宋_GB2312"/>
          <w:sz w:val="28"/>
          <w:szCs w:val="28"/>
          <w:highlight w:val="none"/>
        </w:rPr>
      </w:pPr>
      <w:r>
        <w:rPr>
          <w:rFonts w:hint="eastAsia" w:ascii="仿宋" w:hAnsi="仿宋" w:eastAsia="仿宋" w:cs="仿宋"/>
          <w:color w:val="000000"/>
          <w:sz w:val="28"/>
          <w:szCs w:val="28"/>
          <w:highlight w:val="none"/>
          <w:lang w:val="en-US" w:eastAsia="zh-CN"/>
        </w:rPr>
        <w:t>“住房保障支出</w:t>
      </w:r>
      <w:r>
        <w:rPr>
          <w:rFonts w:hint="default" w:ascii="仿宋" w:hAnsi="仿宋" w:eastAsia="仿宋" w:cs="仿宋"/>
          <w:color w:val="000000"/>
          <w:sz w:val="28"/>
          <w:szCs w:val="28"/>
          <w:highlight w:val="none"/>
          <w:lang w:val="en-US" w:eastAsia="zh-CN"/>
        </w:rPr>
        <w:t>”</w:t>
      </w:r>
      <w:r>
        <w:rPr>
          <w:rFonts w:hint="eastAsia" w:ascii="仿宋" w:hAnsi="仿宋" w:eastAsia="仿宋" w:cs="仿宋"/>
          <w:color w:val="000000"/>
          <w:sz w:val="28"/>
          <w:szCs w:val="28"/>
          <w:highlight w:val="none"/>
          <w:lang w:val="en-US" w:eastAsia="zh-CN"/>
        </w:rPr>
        <w:t>（类）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 w:hAnsi="仿宋" w:eastAsia="仿宋" w:cs="仿宋"/>
          <w:color w:val="000000"/>
          <w:sz w:val="28"/>
          <w:szCs w:val="28"/>
          <w:highlight w:val="none"/>
        </w:rPr>
        <w:t>决算</w:t>
      </w:r>
      <w:r>
        <w:rPr>
          <w:rFonts w:hint="eastAsia" w:ascii="仿宋_GB2312" w:eastAsia="仿宋_GB2312" w:cs="Times New Roman"/>
          <w:sz w:val="28"/>
          <w:szCs w:val="28"/>
          <w:highlight w:val="none"/>
          <w:lang w:val="en-US" w:eastAsia="zh-CN"/>
        </w:rPr>
        <w:t>184.39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比年初预算增加了</w:t>
      </w:r>
      <w:r>
        <w:rPr>
          <w:rFonts w:hint="eastAsia" w:ascii="仿宋_GB2312" w:eastAsia="仿宋_GB2312" w:cs="Times New Roman"/>
          <w:sz w:val="28"/>
          <w:szCs w:val="28"/>
          <w:highlight w:val="none"/>
          <w:lang w:val="en-US" w:eastAsia="zh-CN"/>
        </w:rPr>
        <w:t>184.39</w:t>
      </w:r>
      <w:r>
        <w:rPr>
          <w:rFonts w:hint="eastAsia" w:ascii="仿宋_GB2312" w:eastAsia="仿宋_GB2312"/>
          <w:sz w:val="28"/>
          <w:szCs w:val="28"/>
          <w:highlight w:val="none"/>
          <w:lang w:val="en-US" w:eastAsia="zh-CN"/>
        </w:rPr>
        <w:t>万元</w:t>
      </w:r>
      <w:r>
        <w:rPr>
          <w:rFonts w:hint="eastAsia" w:ascii="仿宋_GB2312" w:eastAsia="仿宋_GB2312"/>
          <w:sz w:val="28"/>
          <w:szCs w:val="28"/>
          <w:highlight w:val="none"/>
        </w:rPr>
        <w:t>。</w:t>
      </w:r>
    </w:p>
    <w:p>
      <w:pPr>
        <w:numPr>
          <w:ilvl w:val="0"/>
          <w:numId w:val="0"/>
        </w:numPr>
        <w:spacing w:line="580" w:lineRule="exact"/>
        <w:rPr>
          <w:rFonts w:hint="eastAsia" w:ascii="仿宋_GB2312" w:eastAsia="仿宋_GB2312"/>
          <w:sz w:val="28"/>
          <w:szCs w:val="28"/>
          <w:highlight w:val="none"/>
        </w:rPr>
      </w:pPr>
      <w:r>
        <w:rPr>
          <w:rFonts w:hint="eastAsia" w:ascii="仿宋_GB2312" w:eastAsia="仿宋_GB2312"/>
          <w:sz w:val="28"/>
          <w:szCs w:val="28"/>
          <w:highlight w:val="none"/>
        </w:rPr>
        <w:t>其中：</w:t>
      </w:r>
    </w:p>
    <w:p>
      <w:pPr>
        <w:numPr>
          <w:ilvl w:val="0"/>
          <w:numId w:val="0"/>
        </w:numPr>
        <w:spacing w:line="580" w:lineRule="exact"/>
        <w:rPr>
          <w:rFonts w:hint="eastAsia" w:ascii="仿宋" w:hAnsi="仿宋" w:eastAsia="仿宋" w:cs="仿宋"/>
          <w:color w:val="000000"/>
          <w:sz w:val="28"/>
          <w:szCs w:val="28"/>
          <w:highlight w:val="yellow"/>
          <w:lang w:val="en-US" w:eastAsia="zh-CN"/>
        </w:rPr>
      </w:pPr>
      <w:r>
        <w:rPr>
          <w:rFonts w:hint="eastAsia" w:ascii="仿宋_GB2312" w:eastAsia="仿宋_GB2312"/>
          <w:sz w:val="28"/>
          <w:szCs w:val="28"/>
          <w:highlight w:val="none"/>
          <w:lang w:val="en-US" w:eastAsia="zh-CN"/>
        </w:rPr>
        <w:t xml:space="preserve">    </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住房改革支出</w:t>
      </w:r>
      <w:r>
        <w:rPr>
          <w:rFonts w:hint="eastAsia" w:ascii="仿宋_GB2312" w:eastAsia="仿宋_GB2312"/>
          <w:sz w:val="28"/>
          <w:szCs w:val="28"/>
          <w:highlight w:val="none"/>
          <w:lang w:eastAsia="zh-CN"/>
        </w:rPr>
        <w:t>”（款）</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 w:hAnsi="仿宋" w:eastAsia="仿宋" w:cs="仿宋"/>
          <w:color w:val="000000"/>
          <w:sz w:val="28"/>
          <w:szCs w:val="28"/>
          <w:highlight w:val="none"/>
        </w:rPr>
        <w:t>决算</w:t>
      </w:r>
      <w:r>
        <w:rPr>
          <w:rFonts w:hint="eastAsia" w:ascii="仿宋_GB2312" w:eastAsia="仿宋_GB2312" w:cs="Times New Roman"/>
          <w:sz w:val="28"/>
          <w:szCs w:val="28"/>
          <w:highlight w:val="none"/>
          <w:lang w:val="en-US" w:eastAsia="zh-CN"/>
        </w:rPr>
        <w:t>184.39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比年初预算增加了</w:t>
      </w:r>
      <w:r>
        <w:rPr>
          <w:rFonts w:hint="eastAsia" w:ascii="仿宋_GB2312" w:eastAsia="仿宋_GB2312" w:cs="Times New Roman"/>
          <w:sz w:val="28"/>
          <w:szCs w:val="28"/>
          <w:highlight w:val="none"/>
          <w:lang w:val="en-US" w:eastAsia="zh-CN"/>
        </w:rPr>
        <w:t>184.39</w:t>
      </w:r>
      <w:r>
        <w:rPr>
          <w:rFonts w:hint="eastAsia" w:ascii="仿宋_GB2312" w:eastAsia="仿宋_GB2312"/>
          <w:sz w:val="28"/>
          <w:szCs w:val="28"/>
          <w:highlight w:val="none"/>
          <w:lang w:val="en-US" w:eastAsia="zh-CN"/>
        </w:rPr>
        <w:t>万元</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主要原因：年中追加以前年度购房补贴。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autoSpaceDE w:val="0"/>
        <w:autoSpaceDN w:val="0"/>
        <w:adjustRightInd w:val="0"/>
        <w:spacing w:line="580" w:lineRule="exact"/>
        <w:ind w:firstLine="560" w:firstLineChars="200"/>
        <w:jc w:val="both"/>
        <w:rPr>
          <w:rFonts w:hint="eastAsia" w:ascii="宋体" w:hAnsi="宋体"/>
          <w:b/>
          <w:spacing w:val="40"/>
          <w:sz w:val="32"/>
          <w:szCs w:val="32"/>
        </w:rPr>
      </w:pPr>
      <w:r>
        <w:rPr>
          <w:rFonts w:ascii="仿宋_GB2312" w:eastAsia="仿宋_GB2312"/>
          <w:sz w:val="28"/>
          <w:szCs w:val="28"/>
        </w:rPr>
        <w:t>20</w:t>
      </w:r>
      <w:r>
        <w:rPr>
          <w:rFonts w:hint="eastAsia" w:ascii="仿宋_GB2312" w:eastAsia="仿宋_GB2312"/>
          <w:sz w:val="28"/>
          <w:szCs w:val="28"/>
        </w:rPr>
        <w:t>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2118.09</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0.00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  职业年金缴费、  职工基本医疗保险缴费、  公务员医疗补助缴费、其他社会保障缴费、  住房公积金、</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办公费、水费、电费、邮电费、取暖费、物业管理费、维修（护）费、培训费、福利费、公务用车运行维护费、其他商品和服务支出</w:t>
      </w:r>
      <w:r>
        <w:rPr>
          <w:rFonts w:hint="eastAsia" w:ascii="仿宋_GB2312" w:eastAsia="仿宋_GB2312"/>
          <w:sz w:val="28"/>
          <w:szCs w:val="28"/>
        </w:rPr>
        <w:t>；（3）对个人和家庭补助支出包括</w:t>
      </w:r>
      <w:r>
        <w:rPr>
          <w:rFonts w:ascii="仿宋_GB2312" w:eastAsia="仿宋_GB2312"/>
          <w:sz w:val="28"/>
          <w:szCs w:val="28"/>
        </w:rPr>
        <w:t>退休费、生活补助、奖励金支出。</w:t>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99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事业单位。2024年度“三公”经费财政拨款决算数</w:t>
      </w:r>
      <w:r>
        <w:rPr>
          <w:rFonts w:hint="eastAsia" w:ascii="仿宋_GB2312" w:eastAsia="仿宋_GB2312"/>
          <w:sz w:val="28"/>
          <w:szCs w:val="28"/>
          <w:lang w:val="en-US" w:eastAsia="zh-CN"/>
        </w:rPr>
        <w:t>1.83</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5.9</w:t>
      </w:r>
      <w:r>
        <w:rPr>
          <w:rFonts w:hint="eastAsia" w:ascii="仿宋_GB2312" w:eastAsia="仿宋_GB2312"/>
          <w:sz w:val="28"/>
          <w:szCs w:val="28"/>
        </w:rPr>
        <w:t>万元减少</w:t>
      </w:r>
      <w:r>
        <w:rPr>
          <w:rFonts w:hint="eastAsia" w:ascii="仿宋_GB2312" w:eastAsia="仿宋_GB2312"/>
          <w:sz w:val="28"/>
          <w:szCs w:val="28"/>
          <w:lang w:val="en-US" w:eastAsia="zh-CN"/>
        </w:rPr>
        <w:t>4.07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出国的会议、培训等事项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公务接待费。2024年度决算数</w:t>
      </w:r>
      <w:r>
        <w:rPr>
          <w:rFonts w:hint="eastAsia" w:ascii="仿宋_GB2312" w:eastAsia="仿宋_GB2312"/>
          <w:sz w:val="28"/>
          <w:szCs w:val="28"/>
          <w:lang w:val="en-US" w:eastAsia="zh-CN"/>
        </w:rPr>
        <w:t>0.00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0.50</w:t>
      </w:r>
      <w:r>
        <w:rPr>
          <w:rFonts w:hint="eastAsia" w:ascii="仿宋_GB2312" w:eastAsia="仿宋_GB2312"/>
          <w:sz w:val="28"/>
          <w:szCs w:val="28"/>
        </w:rPr>
        <w:t>万元减少</w:t>
      </w:r>
      <w:r>
        <w:rPr>
          <w:rFonts w:hint="eastAsia" w:ascii="仿宋_GB2312" w:eastAsia="仿宋_GB2312"/>
          <w:sz w:val="28"/>
          <w:szCs w:val="28"/>
          <w:lang w:val="en-US" w:eastAsia="zh-CN"/>
        </w:rPr>
        <w:t>0.50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严格按照“三公”经费使用管理要求，严控非必要公务接待事项</w:t>
      </w:r>
      <w:r>
        <w:rPr>
          <w:rFonts w:hint="eastAsia" w:ascii="仿宋_GB2312" w:eastAsia="仿宋_GB2312" w:cs="Times New Roman"/>
          <w:kern w:val="2"/>
          <w:sz w:val="28"/>
          <w:szCs w:val="28"/>
          <w:lang w:val="en-US" w:eastAsia="zh-CN" w:bidi="ar"/>
        </w:rPr>
        <w:t>，</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1.83</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5.40</w:t>
      </w:r>
      <w:r>
        <w:rPr>
          <w:rFonts w:hint="eastAsia" w:ascii="仿宋_GB2312" w:eastAsia="仿宋_GB2312"/>
          <w:sz w:val="28"/>
          <w:szCs w:val="28"/>
        </w:rPr>
        <w:t>万元减少</w:t>
      </w:r>
      <w:r>
        <w:rPr>
          <w:rFonts w:hint="eastAsia" w:ascii="仿宋_GB2312" w:eastAsia="仿宋_GB2312"/>
          <w:sz w:val="28"/>
          <w:szCs w:val="28"/>
          <w:lang w:val="en-US" w:eastAsia="zh-CN"/>
        </w:rPr>
        <w:t>3.57</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0.00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w:t>
      </w:r>
      <w:r>
        <w:rPr>
          <w:rFonts w:hint="eastAsia" w:ascii="仿宋_GB2312" w:eastAsia="仿宋_GB2312"/>
          <w:sz w:val="28"/>
          <w:szCs w:val="28"/>
          <w:lang w:val="en-US" w:eastAsia="zh-CN"/>
        </w:rPr>
        <w:t>无变化</w:t>
      </w:r>
      <w:r>
        <w:rPr>
          <w:rFonts w:hint="eastAsia" w:ascii="仿宋_GB2312" w:eastAsia="仿宋_GB2312"/>
          <w:sz w:val="28"/>
          <w:szCs w:val="28"/>
        </w:rPr>
        <w:t>。主要原因：</w:t>
      </w:r>
      <w:r>
        <w:rPr>
          <w:rFonts w:hint="eastAsia" w:ascii="仿宋_GB2312" w:eastAsia="仿宋_GB2312"/>
          <w:sz w:val="28"/>
          <w:szCs w:val="28"/>
          <w:lang w:val="en-US" w:eastAsia="zh-CN"/>
        </w:rPr>
        <w:t>未安排公车购置事项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bookmarkStart w:id="0" w:name="_GoBack"/>
      <w:bookmarkEnd w:id="0"/>
      <w:r>
        <w:rPr>
          <w:rFonts w:hint="eastAsia" w:ascii="仿宋_GB2312" w:eastAsia="仿宋_GB2312"/>
          <w:sz w:val="28"/>
          <w:szCs w:val="28"/>
        </w:rPr>
        <w:t>辆。公务用车运行维护费2024年度决算数</w:t>
      </w:r>
      <w:r>
        <w:rPr>
          <w:rFonts w:hint="eastAsia" w:ascii="仿宋_GB2312" w:eastAsia="仿宋_GB2312"/>
          <w:sz w:val="28"/>
          <w:szCs w:val="28"/>
          <w:lang w:val="en-US" w:eastAsia="zh-CN"/>
        </w:rPr>
        <w:t>1.83</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5.40</w:t>
      </w:r>
      <w:r>
        <w:rPr>
          <w:rFonts w:hint="eastAsia" w:ascii="仿宋_GB2312" w:eastAsia="仿宋_GB2312"/>
          <w:sz w:val="28"/>
          <w:szCs w:val="28"/>
        </w:rPr>
        <w:t>万元减少</w:t>
      </w:r>
      <w:r>
        <w:rPr>
          <w:rFonts w:hint="eastAsia" w:ascii="仿宋_GB2312" w:eastAsia="仿宋_GB2312"/>
          <w:sz w:val="28"/>
          <w:szCs w:val="28"/>
          <w:lang w:val="en-US" w:eastAsia="zh-CN"/>
        </w:rPr>
        <w:t>3.57</w:t>
      </w:r>
      <w:r>
        <w:rPr>
          <w:rFonts w:hint="eastAsia" w:ascii="仿宋_GB2312" w:eastAsia="仿宋_GB2312"/>
          <w:sz w:val="28"/>
          <w:szCs w:val="28"/>
        </w:rPr>
        <w:t>万元，主要原因：</w:t>
      </w:r>
      <w:r>
        <w:rPr>
          <w:rFonts w:hint="eastAsia" w:ascii="仿宋_GB2312" w:eastAsia="仿宋_GB2312"/>
          <w:sz w:val="28"/>
          <w:szCs w:val="28"/>
          <w:lang w:val="en-US" w:eastAsia="zh-CN"/>
        </w:rPr>
        <w:t>注重平时的使用维养，降低维修成本，减少开支</w:t>
      </w:r>
      <w:r>
        <w:rPr>
          <w:rFonts w:hint="eastAsia" w:ascii="仿宋_GB2312" w:eastAsia="仿宋_GB2312"/>
          <w:sz w:val="28"/>
          <w:szCs w:val="28"/>
        </w:rPr>
        <w:t>。2024年度公务用车保有量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color w:val="auto"/>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84.24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0.86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83.38</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25.87</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30.71</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25.87</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30.71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0.00</w:t>
      </w:r>
      <w:r>
        <w:rPr>
          <w:rFonts w:hint="eastAsia" w:ascii="仿宋_GB2312" w:eastAsia="仿宋_GB2312"/>
          <w:sz w:val="28"/>
          <w:szCs w:val="28"/>
        </w:rPr>
        <w:t>万元；新购置单位价值100万元以上的设备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0.00</w:t>
      </w:r>
      <w:r>
        <w:rPr>
          <w:rFonts w:hint="eastAsia" w:ascii="仿宋_GB2312" w:eastAsia="仿宋_GB2312"/>
          <w:sz w:val="28"/>
          <w:szCs w:val="28"/>
        </w:rPr>
        <w:t>万元。截至2024年底，本单位固定资产总额1202</w:t>
      </w:r>
      <w:r>
        <w:rPr>
          <w:rFonts w:hint="eastAsia" w:ascii="仿宋_GB2312" w:eastAsia="仿宋_GB2312"/>
          <w:sz w:val="28"/>
          <w:szCs w:val="28"/>
          <w:lang w:val="en-US" w:eastAsia="zh-CN"/>
        </w:rPr>
        <w:t>.</w:t>
      </w:r>
      <w:r>
        <w:rPr>
          <w:rFonts w:hint="eastAsia" w:ascii="仿宋_GB2312" w:eastAsia="仿宋_GB2312"/>
          <w:sz w:val="28"/>
          <w:szCs w:val="28"/>
        </w:rPr>
        <w:t>87万元，其中车辆</w:t>
      </w:r>
      <w:r>
        <w:rPr>
          <w:rFonts w:hint="eastAsia" w:ascii="仿宋_GB2312" w:eastAsia="仿宋_GB2312"/>
          <w:sz w:val="28"/>
          <w:szCs w:val="28"/>
          <w:lang w:val="en-US" w:eastAsia="zh-CN"/>
        </w:rPr>
        <w:t>2</w:t>
      </w:r>
      <w:r>
        <w:rPr>
          <w:rFonts w:hint="eastAsia" w:ascii="仿宋_GB2312" w:eastAsia="仿宋_GB2312"/>
          <w:sz w:val="28"/>
          <w:szCs w:val="28"/>
        </w:rPr>
        <w:t>台，共计</w:t>
      </w:r>
      <w:r>
        <w:rPr>
          <w:rFonts w:hint="eastAsia" w:ascii="仿宋_GB2312" w:eastAsia="仿宋_GB2312"/>
          <w:sz w:val="28"/>
          <w:szCs w:val="28"/>
          <w:lang w:val="en-US" w:eastAsia="zh-CN"/>
        </w:rPr>
        <w:t>20.49</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0.00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0</w:t>
      </w:r>
      <w:r>
        <w:rPr>
          <w:rFonts w:hint="eastAsia" w:ascii="仿宋_GB2312" w:eastAsia="仿宋_GB2312"/>
          <w:sz w:val="28"/>
          <w:szCs w:val="28"/>
        </w:rPr>
        <w:t>项，金额</w:t>
      </w:r>
      <w:r>
        <w:rPr>
          <w:rFonts w:hint="eastAsia" w:ascii="仿宋_GB2312" w:eastAsia="仿宋_GB2312"/>
          <w:sz w:val="28"/>
          <w:szCs w:val="28"/>
          <w:lang w:val="en-US" w:eastAsia="zh-CN"/>
        </w:rPr>
        <w:t>0.00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社会保障和就业支出（类）行政事业单位养老支出（款）机关事业单位基本养老保险缴费支出（项）：反映</w:t>
      </w:r>
      <w:r>
        <w:rPr>
          <w:rFonts w:hint="eastAsia" w:ascii="仿宋_GB2312" w:eastAsia="仿宋_GB2312"/>
          <w:sz w:val="28"/>
          <w:szCs w:val="28"/>
          <w:lang w:eastAsia="zh-CN"/>
        </w:rPr>
        <w:t>机关事业单位实施养老保险制度由单位缴纳的基本养老保险费支出。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 xml:space="preserve"> 8.</w:t>
      </w:r>
      <w:r>
        <w:rPr>
          <w:rFonts w:hint="eastAsia" w:ascii="仿宋_GB2312" w:eastAsia="仿宋_GB2312"/>
          <w:sz w:val="28"/>
          <w:szCs w:val="28"/>
        </w:rPr>
        <w:t>社会保障和就业支出（类）行政事业单位养老支出（款）机关事业单位职业年金缴费支出（项）：反映</w:t>
      </w:r>
      <w:r>
        <w:rPr>
          <w:rFonts w:hint="eastAsia" w:ascii="仿宋_GB2312" w:eastAsia="仿宋_GB2312"/>
          <w:sz w:val="28"/>
          <w:szCs w:val="28"/>
          <w:lang w:eastAsia="zh-CN"/>
        </w:rPr>
        <w:t>机关事业单位实施养老保险制度由单位实际缴纳的职业年金支出。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卫生健康支出（类）行政事业单位医疗（款）事业单位医疗（项）：</w:t>
      </w:r>
      <w:r>
        <w:rPr>
          <w:rFonts w:hint="eastAsia" w:ascii="仿宋_GB2312" w:eastAsia="仿宋_GB2312"/>
          <w:sz w:val="28"/>
          <w:szCs w:val="28"/>
          <w:lang w:eastAsia="zh-CN"/>
        </w:rPr>
        <w:t>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卫生健康支出（类）行政事业单位医疗（款）公务医疗补助（项）：</w:t>
      </w:r>
      <w:r>
        <w:rPr>
          <w:rFonts w:hint="eastAsia" w:ascii="仿宋_GB2312" w:eastAsia="仿宋_GB2312"/>
          <w:sz w:val="28"/>
          <w:szCs w:val="28"/>
          <w:lang w:eastAsia="zh-CN"/>
        </w:rPr>
        <w:t>反映财政部门安排的公务员医疗补助经费。</w:t>
      </w:r>
    </w:p>
    <w:p>
      <w:pPr>
        <w:ind w:firstLine="420" w:firstLineChars="150"/>
        <w:rPr>
          <w:rFonts w:ascii="宋体" w:hAnsi="宋体" w:cs="宋体"/>
          <w:b/>
          <w:bCs/>
          <w:kern w:val="0"/>
          <w:sz w:val="28"/>
          <w:szCs w:val="28"/>
        </w:rPr>
      </w:pPr>
      <w:r>
        <w:rPr>
          <w:rFonts w:hint="eastAsia" w:ascii="仿宋_GB2312" w:eastAsia="仿宋_GB2312"/>
          <w:sz w:val="28"/>
          <w:szCs w:val="28"/>
          <w:lang w:val="en-US" w:eastAsia="zh-CN"/>
        </w:rPr>
        <w:t>11.住房保障支出（类）住房改革支出（款）购房补贴（项）：反映按房改政策规定，行政事业单位向符合条件职工（含离退休人员）、军队（含武警）向转役复员离退休人员发放的用于购买住房的补贴。</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520" w:lineRule="exact"/>
        <w:rPr>
          <w:rFonts w:hint="eastAsia" w:ascii="黑体" w:hAnsi="黑体" w:eastAsia="黑体" w:cs="黑体"/>
          <w:bCs/>
          <w:color w:val="000000"/>
          <w:kern w:val="0"/>
          <w:sz w:val="32"/>
          <w:szCs w:val="32"/>
        </w:rPr>
      </w:pPr>
    </w:p>
    <w:tbl>
      <w:tblPr>
        <w:tblStyle w:val="10"/>
        <w:tblW w:w="148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4"/>
        <w:gridCol w:w="1079"/>
        <w:gridCol w:w="1767"/>
        <w:gridCol w:w="1079"/>
        <w:gridCol w:w="1079"/>
        <w:gridCol w:w="330"/>
        <w:gridCol w:w="1559"/>
        <w:gridCol w:w="1616"/>
        <w:gridCol w:w="794"/>
        <w:gridCol w:w="589"/>
        <w:gridCol w:w="839"/>
        <w:gridCol w:w="719"/>
        <w:gridCol w:w="673"/>
        <w:gridCol w:w="19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8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8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0"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94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2024年党建活动经费-西兴海园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8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040-北京市大兴区教育委员会</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7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8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4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4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9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w:t>
            </w: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w:t>
            </w: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20"/>
                <w:lang w:val="en-US" w:eastAsia="zh-CN" w:bidi="ar"/>
              </w:rPr>
              <w:t xml:space="preserve"> </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89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13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9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大兴区基层党组织党建活动经费使用管理规定》，北京市大兴区西红门兴海幼儿园党组织，有党员人数17人，按400元/人，17*400=6800元，计划开展观看红色电影，参观红色教育基地、购买理论学习用书等支出。</w:t>
            </w:r>
          </w:p>
        </w:tc>
        <w:tc>
          <w:tcPr>
            <w:tcW w:w="713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北京市大兴区西红门兴海幼儿园党组织，有党员人数17人，按400元/人，17*400=6800元，计划开展观看红色电影，参观红色教育基地、购买理论学习用书等支出。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7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党员活动经费拨付人数</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17人</w:t>
            </w:r>
          </w:p>
        </w:tc>
        <w:tc>
          <w:tcPr>
            <w:tcW w:w="1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17人</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0"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各类党建活动的完成</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符合上级有关规定</w:t>
            </w:r>
          </w:p>
        </w:tc>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符合上级有关规定</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党员活动经费支出</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2024年11月底之前，完成全部支出</w:t>
            </w:r>
          </w:p>
        </w:tc>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2024年11月底之前，完成全部支出</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预算控制数</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6800</w:t>
            </w:r>
          </w:p>
        </w:tc>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6800</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0"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7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促进党员发展，树立党的形象</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不断提升</w:t>
            </w:r>
          </w:p>
        </w:tc>
        <w:tc>
          <w:tcPr>
            <w:tcW w:w="1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不断提升</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0" w:hRule="atLeast"/>
        </w:trPr>
        <w:tc>
          <w:tcPr>
            <w:tcW w:w="85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7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党员职工满意度</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93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76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5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61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9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8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3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1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67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90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76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5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61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9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8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3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1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67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90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10"/>
        <w:tblW w:w="150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3"/>
        <w:gridCol w:w="1078"/>
        <w:gridCol w:w="1570"/>
        <w:gridCol w:w="1076"/>
        <w:gridCol w:w="1116"/>
        <w:gridCol w:w="330"/>
        <w:gridCol w:w="1558"/>
        <w:gridCol w:w="1961"/>
        <w:gridCol w:w="1061"/>
        <w:gridCol w:w="703"/>
        <w:gridCol w:w="837"/>
        <w:gridCol w:w="718"/>
        <w:gridCol w:w="1077"/>
        <w:gridCol w:w="10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501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501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308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2024年临时辅助用工项目经费-西兴海园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040-大兴区教育委员会</w:t>
            </w:r>
          </w:p>
        </w:tc>
        <w:tc>
          <w:tcPr>
            <w:tcW w:w="3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30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383.741626</w:t>
            </w:r>
          </w:p>
        </w:tc>
        <w:tc>
          <w:tcPr>
            <w:tcW w:w="1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383.741626</w:t>
            </w:r>
          </w:p>
        </w:tc>
        <w:tc>
          <w:tcPr>
            <w:tcW w:w="3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383.741626</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383.741626</w:t>
            </w:r>
          </w:p>
        </w:tc>
        <w:tc>
          <w:tcPr>
            <w:tcW w:w="1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383.741626</w:t>
            </w:r>
          </w:p>
        </w:tc>
        <w:tc>
          <w:tcPr>
            <w:tcW w:w="3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383.741626</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Style w:val="21"/>
                <w:lang w:val="en-US" w:eastAsia="zh-CN" w:bidi="ar"/>
              </w:rPr>
              <w:t xml:space="preserve"> </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8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43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根据单位用人要求，通过第三方完成临时辅助用工人员的聘用，保障教育教学设施的日常维修及维护、确保教育教学、食堂等正常运转。</w:t>
            </w:r>
          </w:p>
        </w:tc>
        <w:tc>
          <w:tcPr>
            <w:tcW w:w="743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保障教育教学设施的日常维修及维护、确保教育教学、食堂等正常运转。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每人每月实发薪资标准</w:t>
            </w:r>
          </w:p>
        </w:tc>
        <w:tc>
          <w:tcPr>
            <w:tcW w:w="15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≥2420元</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≥2420元</w:t>
            </w:r>
          </w:p>
        </w:tc>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2"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临时辅助用工总人数</w:t>
            </w:r>
          </w:p>
        </w:tc>
        <w:tc>
          <w:tcPr>
            <w:tcW w:w="15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≤48人</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≤48人</w:t>
            </w:r>
          </w:p>
        </w:tc>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工资发放与参公人数差异</w:t>
            </w:r>
          </w:p>
        </w:tc>
        <w:tc>
          <w:tcPr>
            <w:tcW w:w="15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资金支付时间</w:t>
            </w:r>
          </w:p>
        </w:tc>
        <w:tc>
          <w:tcPr>
            <w:tcW w:w="15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≤3837416.26元</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≤3837416.26元</w:t>
            </w:r>
          </w:p>
        </w:tc>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保证教育教学质量提高</w:t>
            </w:r>
          </w:p>
        </w:tc>
        <w:tc>
          <w:tcPr>
            <w:tcW w:w="15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85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园所对临时辅助用工满意度</w:t>
            </w:r>
          </w:p>
        </w:tc>
        <w:tc>
          <w:tcPr>
            <w:tcW w:w="15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95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5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gridCol w:w="3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580"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580" w:type="dxa"/>
            <w:gridSpan w:val="15"/>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64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4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57.6</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57.6</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57.6</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57.6</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2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为了创造平安校园，保证幼儿园正常运转及幼儿、教师生命财产安全，维护园所安全稳定。</w:t>
            </w:r>
          </w:p>
        </w:tc>
        <w:tc>
          <w:tcPr>
            <w:tcW w:w="702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营造平安校园，保证幼儿园正常运转及幼儿、教师生命财产安全，维护园所安全稳定。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保安人数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师生安全和财产安全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优良中差</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按季度拨付保安服务费</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优良中差</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总成本控制</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576000元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576000元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维护园所安全</w:t>
            </w:r>
          </w:p>
        </w:tc>
        <w:tc>
          <w:tcPr>
            <w:tcW w:w="15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优良中差</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遗属补助-西兴海园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25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75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北京市大兴区西红门兴海幼儿园需申请遗属补助费用，我园申报遗属1名，每月发放190元，全年共计2280元。</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北京市大兴区西红门兴海幼儿园需申请遗属补助费用，我园申报遗属1名，每月发放190元，全年共计2280元。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587"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遗属补助发放达标率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按月发放遗属费用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4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项目总预算</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2280元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2280元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4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保障遗属生活</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7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75" w:type="dxa"/>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rPr>
          <w:rFonts w:hint="eastAsia"/>
        </w:rPr>
      </w:pPr>
    </w:p>
    <w:tbl>
      <w:tblPr>
        <w:tblStyle w:val="10"/>
        <w:tblW w:w="149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91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91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9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2024年员额制项目经费-西兴海园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040-北京市大兴区教育委员会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51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56.852856</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56.852856</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56.852856</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56.852856</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35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4"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北京市大兴区西红门兴海幼儿园员额制教师2人，我园有两名员额制人员，应发工资429084元，住房公积金43152元，社会保险费用96292.56元，福利费8400元。</w:t>
            </w:r>
          </w:p>
        </w:tc>
        <w:tc>
          <w:tcPr>
            <w:tcW w:w="735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北京市大兴区西红门兴海幼儿园员额制教师2人，我园有两名员额制人员，应发工资429084元，住房公积金43152元，社会保险费用96292.56元，福利费8400元。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9"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员额制用工人数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工资发放与参工人数差异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资金支付时间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1"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≤56.852856元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≤56.852856元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保证教育教学质量提高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园所对用工人员满意度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9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91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91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9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追加2024年员额制项目经费-西兴海园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040-北京市大兴区教育委员会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51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北京市大兴区西红门兴海幼儿园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3.953222</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3.953222</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3.953222</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3.953222</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35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2"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根据我园实际用工需求，本年度新照片1名员额制教师，需增加费用39532.22元，其中福利费350*4=1400元，工资及社保38132.22元</w:t>
            </w:r>
          </w:p>
        </w:tc>
        <w:tc>
          <w:tcPr>
            <w:tcW w:w="735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由于年初员额制项目经费有剩余，未使用此项追加资金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员额制用工人数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工资发放与参工人数差异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本年度未使用此项资金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资金支付时间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≤39532.22元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≤39532.22元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保证教育教学质量提高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园所对用工人员满意度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2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8CBBA7D"/>
    <w:multiLevelType w:val="singleLevel"/>
    <w:tmpl w:val="68CBBA7D"/>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2F456F2"/>
    <w:rsid w:val="03162648"/>
    <w:rsid w:val="032B5196"/>
    <w:rsid w:val="048B5BE2"/>
    <w:rsid w:val="04C3537C"/>
    <w:rsid w:val="04DC1D0C"/>
    <w:rsid w:val="059F5981"/>
    <w:rsid w:val="06732DD2"/>
    <w:rsid w:val="075F6EB2"/>
    <w:rsid w:val="079004AC"/>
    <w:rsid w:val="09C85264"/>
    <w:rsid w:val="0A314B36"/>
    <w:rsid w:val="0A7D7D7B"/>
    <w:rsid w:val="0AF73FD1"/>
    <w:rsid w:val="0B60428D"/>
    <w:rsid w:val="0B81389B"/>
    <w:rsid w:val="0BA148CA"/>
    <w:rsid w:val="0C1165C4"/>
    <w:rsid w:val="0C7305BB"/>
    <w:rsid w:val="0D6D544B"/>
    <w:rsid w:val="0DD136FE"/>
    <w:rsid w:val="0F542F2C"/>
    <w:rsid w:val="0F8E2C57"/>
    <w:rsid w:val="0FDD306A"/>
    <w:rsid w:val="1059665E"/>
    <w:rsid w:val="10AC13BA"/>
    <w:rsid w:val="112F3D99"/>
    <w:rsid w:val="145A6C1B"/>
    <w:rsid w:val="14B73493"/>
    <w:rsid w:val="167A2FF9"/>
    <w:rsid w:val="1764587C"/>
    <w:rsid w:val="181B0BD3"/>
    <w:rsid w:val="18581C69"/>
    <w:rsid w:val="18B02996"/>
    <w:rsid w:val="18D3325C"/>
    <w:rsid w:val="19616ABA"/>
    <w:rsid w:val="198E59AB"/>
    <w:rsid w:val="198F3627"/>
    <w:rsid w:val="1A824F3A"/>
    <w:rsid w:val="1A9133CF"/>
    <w:rsid w:val="1AEC0734"/>
    <w:rsid w:val="1DEF20B0"/>
    <w:rsid w:val="1FF7AB17"/>
    <w:rsid w:val="20C0056A"/>
    <w:rsid w:val="211B39F2"/>
    <w:rsid w:val="214243FA"/>
    <w:rsid w:val="21AD613C"/>
    <w:rsid w:val="22467189"/>
    <w:rsid w:val="22AC524A"/>
    <w:rsid w:val="257A14F5"/>
    <w:rsid w:val="26422C5C"/>
    <w:rsid w:val="27196C26"/>
    <w:rsid w:val="2738348F"/>
    <w:rsid w:val="29EF086F"/>
    <w:rsid w:val="2BC34C59"/>
    <w:rsid w:val="2BC901BC"/>
    <w:rsid w:val="2C934D84"/>
    <w:rsid w:val="2DD45655"/>
    <w:rsid w:val="2EFFE297"/>
    <w:rsid w:val="301437CA"/>
    <w:rsid w:val="309D02D8"/>
    <w:rsid w:val="32F737BC"/>
    <w:rsid w:val="331F2C8E"/>
    <w:rsid w:val="349D1F0A"/>
    <w:rsid w:val="34DD0473"/>
    <w:rsid w:val="39DB4726"/>
    <w:rsid w:val="39E92488"/>
    <w:rsid w:val="3A8E35DC"/>
    <w:rsid w:val="3C684897"/>
    <w:rsid w:val="3CB925E5"/>
    <w:rsid w:val="3D5011F1"/>
    <w:rsid w:val="3EB017C6"/>
    <w:rsid w:val="40A23390"/>
    <w:rsid w:val="42EB5DDF"/>
    <w:rsid w:val="432B1CC4"/>
    <w:rsid w:val="433E495C"/>
    <w:rsid w:val="44972B79"/>
    <w:rsid w:val="46BD2CD2"/>
    <w:rsid w:val="473E02B7"/>
    <w:rsid w:val="47DA499C"/>
    <w:rsid w:val="48657AC5"/>
    <w:rsid w:val="489F2FD7"/>
    <w:rsid w:val="4A325AB6"/>
    <w:rsid w:val="4A916094"/>
    <w:rsid w:val="4AC27CB3"/>
    <w:rsid w:val="4BF72BEF"/>
    <w:rsid w:val="4E782069"/>
    <w:rsid w:val="4FA90297"/>
    <w:rsid w:val="4FAE1D52"/>
    <w:rsid w:val="4FC41A43"/>
    <w:rsid w:val="4FDA66A3"/>
    <w:rsid w:val="517D75AC"/>
    <w:rsid w:val="51DB3C59"/>
    <w:rsid w:val="5359212F"/>
    <w:rsid w:val="53682217"/>
    <w:rsid w:val="53A10ACA"/>
    <w:rsid w:val="550C0952"/>
    <w:rsid w:val="55762E42"/>
    <w:rsid w:val="55CB540B"/>
    <w:rsid w:val="57A7B272"/>
    <w:rsid w:val="58470068"/>
    <w:rsid w:val="58747CAC"/>
    <w:rsid w:val="5A1720F9"/>
    <w:rsid w:val="5A364E1D"/>
    <w:rsid w:val="5B9C37C2"/>
    <w:rsid w:val="5BA7C654"/>
    <w:rsid w:val="5D8660BC"/>
    <w:rsid w:val="5DF716AE"/>
    <w:rsid w:val="5F337B7D"/>
    <w:rsid w:val="5F9F507E"/>
    <w:rsid w:val="60A54109"/>
    <w:rsid w:val="60EC26DA"/>
    <w:rsid w:val="61D01CDF"/>
    <w:rsid w:val="637B6D38"/>
    <w:rsid w:val="63FC0E86"/>
    <w:rsid w:val="64C0607C"/>
    <w:rsid w:val="65756C86"/>
    <w:rsid w:val="674D385B"/>
    <w:rsid w:val="67515045"/>
    <w:rsid w:val="676F09E1"/>
    <w:rsid w:val="6A1A3E14"/>
    <w:rsid w:val="6BB42046"/>
    <w:rsid w:val="6DA6322E"/>
    <w:rsid w:val="71691990"/>
    <w:rsid w:val="71793A80"/>
    <w:rsid w:val="71FB09CF"/>
    <w:rsid w:val="7357290B"/>
    <w:rsid w:val="756E3DEA"/>
    <w:rsid w:val="76D35A76"/>
    <w:rsid w:val="76FB1693"/>
    <w:rsid w:val="798524E4"/>
    <w:rsid w:val="7A4B1DC7"/>
    <w:rsid w:val="7A7F1C49"/>
    <w:rsid w:val="7B5B7AE6"/>
    <w:rsid w:val="7B7B6628"/>
    <w:rsid w:val="7BA7071E"/>
    <w:rsid w:val="7BDF6DA8"/>
    <w:rsid w:val="7C7EDC1A"/>
    <w:rsid w:val="7CCED98D"/>
    <w:rsid w:val="7D08410F"/>
    <w:rsid w:val="7DB96DED"/>
    <w:rsid w:val="7DD3AD81"/>
    <w:rsid w:val="7DFFF77E"/>
    <w:rsid w:val="7E7C2E97"/>
    <w:rsid w:val="7E8D29A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51"/>
    <w:basedOn w:val="11"/>
    <w:qFormat/>
    <w:uiPriority w:val="0"/>
    <w:rPr>
      <w:rFonts w:hint="eastAsia" w:ascii="宋体" w:hAnsi="宋体" w:eastAsia="宋体" w:cs="宋体"/>
      <w:color w:val="000000"/>
      <w:sz w:val="13"/>
      <w:szCs w:val="13"/>
      <w:u w:val="none"/>
    </w:rPr>
  </w:style>
  <w:style w:type="character" w:customStyle="1" w:styleId="21">
    <w:name w:val="font4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2433.48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2118.09</c:v>
                </c:pt>
                <c:pt idx="1">
                  <c:v>499.79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659</Words>
  <Characters>800</Characters>
  <Lines>44</Lines>
  <Paragraphs>12</Paragraphs>
  <TotalTime>0</TotalTime>
  <ScaleCrop>false</ScaleCrop>
  <LinksUpToDate>false</LinksUpToDate>
  <CharactersWithSpaces>816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2025-11-06T06:59:09Z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74AD4B8A0770477888C6D038FF866815_13</vt:lpwstr>
  </property>
  <property fmtid="{D5CDD505-2E9C-101B-9397-08002B2CF9AE}" pid="4" name="KSOTemplateDocerSaveRecord">
    <vt:lpwstr>eyJoZGlkIjoiMDgyMzMzNDZiZDJiN2EzOTIzMzYxMGUxYzkzYTc0ZDUiLCJ1c2VySWQiOiIxNjA4ODQ2OTk4In0=</vt:lpwstr>
  </property>
</Properties>
</file>