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BFE69B6">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rPr>
        <w:t>主要职责：</w:t>
      </w:r>
      <w:r>
        <w:rPr>
          <w:rFonts w:hint="eastAsia" w:ascii="仿宋_GB2312" w:eastAsia="仿宋_GB2312"/>
          <w:kern w:val="0"/>
          <w:sz w:val="28"/>
          <w:szCs w:val="28"/>
          <w:lang w:eastAsia="zh-CN"/>
        </w:rPr>
        <w:t>主</w:t>
      </w:r>
      <w:r>
        <w:rPr>
          <w:rFonts w:hint="eastAsia" w:ascii="仿宋_GB2312" w:eastAsia="仿宋_GB2312"/>
          <w:kern w:val="0"/>
          <w:sz w:val="28"/>
          <w:szCs w:val="28"/>
        </w:rPr>
        <w:t>要工作为开展成人教育和各层次成人培训等</w:t>
      </w:r>
      <w:r>
        <w:rPr>
          <w:rFonts w:hint="eastAsia" w:ascii="仿宋_GB2312" w:eastAsia="仿宋_GB2312"/>
          <w:kern w:val="0"/>
          <w:sz w:val="28"/>
          <w:szCs w:val="28"/>
          <w:lang w:eastAsia="zh-CN"/>
        </w:rPr>
        <w:t>。</w:t>
      </w:r>
    </w:p>
    <w:p w14:paraId="71518D68">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rPr>
        <w:t>机构设置：下设校长室、办公室、总务处、教务处、党建办等机构</w:t>
      </w:r>
      <w:r>
        <w:rPr>
          <w:rFonts w:hint="eastAsia" w:ascii="仿宋_GB2312" w:eastAsia="仿宋_GB2312"/>
          <w:kern w:val="0"/>
          <w:sz w:val="28"/>
          <w:szCs w:val="28"/>
          <w:lang w:eastAsia="zh-CN"/>
        </w:rPr>
        <w:t>。</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458.12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39.44</w:t>
      </w:r>
      <w:r>
        <w:rPr>
          <w:rFonts w:hint="eastAsia" w:ascii="仿宋_GB2312" w:eastAsia="仿宋_GB2312"/>
          <w:sz w:val="28"/>
          <w:szCs w:val="28"/>
        </w:rPr>
        <w:t>万元，下降</w:t>
      </w:r>
      <w:r>
        <w:rPr>
          <w:rFonts w:hint="eastAsia" w:ascii="仿宋_GB2312" w:eastAsia="仿宋_GB2312"/>
          <w:sz w:val="28"/>
          <w:szCs w:val="28"/>
          <w:lang w:val="en-US" w:eastAsia="zh-CN"/>
        </w:rPr>
        <w:t>7.93</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433.62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63.94</w:t>
      </w:r>
      <w:r>
        <w:rPr>
          <w:rFonts w:hint="eastAsia" w:ascii="仿宋_GB2312" w:eastAsia="仿宋_GB2312"/>
          <w:sz w:val="28"/>
          <w:szCs w:val="28"/>
        </w:rPr>
        <w:t>万元，下降</w:t>
      </w:r>
      <w:r>
        <w:rPr>
          <w:rFonts w:hint="eastAsia" w:ascii="仿宋_GB2312" w:eastAsia="仿宋_GB2312"/>
          <w:sz w:val="28"/>
          <w:szCs w:val="28"/>
          <w:lang w:val="en-US" w:eastAsia="zh-CN"/>
        </w:rPr>
        <w:t>12.85</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433.62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433.62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530090" cy="3073400"/>
            <wp:effectExtent l="4445" t="4445" r="18415" b="825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458.12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39.44</w:t>
      </w:r>
      <w:r>
        <w:rPr>
          <w:rFonts w:hint="eastAsia" w:ascii="仿宋_GB2312" w:eastAsia="仿宋_GB2312"/>
          <w:sz w:val="28"/>
          <w:szCs w:val="28"/>
        </w:rPr>
        <w:t>万元，下降</w:t>
      </w:r>
      <w:r>
        <w:rPr>
          <w:rFonts w:hint="eastAsia" w:ascii="仿宋_GB2312" w:eastAsia="仿宋_GB2312"/>
          <w:sz w:val="28"/>
          <w:szCs w:val="28"/>
          <w:lang w:val="en-US" w:eastAsia="zh-CN"/>
        </w:rPr>
        <w:t>7.93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452.93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98.87</w:t>
      </w:r>
      <w:r>
        <w:rPr>
          <w:rFonts w:hint="eastAsia" w:ascii="仿宋_GB2312" w:eastAsia="仿宋_GB2312"/>
          <w:sz w:val="28"/>
          <w:szCs w:val="28"/>
          <w:highlight w:val="none"/>
        </w:rPr>
        <w:t>%；项目支出</w:t>
      </w:r>
      <w:r>
        <w:rPr>
          <w:rFonts w:ascii="仿宋_GB2312" w:eastAsia="仿宋_GB2312"/>
          <w:sz w:val="28"/>
          <w:szCs w:val="28"/>
          <w:highlight w:val="none"/>
        </w:rPr>
        <w:t>5.19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1.13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DC49272">
      <w:pPr>
        <w:spacing w:line="560" w:lineRule="exact"/>
        <w:ind w:firstLine="640"/>
        <w:rPr>
          <w:rFonts w:hint="eastAsia" w:ascii="仿宋_GB2312" w:eastAsia="仿宋_GB2312" w:cs="Droid Sans"/>
          <w:color w:val="000000"/>
          <w:sz w:val="32"/>
          <w:szCs w:val="32"/>
          <w:highlight w:val="none"/>
          <w:lang w:eastAsia="zh-CN"/>
        </w:rPr>
      </w:pP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6085840" cy="3652520"/>
            <wp:effectExtent l="4445" t="4445" r="5715" b="1968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458.12</w:t>
      </w:r>
      <w:r>
        <w:rPr>
          <w:rFonts w:hint="eastAsia" w:ascii="仿宋_GB2312" w:eastAsia="仿宋_GB2312"/>
          <w:sz w:val="28"/>
          <w:szCs w:val="28"/>
        </w:rPr>
        <w:t>万元，比上年减少</w:t>
      </w:r>
      <w:r>
        <w:rPr>
          <w:rFonts w:hint="eastAsia" w:ascii="仿宋_GB2312" w:eastAsia="仿宋_GB2312"/>
          <w:sz w:val="28"/>
          <w:szCs w:val="28"/>
          <w:lang w:val="en-US" w:eastAsia="zh-CN"/>
        </w:rPr>
        <w:t>39.44</w:t>
      </w:r>
      <w:r>
        <w:rPr>
          <w:rFonts w:hint="eastAsia" w:ascii="仿宋_GB2312" w:eastAsia="仿宋_GB2312"/>
          <w:sz w:val="28"/>
          <w:szCs w:val="28"/>
        </w:rPr>
        <w:t>万元，下降</w:t>
      </w:r>
      <w:r>
        <w:rPr>
          <w:rFonts w:hint="eastAsia" w:ascii="仿宋_GB2312" w:eastAsia="仿宋_GB2312"/>
          <w:sz w:val="28"/>
          <w:szCs w:val="28"/>
          <w:lang w:val="en-US" w:eastAsia="zh-CN"/>
        </w:rPr>
        <w:t>7.93</w:t>
      </w:r>
      <w:r>
        <w:rPr>
          <w:rFonts w:hint="eastAsia" w:ascii="仿宋_GB2312" w:eastAsia="仿宋_GB2312"/>
          <w:sz w:val="28"/>
          <w:szCs w:val="28"/>
        </w:rPr>
        <w:t>%。主要原因：</w:t>
      </w:r>
      <w:r>
        <w:rPr>
          <w:rFonts w:hint="eastAsia" w:ascii="仿宋_GB2312" w:eastAsia="仿宋_GB2312"/>
          <w:sz w:val="28"/>
          <w:szCs w:val="28"/>
          <w:lang w:val="en-US" w:eastAsia="zh-CN"/>
        </w:rPr>
        <w:t>2023年11月退休1人，减少人员经费的支出；项目支出减少</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458.12</w:t>
      </w:r>
      <w:r>
        <w:rPr>
          <w:rFonts w:hint="eastAsia" w:ascii="仿宋_GB2312" w:eastAsia="仿宋_GB2312"/>
          <w:sz w:val="28"/>
          <w:szCs w:val="28"/>
        </w:rPr>
        <w:t>万元，主要用于以下方面：教育支出353.37万元，占本年财政拨款支出77.13%；社会保障和就业支出49.69</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10.85</w:t>
      </w:r>
      <w:r>
        <w:rPr>
          <w:rFonts w:hint="eastAsia" w:ascii="仿宋_GB2312" w:eastAsia="仿宋_GB2312"/>
          <w:sz w:val="28"/>
          <w:szCs w:val="28"/>
        </w:rPr>
        <w:t xml:space="preserve">% </w:t>
      </w:r>
      <w:r>
        <w:rPr>
          <w:rFonts w:hint="eastAsia" w:ascii="仿宋_GB2312" w:eastAsia="仿宋_GB2312"/>
          <w:sz w:val="28"/>
          <w:szCs w:val="28"/>
          <w:lang w:eastAsia="zh-CN"/>
        </w:rPr>
        <w:t>；卫生健康支出30.5</w:t>
      </w:r>
      <w:r>
        <w:rPr>
          <w:rFonts w:hint="eastAsia" w:ascii="仿宋_GB2312" w:eastAsia="仿宋_GB2312"/>
          <w:sz w:val="28"/>
          <w:szCs w:val="28"/>
          <w:lang w:val="en-US" w:eastAsia="zh-CN"/>
        </w:rPr>
        <w:t>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6.67</w:t>
      </w:r>
      <w:r>
        <w:rPr>
          <w:rFonts w:hint="eastAsia" w:ascii="仿宋_GB2312" w:eastAsia="仿宋_GB2312"/>
          <w:sz w:val="28"/>
          <w:szCs w:val="28"/>
        </w:rPr>
        <w:t>%</w:t>
      </w:r>
      <w:r>
        <w:rPr>
          <w:rFonts w:hint="eastAsia" w:ascii="仿宋_GB2312" w:eastAsia="仿宋_GB2312"/>
          <w:sz w:val="28"/>
          <w:szCs w:val="28"/>
          <w:lang w:val="en-US" w:eastAsia="zh-CN"/>
        </w:rPr>
        <w:t>；住房保障支出24.50万元，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5.35</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EC598C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400.31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年度决算353.3</w:t>
      </w:r>
      <w:r>
        <w:rPr>
          <w:rFonts w:hint="eastAsia" w:ascii="仿宋_GB2312" w:eastAsia="仿宋_GB2312"/>
          <w:sz w:val="28"/>
          <w:szCs w:val="28"/>
          <w:lang w:val="en-US" w:eastAsia="zh-CN"/>
        </w:rPr>
        <w:t>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88.27</w:t>
      </w:r>
      <w:r>
        <w:rPr>
          <w:rFonts w:hint="eastAsia" w:ascii="仿宋_GB2312" w:eastAsia="仿宋_GB2312"/>
          <w:sz w:val="28"/>
          <w:szCs w:val="28"/>
        </w:rPr>
        <w:t>%。</w:t>
      </w:r>
    </w:p>
    <w:p w14:paraId="269C40D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2983D84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“成人教育”202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400.31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年度决算353.3</w:t>
      </w:r>
      <w:r>
        <w:rPr>
          <w:rFonts w:hint="eastAsia" w:ascii="仿宋_GB2312" w:eastAsia="仿宋_GB2312"/>
          <w:sz w:val="28"/>
          <w:szCs w:val="28"/>
          <w:lang w:val="en-US" w:eastAsia="zh-CN"/>
        </w:rPr>
        <w:t>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88.27</w:t>
      </w:r>
      <w:r>
        <w:rPr>
          <w:rFonts w:hint="eastAsia" w:ascii="仿宋_GB2312" w:eastAsia="仿宋_GB2312"/>
          <w:sz w:val="28"/>
          <w:szCs w:val="28"/>
        </w:rPr>
        <w:t>%。主要原因：</w:t>
      </w:r>
      <w:r>
        <w:rPr>
          <w:rFonts w:hint="eastAsia" w:ascii="仿宋_GB2312" w:eastAsia="仿宋_GB2312"/>
          <w:sz w:val="28"/>
          <w:szCs w:val="28"/>
          <w:lang w:val="en-US" w:eastAsia="zh-CN"/>
        </w:rPr>
        <w:t>2023年11月退休1人，减少人员经费的支出；项目支出减少</w:t>
      </w:r>
      <w:r>
        <w:rPr>
          <w:rFonts w:hint="eastAsia" w:ascii="仿宋_GB2312" w:eastAsia="仿宋_GB2312"/>
          <w:sz w:val="28"/>
          <w:szCs w:val="28"/>
        </w:rPr>
        <w:t>。</w:t>
      </w:r>
    </w:p>
    <w:p w14:paraId="0FFF51D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年度决算49.69万元，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119.16</w:t>
      </w:r>
      <w:r>
        <w:rPr>
          <w:rFonts w:hint="eastAsia" w:ascii="仿宋_GB2312" w:eastAsia="仿宋_GB2312"/>
          <w:sz w:val="28"/>
          <w:szCs w:val="28"/>
        </w:rPr>
        <w:t>%。其中：</w:t>
      </w:r>
    </w:p>
    <w:p w14:paraId="38669D8A">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年度决算49.69万元，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119.16</w:t>
      </w:r>
      <w:r>
        <w:rPr>
          <w:rFonts w:hint="eastAsia" w:ascii="仿宋_GB2312" w:eastAsia="仿宋_GB2312"/>
          <w:sz w:val="28"/>
          <w:szCs w:val="28"/>
        </w:rPr>
        <w:t>%。主要原因：</w:t>
      </w:r>
      <w:r>
        <w:rPr>
          <w:rFonts w:hint="eastAsia" w:ascii="仿宋_GB2312" w:eastAsia="仿宋_GB2312"/>
          <w:sz w:val="28"/>
          <w:szCs w:val="28"/>
          <w:lang w:val="en-US" w:eastAsia="zh-CN"/>
        </w:rPr>
        <w:t>2023年11月退休1人，增加了事业单位离退休支出；</w:t>
      </w:r>
      <w:r>
        <w:rPr>
          <w:rFonts w:hint="eastAsia" w:ascii="仿宋_GB2312" w:eastAsia="仿宋_GB2312"/>
          <w:sz w:val="28"/>
          <w:szCs w:val="28"/>
        </w:rPr>
        <w:t>7月份调整了社保基数。</w:t>
      </w:r>
    </w:p>
    <w:p w14:paraId="12A13FA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96.74</w:t>
      </w:r>
      <w:r>
        <w:rPr>
          <w:rFonts w:hint="eastAsia" w:ascii="仿宋_GB2312" w:eastAsia="仿宋_GB2312"/>
          <w:sz w:val="28"/>
          <w:szCs w:val="28"/>
        </w:rPr>
        <w:t>%。其中：</w:t>
      </w:r>
    </w:p>
    <w:p w14:paraId="2B4E54A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96.74</w:t>
      </w:r>
      <w:r>
        <w:rPr>
          <w:rFonts w:hint="eastAsia" w:ascii="仿宋_GB2312" w:eastAsia="仿宋_GB2312"/>
          <w:sz w:val="28"/>
          <w:szCs w:val="28"/>
        </w:rPr>
        <w:t>%。主要原因：</w:t>
      </w:r>
      <w:r>
        <w:rPr>
          <w:rFonts w:hint="eastAsia" w:ascii="仿宋_GB2312" w:eastAsia="仿宋_GB2312"/>
          <w:sz w:val="28"/>
          <w:szCs w:val="28"/>
          <w:lang w:val="en-US" w:eastAsia="zh-CN"/>
        </w:rPr>
        <w:t>2023年11月退休1人，减少了行政事业单位医疗保险的支出；</w:t>
      </w:r>
      <w:r>
        <w:rPr>
          <w:rFonts w:hint="eastAsia" w:ascii="仿宋_GB2312" w:eastAsia="仿宋_GB2312"/>
          <w:sz w:val="28"/>
          <w:szCs w:val="28"/>
        </w:rPr>
        <w:t>7月份调整了社保基数。</w:t>
      </w:r>
    </w:p>
    <w:p w14:paraId="25DA580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24.5</w:t>
      </w:r>
      <w:r>
        <w:rPr>
          <w:rFonts w:hint="eastAsia" w:ascii="仿宋_GB2312" w:eastAsia="仿宋_GB2312"/>
          <w:sz w:val="28"/>
          <w:szCs w:val="28"/>
        </w:rPr>
        <w:t>万元。其中：</w:t>
      </w:r>
    </w:p>
    <w:p w14:paraId="2DE179B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24.5</w:t>
      </w:r>
      <w:r>
        <w:rPr>
          <w:rFonts w:hint="eastAsia" w:ascii="仿宋_GB2312" w:eastAsia="仿宋_GB2312"/>
          <w:sz w:val="28"/>
          <w:szCs w:val="28"/>
        </w:rPr>
        <w:t>万元。主要原因：</w:t>
      </w:r>
      <w:r>
        <w:rPr>
          <w:rFonts w:hint="eastAsia" w:ascii="仿宋_GB2312" w:eastAsia="仿宋_GB2312"/>
          <w:sz w:val="28"/>
          <w:szCs w:val="28"/>
          <w:lang w:val="en-US" w:eastAsia="zh-CN"/>
        </w:rPr>
        <w:t>年初结转和结余住房补贴的补发</w:t>
      </w:r>
      <w:r>
        <w:rPr>
          <w:rFonts w:hint="eastAsia" w:ascii="仿宋_GB2312" w:eastAsia="仿宋_GB2312"/>
          <w:sz w:val="28"/>
          <w:szCs w:val="28"/>
        </w:rPr>
        <w:t>。</w:t>
      </w:r>
    </w:p>
    <w:p w14:paraId="0E1DA65B">
      <w:pPr>
        <w:spacing w:line="580" w:lineRule="exact"/>
        <w:ind w:firstLine="560" w:firstLineChars="200"/>
        <w:rPr>
          <w:rFonts w:hint="eastAsia" w:ascii="黑体" w:eastAsia="黑体"/>
          <w:b/>
          <w:sz w:val="28"/>
          <w:szCs w:val="28"/>
          <w:lang w:val="en-US" w:eastAsia="zh-CN"/>
        </w:rPr>
      </w:pPr>
      <w:r>
        <w:rPr>
          <w:rFonts w:hint="eastAsia" w:ascii="黑体" w:eastAsia="黑体"/>
          <w:b/>
          <w:sz w:val="28"/>
          <w:szCs w:val="28"/>
          <w:lang w:val="en-US" w:eastAsia="zh-CN"/>
        </w:rPr>
        <w:t>五、政府性基金预算财政拨款支出决算情况说明</w:t>
      </w:r>
    </w:p>
    <w:p w14:paraId="1F320804">
      <w:pPr>
        <w:tabs>
          <w:tab w:val="center" w:pos="6979"/>
        </w:tabs>
        <w:spacing w:line="580" w:lineRule="exact"/>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hAnsi="Times New Roman" w:eastAsia="仿宋_GB2312" w:cs="Times New Roman"/>
          <w:b w:val="0"/>
          <w:bCs w:val="0"/>
          <w:kern w:val="2"/>
          <w:sz w:val="28"/>
          <w:szCs w:val="28"/>
          <w:lang w:val="en-US" w:eastAsia="zh-CN" w:bidi="ar-SA"/>
        </w:rPr>
        <w:t>本单位2024年度无</w:t>
      </w:r>
      <w:r>
        <w:rPr>
          <w:rFonts w:hint="eastAsia" w:ascii="仿宋_GB2312" w:eastAsia="仿宋_GB2312"/>
          <w:sz w:val="28"/>
          <w:szCs w:val="28"/>
        </w:rPr>
        <w:t>国有资本经营预算财政</w:t>
      </w:r>
      <w:r>
        <w:rPr>
          <w:rFonts w:ascii="仿宋_GB2312" w:eastAsia="仿宋_GB2312"/>
          <w:sz w:val="28"/>
          <w:szCs w:val="28"/>
        </w:rPr>
        <w:t>拨款</w:t>
      </w:r>
      <w:r>
        <w:rPr>
          <w:rFonts w:hint="eastAsia" w:ascii="仿宋_GB2312" w:eastAsia="仿宋_GB2312"/>
          <w:sz w:val="28"/>
          <w:szCs w:val="28"/>
        </w:rPr>
        <w:t>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452.93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2.77</w:t>
      </w:r>
      <w:r>
        <w:rPr>
          <w:rFonts w:hint="eastAsia" w:ascii="仿宋_GB2312" w:eastAsia="仿宋_GB2312"/>
          <w:sz w:val="28"/>
          <w:szCs w:val="28"/>
        </w:rPr>
        <w:t>万元减少</w:t>
      </w:r>
      <w:r>
        <w:rPr>
          <w:rFonts w:ascii="仿宋_GB2312" w:eastAsia="仿宋_GB2312"/>
          <w:sz w:val="28"/>
          <w:szCs w:val="28"/>
        </w:rPr>
        <w:t>2.77</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0.07</w:t>
      </w:r>
      <w:r>
        <w:rPr>
          <w:rFonts w:hint="eastAsia" w:ascii="仿宋_GB2312" w:eastAsia="仿宋_GB2312"/>
          <w:sz w:val="28"/>
          <w:szCs w:val="28"/>
        </w:rPr>
        <w:t>万元减少</w:t>
      </w:r>
      <w:r>
        <w:rPr>
          <w:rFonts w:hint="eastAsia" w:ascii="仿宋_GB2312" w:eastAsia="仿宋_GB2312"/>
          <w:sz w:val="28"/>
          <w:szCs w:val="28"/>
          <w:lang w:val="en-US" w:eastAsia="zh-CN"/>
        </w:rPr>
        <w:t>0.07</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2.7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highlight w:val="none"/>
        </w:rPr>
        <w:t>本</w:t>
      </w:r>
      <w:r>
        <w:rPr>
          <w:rFonts w:hint="eastAsia" w:ascii="仿宋_GB2312" w:eastAsia="仿宋_GB2312"/>
          <w:sz w:val="28"/>
          <w:szCs w:val="28"/>
          <w:highlight w:val="none"/>
          <w:lang w:eastAsia="zh-CN"/>
        </w:rPr>
        <w:t>年度新购车辆</w:t>
      </w:r>
      <w:r>
        <w:rPr>
          <w:rFonts w:hint="eastAsia" w:ascii="仿宋_GB2312" w:eastAsia="仿宋_GB2312"/>
          <w:sz w:val="28"/>
          <w:szCs w:val="28"/>
          <w:highlight w:val="none"/>
          <w:lang w:val="en-US" w:eastAsia="zh-CN"/>
        </w:rPr>
        <w:t>0辆，2024年度购置（更新）0辆。</w:t>
      </w:r>
      <w:bookmarkStart w:id="0" w:name="_GoBack"/>
      <w:bookmarkEnd w:id="0"/>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5.16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5.16</w:t>
      </w:r>
      <w:r>
        <w:rPr>
          <w:rFonts w:hint="eastAsia" w:ascii="仿宋_GB2312" w:eastAsia="仿宋_GB2312"/>
          <w:sz w:val="28"/>
          <w:szCs w:val="28"/>
        </w:rPr>
        <w:t>万元。授予中小企业合同金额</w:t>
      </w:r>
      <w:r>
        <w:rPr>
          <w:rFonts w:ascii="仿宋_GB2312" w:eastAsia="仿宋_GB2312"/>
          <w:sz w:val="28"/>
          <w:szCs w:val="28"/>
        </w:rPr>
        <w:t>5.16</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12月31日，北京市大兴区礼贤镇成人学校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DB1DBCB">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.教育支出（类）普通教育（款）其他普通教育支出（项）：是指反映除学前教育、小学教育、初中教育、高中教育、高等教育以外其他用于普通教育方面的支出。</w:t>
      </w:r>
    </w:p>
    <w:p w14:paraId="3A85BDFA">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.教育支出（类）成人教育（款）成人初等教育支出（项）：是指反映各部门举办各类成人初等教育的支出。</w:t>
      </w:r>
    </w:p>
    <w:p w14:paraId="19ECCA6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.教育支出（类）成人教育（款）其他成人教育支出（项）：是指反映除成人初等教育、成人中等教育、成人高等教育、成人广播电视教育以外其他用于成人教育方面的支出。</w:t>
      </w:r>
    </w:p>
    <w:p w14:paraId="757CF988">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.社会保障和就业支出（类）行政事业单位养老支出（款）机关事业单位基本养老保险缴费支出（项）：是指反映机关事业单位实施养老保险制度由单位缴纳的基本养老保险费支出。</w:t>
      </w:r>
    </w:p>
    <w:p w14:paraId="47131069">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.社会保障和就业支出（类）行政事业单位养老支出（款）机关事业单位职业年金缴费支出（项）：是指反映机关事业单位实施养老保险制度由单位实际缴纳的职业年金支出（含职业年金补记支出）。</w:t>
      </w:r>
    </w:p>
    <w:p w14:paraId="17029BC1">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类）行政事业单位医疗（款）事业单位医疗（项）：是指反映财政部门安排的事业单位基本医疗保险缴费经费，未参加医疗保险的事业单位的公费医疗经费，按国家规定享受离休人员待遇的医疗经费。</w:t>
      </w:r>
    </w:p>
    <w:p w14:paraId="7442523A">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.卫生健康支出（类）行政事业单位医疗（款）公务员医疗补助（项）：是指反映财政部门安排的公务员医疗补助经费。</w:t>
      </w:r>
    </w:p>
    <w:p w14:paraId="2E8B3E26">
      <w:pPr>
        <w:ind w:firstLine="420" w:firstLineChars="150"/>
        <w:rPr>
          <w:rFonts w:hint="eastAsia" w:ascii="仿宋_GB2312" w:eastAsia="仿宋_GB2312"/>
          <w:sz w:val="28"/>
          <w:szCs w:val="28"/>
          <w:lang w:val="en-US" w:eastAsia="zh-CN"/>
        </w:rPr>
      </w:pPr>
    </w:p>
    <w:p w14:paraId="06AD01E8">
      <w:pPr>
        <w:jc w:val="both"/>
        <w:rPr>
          <w:rFonts w:hint="eastAsia" w:ascii="黑体" w:eastAsia="黑体"/>
          <w:sz w:val="32"/>
          <w:szCs w:val="32"/>
        </w:rPr>
      </w:pPr>
    </w:p>
    <w:p w14:paraId="10ED1D9E">
      <w:pPr>
        <w:numPr>
          <w:ilvl w:val="0"/>
          <w:numId w:val="0"/>
        </w:numPr>
        <w:ind w:firstLine="560" w:firstLineChars="200"/>
        <w:rPr>
          <w:rFonts w:hint="eastAsia" w:ascii="仿宋_GB2312" w:eastAsia="仿宋_GB2312"/>
          <w:sz w:val="28"/>
          <w:szCs w:val="28"/>
          <w:lang w:val="en-US" w:eastAsia="zh-CN"/>
        </w:rPr>
      </w:pP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1289E28D">
      <w:pPr>
        <w:tabs>
          <w:tab w:val="center" w:pos="6979"/>
        </w:tabs>
        <w:spacing w:line="380" w:lineRule="exact"/>
        <w:jc w:val="center"/>
        <w:rPr>
          <w:rFonts w:ascii="宋体" w:hAnsi="宋体" w:cs="宋体"/>
          <w:b/>
          <w:bCs/>
          <w:kern w:val="0"/>
          <w:sz w:val="28"/>
          <w:szCs w:val="28"/>
        </w:rPr>
      </w:pPr>
    </w:p>
    <w:p w14:paraId="52E5FAF8">
      <w:pPr>
        <w:pStyle w:val="2"/>
        <w:rPr>
          <w:rFonts w:ascii="宋体" w:hAnsi="宋体" w:cs="宋体"/>
          <w:b/>
          <w:bCs/>
          <w:kern w:val="0"/>
          <w:sz w:val="28"/>
          <w:szCs w:val="28"/>
        </w:rPr>
      </w:pPr>
    </w:p>
    <w:p w14:paraId="7DBC3DE8">
      <w:pPr>
        <w:rPr>
          <w:rFonts w:ascii="宋体" w:hAnsi="宋体" w:cs="宋体"/>
          <w:b/>
          <w:bCs/>
          <w:kern w:val="0"/>
          <w:sz w:val="28"/>
          <w:szCs w:val="28"/>
        </w:rPr>
      </w:pPr>
    </w:p>
    <w:p w14:paraId="35485E66">
      <w:pPr>
        <w:pStyle w:val="2"/>
      </w:pPr>
    </w:p>
    <w:p w14:paraId="32E3217A">
      <w:pPr>
        <w:tabs>
          <w:tab w:val="center" w:pos="6979"/>
        </w:tabs>
        <w:spacing w:line="380" w:lineRule="exact"/>
        <w:jc w:val="center"/>
        <w:rPr>
          <w:rFonts w:ascii="宋体" w:hAnsi="宋体" w:cs="宋体"/>
          <w:b/>
          <w:bCs/>
          <w:kern w:val="0"/>
          <w:sz w:val="28"/>
          <w:szCs w:val="28"/>
        </w:rPr>
      </w:pPr>
    </w:p>
    <w:p w14:paraId="0473B43C">
      <w:pPr>
        <w:tabs>
          <w:tab w:val="center" w:pos="6979"/>
        </w:tabs>
        <w:spacing w:line="380" w:lineRule="exact"/>
        <w:jc w:val="center"/>
        <w:rPr>
          <w:rFonts w:ascii="宋体" w:hAnsi="宋体" w:cs="宋体"/>
          <w:b/>
          <w:bCs/>
          <w:kern w:val="0"/>
          <w:sz w:val="28"/>
          <w:szCs w:val="28"/>
        </w:rPr>
      </w:pPr>
    </w:p>
    <w:p w14:paraId="0BFE2994">
      <w:pPr>
        <w:tabs>
          <w:tab w:val="center" w:pos="6979"/>
        </w:tabs>
        <w:spacing w:line="380" w:lineRule="exact"/>
        <w:jc w:val="center"/>
        <w:rPr>
          <w:rFonts w:ascii="宋体" w:hAnsi="宋体" w:cs="宋体"/>
          <w:b/>
          <w:bCs/>
          <w:kern w:val="0"/>
          <w:sz w:val="28"/>
          <w:szCs w:val="28"/>
        </w:rPr>
      </w:pPr>
    </w:p>
    <w:p w14:paraId="1115BF0B">
      <w:pPr>
        <w:tabs>
          <w:tab w:val="center" w:pos="6979"/>
        </w:tabs>
        <w:spacing w:line="380" w:lineRule="exact"/>
        <w:jc w:val="center"/>
        <w:rPr>
          <w:rFonts w:ascii="宋体" w:hAnsi="宋体" w:cs="宋体"/>
          <w:b/>
          <w:bCs/>
          <w:kern w:val="0"/>
          <w:sz w:val="28"/>
          <w:szCs w:val="28"/>
        </w:rPr>
      </w:pPr>
    </w:p>
    <w:p w14:paraId="1DE57594">
      <w:pPr>
        <w:numPr>
          <w:ilvl w:val="0"/>
          <w:numId w:val="1"/>
        </w:numPr>
        <w:ind w:firstLine="640" w:firstLineChars="200"/>
        <w:jc w:val="center"/>
        <w:rPr>
          <w:rFonts w:hint="eastAsia" w:ascii="黑体" w:eastAsia="黑体"/>
          <w:sz w:val="32"/>
          <w:szCs w:val="32"/>
        </w:rPr>
      </w:pPr>
      <w:r>
        <w:rPr>
          <w:rFonts w:hint="eastAsia" w:ascii="黑体" w:eastAsia="黑体"/>
          <w:sz w:val="32"/>
          <w:szCs w:val="32"/>
        </w:rPr>
        <w:t xml:space="preserve"> 202</w:t>
      </w:r>
      <w:r>
        <w:rPr>
          <w:rFonts w:hint="eastAsia" w:ascii="黑体" w:eastAsia="黑体"/>
          <w:sz w:val="32"/>
          <w:szCs w:val="32"/>
          <w:lang w:val="en-US" w:eastAsia="zh-CN"/>
        </w:rPr>
        <w:t>4</w:t>
      </w:r>
      <w:r>
        <w:rPr>
          <w:rFonts w:hint="eastAsia" w:ascii="黑体" w:eastAsia="黑体"/>
          <w:sz w:val="32"/>
          <w:szCs w:val="32"/>
        </w:rPr>
        <w:t>年度部门绩效评价情况</w:t>
      </w:r>
    </w:p>
    <w:p w14:paraId="305C62B2">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14:paraId="0F22CCFB">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71812B"/>
    <w:multiLevelType w:val="singleLevel"/>
    <w:tmpl w:val="2471812B"/>
    <w:lvl w:ilvl="0" w:tentative="0">
      <w:start w:val="4"/>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0A29DC"/>
    <w:rsid w:val="02F120AB"/>
    <w:rsid w:val="032B5196"/>
    <w:rsid w:val="0388408C"/>
    <w:rsid w:val="04C3537C"/>
    <w:rsid w:val="079004AC"/>
    <w:rsid w:val="07A64AE1"/>
    <w:rsid w:val="0BA148CA"/>
    <w:rsid w:val="0C1165C4"/>
    <w:rsid w:val="0D6D544B"/>
    <w:rsid w:val="0DD136FE"/>
    <w:rsid w:val="0F542F2C"/>
    <w:rsid w:val="0F8E2C57"/>
    <w:rsid w:val="0FD43805"/>
    <w:rsid w:val="1059665E"/>
    <w:rsid w:val="10AC13BA"/>
    <w:rsid w:val="145A6C1B"/>
    <w:rsid w:val="147C5547"/>
    <w:rsid w:val="14B73493"/>
    <w:rsid w:val="167A2FF9"/>
    <w:rsid w:val="1764587C"/>
    <w:rsid w:val="18581C69"/>
    <w:rsid w:val="19B80DD0"/>
    <w:rsid w:val="1AEC0734"/>
    <w:rsid w:val="1DEF20B0"/>
    <w:rsid w:val="1FF7AB17"/>
    <w:rsid w:val="214243FA"/>
    <w:rsid w:val="21AD613C"/>
    <w:rsid w:val="22467189"/>
    <w:rsid w:val="257A14F5"/>
    <w:rsid w:val="25AA6A27"/>
    <w:rsid w:val="27196C26"/>
    <w:rsid w:val="27653582"/>
    <w:rsid w:val="29EF086F"/>
    <w:rsid w:val="2BC34C59"/>
    <w:rsid w:val="2EFFE297"/>
    <w:rsid w:val="301437CA"/>
    <w:rsid w:val="349D1F0A"/>
    <w:rsid w:val="34DD0473"/>
    <w:rsid w:val="35355A03"/>
    <w:rsid w:val="363A78A9"/>
    <w:rsid w:val="3A8E35DC"/>
    <w:rsid w:val="3C684897"/>
    <w:rsid w:val="3CAD2CD6"/>
    <w:rsid w:val="3E3A7756"/>
    <w:rsid w:val="433E495C"/>
    <w:rsid w:val="43716274"/>
    <w:rsid w:val="476E2B9E"/>
    <w:rsid w:val="489F2FD7"/>
    <w:rsid w:val="4AC27CB3"/>
    <w:rsid w:val="4BF72BEF"/>
    <w:rsid w:val="4FA90297"/>
    <w:rsid w:val="4FC41A43"/>
    <w:rsid w:val="4FF736F9"/>
    <w:rsid w:val="51DB3C59"/>
    <w:rsid w:val="550C0952"/>
    <w:rsid w:val="55762E42"/>
    <w:rsid w:val="56705FB3"/>
    <w:rsid w:val="567C6706"/>
    <w:rsid w:val="57A7B272"/>
    <w:rsid w:val="58470068"/>
    <w:rsid w:val="58747CAC"/>
    <w:rsid w:val="5A1720F9"/>
    <w:rsid w:val="5B9C37C2"/>
    <w:rsid w:val="5BA7C654"/>
    <w:rsid w:val="5D477F26"/>
    <w:rsid w:val="5DF716AE"/>
    <w:rsid w:val="5F9F507E"/>
    <w:rsid w:val="60A54109"/>
    <w:rsid w:val="615E7DDD"/>
    <w:rsid w:val="61D01CDF"/>
    <w:rsid w:val="62A47E58"/>
    <w:rsid w:val="64C0607C"/>
    <w:rsid w:val="65756C86"/>
    <w:rsid w:val="659F72AD"/>
    <w:rsid w:val="674D385B"/>
    <w:rsid w:val="676F09E1"/>
    <w:rsid w:val="6AA06A0F"/>
    <w:rsid w:val="71691990"/>
    <w:rsid w:val="71793A80"/>
    <w:rsid w:val="71D37799"/>
    <w:rsid w:val="7357290B"/>
    <w:rsid w:val="73C2557F"/>
    <w:rsid w:val="74FF7DBD"/>
    <w:rsid w:val="756E3DEA"/>
    <w:rsid w:val="76FB1693"/>
    <w:rsid w:val="78CA2EA9"/>
    <w:rsid w:val="798524E4"/>
    <w:rsid w:val="7A7F1C49"/>
    <w:rsid w:val="7B5B7AE6"/>
    <w:rsid w:val="7B7B6628"/>
    <w:rsid w:val="7BA7071E"/>
    <w:rsid w:val="7BDF6DA8"/>
    <w:rsid w:val="7C2B49E9"/>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433.62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layout>
                <c:manualLayout>
                  <c:x val="-0.0580476509613931"/>
                  <c:y val="-0.0063971486106223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79420396067817"/>
                  <c:y val="0.059216032499676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791666666666667"/>
                  <c:y val="-0.022685185185185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81627658247499"/>
                  <c:y val="0.063289007287840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452.93</c:v>
                </c:pt>
                <c:pt idx="1">
                  <c:v>5.19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607</Words>
  <Characters>690</Characters>
  <Lines>44</Lines>
  <Paragraphs>12</Paragraphs>
  <TotalTime>9</TotalTime>
  <ScaleCrop>false</ScaleCrop>
  <LinksUpToDate>false</LinksUpToDate>
  <CharactersWithSpaces>706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(*^_^*)陈潘</cp:lastModifiedBy>
  <cp:lastPrinted>2020-08-09T03:39:00Z</cp:lastPrinted>
  <dcterms:modified xsi:type="dcterms:W3CDTF">2025-09-25T08:35:40Z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eyJoZGlkIjoiNDBkMTdhMjU2Y2RjYTI1MDkwNGQyYTU2Yzk4NjlhODUiLCJ1c2VySWQiOiI1NDExMzc0ODYifQ==</vt:lpwstr>
  </property>
</Properties>
</file>