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8FD667">
      <w:pPr>
        <w:jc w:val="center"/>
        <w:rPr>
          <w:rFonts w:ascii="仿宋_GB2312" w:eastAsia="仿宋_GB2312"/>
          <w:b/>
          <w:sz w:val="32"/>
          <w:szCs w:val="32"/>
        </w:rPr>
      </w:pPr>
    </w:p>
    <w:p w14:paraId="576351E2">
      <w:pPr>
        <w:jc w:val="center"/>
        <w:rPr>
          <w:rFonts w:ascii="黑体" w:eastAsia="黑体"/>
          <w:sz w:val="72"/>
          <w:szCs w:val="72"/>
        </w:rPr>
      </w:pPr>
    </w:p>
    <w:p w14:paraId="67A07B9E">
      <w:pPr>
        <w:jc w:val="center"/>
        <w:rPr>
          <w:rFonts w:ascii="黑体" w:eastAsia="黑体"/>
          <w:sz w:val="72"/>
          <w:szCs w:val="72"/>
        </w:rPr>
      </w:pPr>
    </w:p>
    <w:p w14:paraId="0632B0CA">
      <w:pPr>
        <w:jc w:val="center"/>
        <w:rPr>
          <w:rFonts w:ascii="黑体" w:eastAsia="黑体"/>
          <w:sz w:val="72"/>
          <w:szCs w:val="72"/>
        </w:rPr>
      </w:pPr>
    </w:p>
    <w:p w14:paraId="6DC7FDD8">
      <w:pPr>
        <w:jc w:val="center"/>
        <w:rPr>
          <w:rFonts w:ascii="黑体" w:eastAsia="黑体"/>
          <w:sz w:val="72"/>
          <w:szCs w:val="72"/>
        </w:rPr>
      </w:pPr>
    </w:p>
    <w:p w14:paraId="1B7B5D98">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14:paraId="7D3D36BE">
      <w:pPr>
        <w:jc w:val="center"/>
        <w:rPr>
          <w:rFonts w:ascii="黑体" w:eastAsia="黑体"/>
          <w:sz w:val="52"/>
          <w:szCs w:val="52"/>
        </w:rPr>
      </w:pPr>
    </w:p>
    <w:p w14:paraId="2C8A8596">
      <w:pPr>
        <w:jc w:val="center"/>
        <w:rPr>
          <w:rFonts w:ascii="黑体" w:eastAsia="黑体"/>
          <w:sz w:val="52"/>
          <w:szCs w:val="52"/>
        </w:rPr>
      </w:pPr>
    </w:p>
    <w:p w14:paraId="3A5E4E35">
      <w:pPr>
        <w:jc w:val="center"/>
        <w:rPr>
          <w:rFonts w:ascii="黑体" w:eastAsia="黑体"/>
          <w:sz w:val="52"/>
          <w:szCs w:val="52"/>
        </w:rPr>
      </w:pPr>
    </w:p>
    <w:p w14:paraId="124919CA">
      <w:pPr>
        <w:jc w:val="center"/>
        <w:rPr>
          <w:rFonts w:ascii="黑体" w:eastAsia="黑体"/>
          <w:sz w:val="52"/>
          <w:szCs w:val="52"/>
        </w:rPr>
      </w:pPr>
    </w:p>
    <w:p w14:paraId="5EA60475">
      <w:pPr>
        <w:jc w:val="center"/>
        <w:rPr>
          <w:rFonts w:ascii="黑体" w:eastAsia="黑体"/>
          <w:sz w:val="32"/>
          <w:szCs w:val="32"/>
        </w:rPr>
      </w:pPr>
    </w:p>
    <w:p w14:paraId="6BC5488B">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61A82A08">
      <w:pPr>
        <w:spacing w:line="500" w:lineRule="exact"/>
        <w:ind w:firstLine="645"/>
        <w:jc w:val="center"/>
        <w:rPr>
          <w:rFonts w:hint="eastAsia" w:ascii="宋体" w:hAnsi="宋体" w:cs="宋体"/>
          <w:b/>
          <w:bCs/>
          <w:kern w:val="0"/>
          <w:sz w:val="36"/>
          <w:szCs w:val="36"/>
        </w:rPr>
      </w:pPr>
    </w:p>
    <w:p w14:paraId="2DDD694A">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14:paraId="1506F929">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182811EB">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667E7284">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12E7B6FB">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5DEB2C83">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64712304">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4638F0C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3C1E72D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37405167">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14:paraId="602DD89E">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2FBB68D5">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327A11A6">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14:paraId="0131333F">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14:paraId="2446FA7A">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63B4F587">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14:paraId="759FABFB">
      <w:pPr>
        <w:tabs>
          <w:tab w:val="center" w:pos="6979"/>
        </w:tabs>
        <w:spacing w:before="156" w:beforeLines="50" w:after="156" w:afterLines="50"/>
        <w:jc w:val="center"/>
        <w:rPr>
          <w:rFonts w:ascii="宋体" w:hAnsi="宋体" w:cs="宋体"/>
          <w:b/>
          <w:bCs/>
          <w:spacing w:val="40"/>
          <w:kern w:val="0"/>
          <w:sz w:val="32"/>
          <w:szCs w:val="32"/>
        </w:rPr>
      </w:pPr>
    </w:p>
    <w:p w14:paraId="07C6242E">
      <w:pPr>
        <w:tabs>
          <w:tab w:val="center" w:pos="6979"/>
        </w:tabs>
        <w:spacing w:before="156" w:beforeLines="50" w:after="156" w:afterLines="50"/>
        <w:jc w:val="center"/>
        <w:rPr>
          <w:rFonts w:ascii="宋体" w:hAnsi="宋体" w:cs="宋体"/>
          <w:b/>
          <w:bCs/>
          <w:spacing w:val="40"/>
          <w:kern w:val="0"/>
          <w:sz w:val="32"/>
          <w:szCs w:val="32"/>
        </w:rPr>
      </w:pPr>
    </w:p>
    <w:p w14:paraId="11C8B0B4">
      <w:pPr>
        <w:tabs>
          <w:tab w:val="center" w:pos="6979"/>
        </w:tabs>
        <w:spacing w:before="156" w:beforeLines="50" w:after="156" w:afterLines="50"/>
        <w:jc w:val="center"/>
        <w:rPr>
          <w:rFonts w:ascii="宋体" w:hAnsi="宋体" w:cs="宋体"/>
          <w:b/>
          <w:bCs/>
          <w:spacing w:val="40"/>
          <w:kern w:val="0"/>
          <w:sz w:val="32"/>
          <w:szCs w:val="32"/>
        </w:rPr>
      </w:pPr>
    </w:p>
    <w:p w14:paraId="3966A746">
      <w:pPr>
        <w:tabs>
          <w:tab w:val="center" w:pos="6979"/>
        </w:tabs>
        <w:spacing w:before="156" w:beforeLines="50" w:after="156" w:afterLines="50"/>
        <w:jc w:val="center"/>
        <w:rPr>
          <w:rFonts w:ascii="宋体" w:hAnsi="宋体" w:cs="宋体"/>
          <w:b/>
          <w:bCs/>
          <w:spacing w:val="40"/>
          <w:kern w:val="0"/>
          <w:sz w:val="32"/>
          <w:szCs w:val="32"/>
        </w:rPr>
      </w:pPr>
    </w:p>
    <w:p w14:paraId="389FA01F">
      <w:pPr>
        <w:tabs>
          <w:tab w:val="center" w:pos="6979"/>
        </w:tabs>
        <w:spacing w:before="156" w:beforeLines="50" w:after="156" w:afterLines="50"/>
        <w:jc w:val="center"/>
        <w:rPr>
          <w:rFonts w:ascii="宋体" w:hAnsi="宋体" w:cs="宋体"/>
          <w:b/>
          <w:bCs/>
          <w:spacing w:val="40"/>
          <w:kern w:val="0"/>
          <w:sz w:val="32"/>
          <w:szCs w:val="32"/>
        </w:rPr>
      </w:pPr>
    </w:p>
    <w:p w14:paraId="4B09241E">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14:paraId="1C10C41C">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033ACC40">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14:paraId="6F4150F6">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14:paraId="7081C4BD">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700" w:firstLineChars="250"/>
        <w:textAlignment w:val="auto"/>
        <w:rPr>
          <w:rFonts w:hint="eastAsia" w:ascii="仿宋_GB2312" w:eastAsia="仿宋_GB2312"/>
          <w:sz w:val="28"/>
          <w:szCs w:val="28"/>
        </w:rPr>
      </w:pPr>
      <w:r>
        <w:rPr>
          <w:rFonts w:hint="eastAsia" w:ascii="仿宋_GB2312" w:eastAsia="仿宋_GB2312"/>
          <w:sz w:val="28"/>
          <w:szCs w:val="28"/>
        </w:rPr>
        <w:t>大兴区瀛海镇成人学校</w:t>
      </w:r>
      <w:r>
        <w:rPr>
          <w:rFonts w:hint="eastAsia" w:ascii="仿宋_GB2312" w:eastAsia="仿宋_GB2312"/>
          <w:sz w:val="28"/>
          <w:szCs w:val="28"/>
          <w:lang w:eastAsia="zh-CN"/>
        </w:rPr>
        <w:t>职责为</w:t>
      </w:r>
      <w:r>
        <w:rPr>
          <w:rFonts w:hint="eastAsia" w:ascii="仿宋_GB2312" w:eastAsia="仿宋_GB2312"/>
          <w:sz w:val="28"/>
          <w:szCs w:val="28"/>
        </w:rPr>
        <w:t>开展成人教育和各层次成人培训工作</w:t>
      </w:r>
      <w:r>
        <w:rPr>
          <w:rFonts w:hint="eastAsia" w:ascii="仿宋_GB2312" w:eastAsia="仿宋_GB2312"/>
          <w:sz w:val="28"/>
          <w:szCs w:val="28"/>
          <w:lang w:eastAsia="zh-CN"/>
        </w:rPr>
        <w:t>，</w:t>
      </w:r>
      <w:r>
        <w:rPr>
          <w:rFonts w:hint="eastAsia" w:ascii="仿宋_GB2312" w:eastAsia="仿宋_GB2312"/>
          <w:sz w:val="28"/>
          <w:szCs w:val="28"/>
        </w:rPr>
        <w:t>内设机构包括校长室、</w:t>
      </w:r>
      <w:r>
        <w:rPr>
          <w:rFonts w:hint="eastAsia" w:ascii="仿宋_GB2312" w:eastAsia="仿宋_GB2312"/>
          <w:sz w:val="28"/>
          <w:szCs w:val="28"/>
          <w:lang w:eastAsia="zh-CN"/>
        </w:rPr>
        <w:t>副校长</w:t>
      </w:r>
      <w:r>
        <w:rPr>
          <w:rFonts w:hint="eastAsia" w:ascii="仿宋_GB2312" w:eastAsia="仿宋_GB2312"/>
          <w:sz w:val="28"/>
          <w:szCs w:val="28"/>
        </w:rPr>
        <w:t>办公室、教委办公室、教师办公室、财务室。</w:t>
      </w:r>
    </w:p>
    <w:p w14:paraId="44CBC380">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7AEE6D8B">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483.15</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3.34</w:t>
      </w:r>
      <w:r>
        <w:rPr>
          <w:rFonts w:hint="eastAsia" w:ascii="仿宋_GB2312" w:eastAsia="仿宋_GB2312"/>
          <w:sz w:val="28"/>
          <w:szCs w:val="28"/>
        </w:rPr>
        <w:t>万元，下降</w:t>
      </w:r>
      <w:r>
        <w:rPr>
          <w:rFonts w:hint="eastAsia" w:ascii="仿宋_GB2312" w:eastAsia="仿宋_GB2312"/>
          <w:sz w:val="28"/>
          <w:szCs w:val="28"/>
          <w:lang w:val="en-US" w:eastAsia="zh-CN"/>
        </w:rPr>
        <w:t>0.69</w:t>
      </w:r>
      <w:r>
        <w:rPr>
          <w:rFonts w:hint="eastAsia" w:ascii="仿宋_GB2312" w:eastAsia="仿宋_GB2312"/>
          <w:sz w:val="28"/>
          <w:szCs w:val="28"/>
        </w:rPr>
        <w:t>%。</w:t>
      </w:r>
    </w:p>
    <w:p w14:paraId="10DF6111">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14:paraId="7DA26DE3">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444.8</w:t>
      </w:r>
      <w:r>
        <w:rPr>
          <w:rFonts w:hint="eastAsia" w:ascii="仿宋_GB2312" w:eastAsia="仿宋_GB2312"/>
          <w:sz w:val="28"/>
          <w:szCs w:val="28"/>
          <w:lang w:val="en-US" w:eastAsia="zh-CN"/>
        </w:rPr>
        <w:t>0</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31.21</w:t>
      </w:r>
      <w:r>
        <w:rPr>
          <w:rFonts w:hint="eastAsia" w:ascii="仿宋_GB2312" w:eastAsia="仿宋_GB2312"/>
          <w:sz w:val="28"/>
          <w:szCs w:val="28"/>
        </w:rPr>
        <w:t>万元，下降</w:t>
      </w:r>
      <w:r>
        <w:rPr>
          <w:rFonts w:hint="eastAsia" w:ascii="仿宋_GB2312" w:eastAsia="仿宋_GB2312"/>
          <w:sz w:val="28"/>
          <w:szCs w:val="28"/>
          <w:lang w:val="en-US" w:eastAsia="zh-CN"/>
        </w:rPr>
        <w:t>6.56</w:t>
      </w:r>
      <w:r>
        <w:rPr>
          <w:rFonts w:hint="eastAsia" w:ascii="仿宋_GB2312" w:eastAsia="仿宋_GB2312"/>
          <w:sz w:val="28"/>
          <w:szCs w:val="28"/>
        </w:rPr>
        <w:t>%</w:t>
      </w:r>
      <w:r>
        <w:rPr>
          <w:rFonts w:hint="eastAsia" w:ascii="仿宋_GB2312" w:eastAsia="仿宋_GB2312"/>
          <w:sz w:val="28"/>
          <w:szCs w:val="28"/>
          <w:lang w:eastAsia="zh-CN"/>
        </w:rPr>
        <w:t>。</w:t>
      </w:r>
    </w:p>
    <w:p w14:paraId="6FB32ABC">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444.8</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hint="eastAsia" w:ascii="仿宋_GB2312" w:eastAsia="仿宋_GB2312"/>
          <w:sz w:val="28"/>
          <w:szCs w:val="28"/>
          <w:lang w:val="en-US" w:eastAsia="zh-CN"/>
        </w:rPr>
        <w:t>444.80</w:t>
      </w:r>
      <w:r>
        <w:rPr>
          <w:rFonts w:hint="eastAsia" w:ascii="仿宋_GB2312" w:eastAsia="仿宋_GB2312"/>
          <w:sz w:val="28"/>
          <w:szCs w:val="28"/>
        </w:rPr>
        <w:t>万元，占收入合计的</w:t>
      </w:r>
      <w:r>
        <w:rPr>
          <w:rFonts w:hint="eastAsia" w:ascii="仿宋_GB2312" w:eastAsia="仿宋_GB2312"/>
          <w:sz w:val="28"/>
          <w:szCs w:val="28"/>
          <w:lang w:val="en-US" w:eastAsia="zh-CN"/>
        </w:rPr>
        <w:t>100</w:t>
      </w:r>
      <w:r>
        <w:rPr>
          <w:rFonts w:hint="eastAsia" w:ascii="仿宋_GB2312" w:eastAsia="仿宋_GB2312"/>
          <w:sz w:val="28"/>
          <w:szCs w:val="28"/>
          <w:highlight w:val="none"/>
        </w:rPr>
        <w:t>%；</w:t>
      </w:r>
      <w:r>
        <w:rPr>
          <w:rFonts w:hint="eastAsia" w:ascii="仿宋_GB2312" w:eastAsia="仿宋_GB2312"/>
          <w:sz w:val="28"/>
          <w:szCs w:val="28"/>
          <w:lang w:eastAsia="zh-CN"/>
        </w:rPr>
        <w:t>政府性基金预算财政拨款收入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color w:val="auto"/>
          <w:sz w:val="28"/>
          <w:szCs w:val="28"/>
          <w:highlight w:val="none"/>
        </w:rPr>
        <w:t>%</w:t>
      </w:r>
      <w:r>
        <w:rPr>
          <w:rFonts w:hint="eastAsia" w:ascii="仿宋_GB2312" w:eastAsia="仿宋_GB2312"/>
          <w:sz w:val="28"/>
          <w:szCs w:val="28"/>
          <w:highlight w:val="none"/>
        </w:rPr>
        <w:t>；</w:t>
      </w:r>
      <w:r>
        <w:rPr>
          <w:rFonts w:hint="eastAsia" w:ascii="仿宋_GB2312" w:eastAsia="仿宋_GB2312"/>
          <w:sz w:val="28"/>
          <w:szCs w:val="28"/>
          <w:lang w:eastAsia="zh-CN"/>
        </w:rPr>
        <w:t>国有资本经营预算财政拨款收入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highlight w:val="none"/>
        </w:rPr>
        <w:t>%</w:t>
      </w:r>
      <w:r>
        <w:rPr>
          <w:rFonts w:hint="eastAsia" w:ascii="仿宋_GB2312" w:eastAsia="仿宋_GB2312"/>
          <w:sz w:val="28"/>
          <w:szCs w:val="28"/>
        </w:rPr>
        <w:t>；</w:t>
      </w:r>
    </w:p>
    <w:p w14:paraId="7508F705">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535240F6">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66D4D775">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7E280E44">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5838F5B1">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38F622FF">
      <w:pPr>
        <w:pStyle w:val="2"/>
        <w:ind w:firstLine="0"/>
        <w:jc w:val="center"/>
      </w:pPr>
      <w:r>
        <w:rPr>
          <w:rFonts w:hint="eastAsia" w:ascii="仿宋_GB2312" w:eastAsia="仿宋_GB2312"/>
          <w:color w:val="000000"/>
          <w:sz w:val="32"/>
          <w:szCs w:val="32"/>
          <w:highlight w:val="none"/>
          <w:lang w:val="en-US" w:eastAsia="zh-CN"/>
        </w:rPr>
        <w:t>图1：收入决算</w:t>
      </w:r>
    </w:p>
    <w:p w14:paraId="34B9CB57">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07EC5D4A">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40648C89">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483.15</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3.16</w:t>
      </w:r>
      <w:r>
        <w:rPr>
          <w:rFonts w:hint="eastAsia" w:ascii="仿宋_GB2312" w:eastAsia="仿宋_GB2312"/>
          <w:sz w:val="28"/>
          <w:szCs w:val="28"/>
        </w:rPr>
        <w:t>万元，下降</w:t>
      </w:r>
      <w:r>
        <w:rPr>
          <w:rFonts w:hint="eastAsia" w:ascii="仿宋_GB2312" w:eastAsia="仿宋_GB2312"/>
          <w:sz w:val="28"/>
          <w:szCs w:val="28"/>
          <w:lang w:val="en-US" w:eastAsia="zh-CN"/>
        </w:rPr>
        <w:t>0.65</w:t>
      </w:r>
      <w:r>
        <w:rPr>
          <w:rFonts w:hint="eastAsia" w:ascii="仿宋_GB2312" w:eastAsia="仿宋_GB2312"/>
          <w:sz w:val="28"/>
          <w:szCs w:val="28"/>
        </w:rPr>
        <w:t>%，其中：基本支</w:t>
      </w:r>
      <w:r>
        <w:rPr>
          <w:rFonts w:hint="eastAsia" w:ascii="仿宋_GB2312" w:eastAsia="仿宋_GB2312"/>
          <w:sz w:val="28"/>
          <w:szCs w:val="28"/>
          <w:highlight w:val="none"/>
        </w:rPr>
        <w:t>出</w:t>
      </w:r>
      <w:r>
        <w:rPr>
          <w:rFonts w:ascii="仿宋_GB2312" w:eastAsia="仿宋_GB2312"/>
          <w:sz w:val="28"/>
          <w:szCs w:val="28"/>
          <w:highlight w:val="none"/>
        </w:rPr>
        <w:t>477.91</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98.92</w:t>
      </w:r>
      <w:r>
        <w:rPr>
          <w:rFonts w:hint="eastAsia" w:ascii="仿宋_GB2312" w:eastAsia="仿宋_GB2312"/>
          <w:sz w:val="28"/>
          <w:szCs w:val="28"/>
          <w:highlight w:val="none"/>
        </w:rPr>
        <w:t>%；项目支出</w:t>
      </w:r>
      <w:r>
        <w:rPr>
          <w:rFonts w:ascii="仿宋_GB2312" w:eastAsia="仿宋_GB2312"/>
          <w:sz w:val="28"/>
          <w:szCs w:val="28"/>
          <w:highlight w:val="none"/>
        </w:rPr>
        <w:t>5.24</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1.08</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r>
        <w:rPr>
          <w:rFonts w:hint="eastAsia" w:ascii="仿宋_GB2312" w:eastAsia="仿宋_GB2312"/>
          <w:sz w:val="28"/>
          <w:szCs w:val="28"/>
        </w:rPr>
        <w:t>。</w:t>
      </w:r>
    </w:p>
    <w:p w14:paraId="2255455D">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25260D32">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22829A96">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648C0E03">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483.15</w:t>
      </w:r>
      <w:r>
        <w:rPr>
          <w:rFonts w:hint="eastAsia" w:ascii="仿宋_GB2312" w:eastAsia="仿宋_GB2312"/>
          <w:sz w:val="28"/>
          <w:szCs w:val="28"/>
        </w:rPr>
        <w:t>万元，比上年减少</w:t>
      </w:r>
      <w:r>
        <w:rPr>
          <w:rFonts w:hint="eastAsia" w:ascii="仿宋_GB2312" w:eastAsia="仿宋_GB2312"/>
          <w:sz w:val="28"/>
          <w:szCs w:val="28"/>
          <w:lang w:val="en-US" w:eastAsia="zh-CN"/>
        </w:rPr>
        <w:t>3.34</w:t>
      </w:r>
      <w:r>
        <w:rPr>
          <w:rFonts w:hint="eastAsia" w:ascii="仿宋_GB2312" w:eastAsia="仿宋_GB2312"/>
          <w:sz w:val="28"/>
          <w:szCs w:val="28"/>
        </w:rPr>
        <w:t>万元，下降</w:t>
      </w:r>
      <w:r>
        <w:rPr>
          <w:rFonts w:hint="eastAsia" w:ascii="仿宋_GB2312" w:eastAsia="仿宋_GB2312"/>
          <w:sz w:val="28"/>
          <w:szCs w:val="28"/>
          <w:lang w:val="en-US" w:eastAsia="zh-CN"/>
        </w:rPr>
        <w:t>0.69</w:t>
      </w:r>
      <w:r>
        <w:rPr>
          <w:rFonts w:hint="eastAsia" w:ascii="仿宋_GB2312" w:eastAsia="仿宋_GB2312"/>
          <w:sz w:val="28"/>
          <w:szCs w:val="28"/>
        </w:rPr>
        <w:t>%。主要原因：2024年度</w:t>
      </w:r>
      <w:r>
        <w:rPr>
          <w:rFonts w:hint="eastAsia" w:ascii="仿宋_GB2312" w:eastAsia="仿宋_GB2312"/>
          <w:sz w:val="28"/>
          <w:szCs w:val="28"/>
          <w:lang w:eastAsia="zh-CN"/>
        </w:rPr>
        <w:t>财政缩减</w:t>
      </w:r>
      <w:r>
        <w:rPr>
          <w:rFonts w:hint="eastAsia" w:ascii="仿宋_GB2312" w:eastAsia="仿宋_GB2312"/>
          <w:sz w:val="28"/>
          <w:szCs w:val="28"/>
        </w:rPr>
        <w:t>项目资金</w:t>
      </w:r>
      <w:r>
        <w:rPr>
          <w:rFonts w:hint="eastAsia" w:ascii="仿宋_GB2312" w:eastAsia="仿宋_GB2312"/>
          <w:sz w:val="28"/>
          <w:szCs w:val="28"/>
          <w:lang w:eastAsia="zh-CN"/>
        </w:rPr>
        <w:t>拨款</w:t>
      </w:r>
      <w:r>
        <w:rPr>
          <w:rFonts w:hint="eastAsia" w:ascii="仿宋_GB2312" w:eastAsia="仿宋_GB2312"/>
          <w:sz w:val="28"/>
          <w:szCs w:val="28"/>
        </w:rPr>
        <w:t>。</w:t>
      </w:r>
    </w:p>
    <w:p w14:paraId="2440887E">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14:paraId="107F5E59">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21B272EF">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483.15</w:t>
      </w:r>
      <w:r>
        <w:rPr>
          <w:rFonts w:hint="eastAsia" w:ascii="仿宋_GB2312" w:eastAsia="仿宋_GB2312"/>
          <w:sz w:val="28"/>
          <w:szCs w:val="28"/>
        </w:rPr>
        <w:t>万元，主要用于以下方面：教育支出355.10万元，占本年财政拨款支出73.50%；社会保障和就业支出52.23万元，占本年财政拨款支出10.81%；卫生健康支出37.64万元，占本年财政拨款支出7.79%；住房保障支出38.18万元，占本年财政拨款支出7.90%。</w:t>
      </w:r>
    </w:p>
    <w:p w14:paraId="38C96F0D">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14:paraId="416292F5">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1、“教育支出”2024年度年初预算</w:t>
      </w:r>
      <w:r>
        <w:rPr>
          <w:rFonts w:hint="eastAsia" w:ascii="仿宋_GB2312" w:eastAsia="仿宋_GB2312"/>
          <w:sz w:val="28"/>
          <w:szCs w:val="28"/>
          <w:lang w:val="en-US" w:eastAsia="zh-CN"/>
        </w:rPr>
        <w:t>351.64</w:t>
      </w:r>
      <w:r>
        <w:rPr>
          <w:rFonts w:hint="eastAsia" w:ascii="仿宋_GB2312" w:eastAsia="仿宋_GB2312"/>
          <w:sz w:val="28"/>
          <w:szCs w:val="28"/>
        </w:rPr>
        <w:t>万元，2024年度决算355.10万元，完成年初预算的</w:t>
      </w:r>
      <w:r>
        <w:rPr>
          <w:rFonts w:hint="eastAsia" w:ascii="仿宋_GB2312" w:eastAsia="仿宋_GB2312"/>
          <w:sz w:val="28"/>
          <w:szCs w:val="28"/>
          <w:lang w:val="en-US" w:eastAsia="zh-CN"/>
        </w:rPr>
        <w:t>100.98</w:t>
      </w:r>
      <w:r>
        <w:rPr>
          <w:rFonts w:hint="eastAsia" w:ascii="仿宋_GB2312" w:eastAsia="仿宋_GB2312"/>
          <w:sz w:val="28"/>
          <w:szCs w:val="28"/>
        </w:rPr>
        <w:t>%。其中：</w:t>
      </w:r>
    </w:p>
    <w:p w14:paraId="70E8F411">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“成人教育”2024年度年初预算</w:t>
      </w:r>
      <w:r>
        <w:rPr>
          <w:rFonts w:hint="eastAsia" w:ascii="仿宋_GB2312" w:eastAsia="仿宋_GB2312"/>
          <w:sz w:val="28"/>
          <w:szCs w:val="28"/>
          <w:lang w:val="en-US" w:eastAsia="zh-CN"/>
        </w:rPr>
        <w:t>351.64</w:t>
      </w:r>
      <w:r>
        <w:rPr>
          <w:rFonts w:hint="eastAsia" w:ascii="仿宋_GB2312" w:eastAsia="仿宋_GB2312"/>
          <w:sz w:val="28"/>
          <w:szCs w:val="28"/>
        </w:rPr>
        <w:t>万元，2024年度决算355.10万元，完成年初预算的</w:t>
      </w:r>
      <w:r>
        <w:rPr>
          <w:rFonts w:hint="eastAsia" w:ascii="仿宋_GB2312" w:eastAsia="仿宋_GB2312"/>
          <w:sz w:val="28"/>
          <w:szCs w:val="28"/>
          <w:lang w:val="en-US" w:eastAsia="zh-CN"/>
        </w:rPr>
        <w:t>100.98</w:t>
      </w:r>
      <w:r>
        <w:rPr>
          <w:rFonts w:hint="eastAsia" w:ascii="仿宋_GB2312" w:eastAsia="仿宋_GB2312"/>
          <w:sz w:val="28"/>
          <w:szCs w:val="28"/>
        </w:rPr>
        <w:t xml:space="preserve">%。主要原因：核增区统筹结余资金，从而人员经费增加。 </w:t>
      </w:r>
    </w:p>
    <w:p w14:paraId="61D8481A">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2、“社会保障和就业支出”2024年度年初预算</w:t>
      </w:r>
      <w:r>
        <w:rPr>
          <w:rFonts w:hint="eastAsia" w:ascii="仿宋_GB2312" w:eastAsia="仿宋_GB2312"/>
          <w:sz w:val="28"/>
          <w:szCs w:val="28"/>
          <w:lang w:val="en-US" w:eastAsia="zh-CN"/>
        </w:rPr>
        <w:t>50.01</w:t>
      </w:r>
      <w:r>
        <w:rPr>
          <w:rFonts w:hint="eastAsia" w:ascii="仿宋_GB2312" w:eastAsia="仿宋_GB2312"/>
          <w:sz w:val="28"/>
          <w:szCs w:val="28"/>
        </w:rPr>
        <w:t>万元，2024年度决算52.23万元，完成年初预算的</w:t>
      </w:r>
      <w:r>
        <w:rPr>
          <w:rFonts w:hint="eastAsia" w:ascii="仿宋_GB2312" w:eastAsia="仿宋_GB2312"/>
          <w:sz w:val="28"/>
          <w:szCs w:val="28"/>
          <w:lang w:val="en-US" w:eastAsia="zh-CN"/>
        </w:rPr>
        <w:t>104.44</w:t>
      </w:r>
      <w:r>
        <w:rPr>
          <w:rFonts w:hint="eastAsia" w:ascii="仿宋_GB2312" w:eastAsia="仿宋_GB2312"/>
          <w:sz w:val="28"/>
          <w:szCs w:val="28"/>
        </w:rPr>
        <w:t>%。其中：</w:t>
      </w:r>
    </w:p>
    <w:p w14:paraId="0F453BB2">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“行政事业单位养老支出”2024年度年初预算</w:t>
      </w:r>
      <w:r>
        <w:rPr>
          <w:rFonts w:hint="eastAsia" w:ascii="仿宋_GB2312" w:eastAsia="仿宋_GB2312"/>
          <w:sz w:val="28"/>
          <w:szCs w:val="28"/>
          <w:lang w:val="en-US" w:eastAsia="zh-CN"/>
        </w:rPr>
        <w:t>50.01</w:t>
      </w:r>
      <w:r>
        <w:rPr>
          <w:rFonts w:hint="eastAsia" w:ascii="仿宋_GB2312" w:eastAsia="仿宋_GB2312"/>
          <w:sz w:val="28"/>
          <w:szCs w:val="28"/>
        </w:rPr>
        <w:t>万元，2024年度决算52.23万元，完成年初预算的</w:t>
      </w:r>
      <w:r>
        <w:rPr>
          <w:rFonts w:hint="eastAsia" w:ascii="仿宋_GB2312" w:eastAsia="仿宋_GB2312"/>
          <w:sz w:val="28"/>
          <w:szCs w:val="28"/>
          <w:lang w:val="en-US" w:eastAsia="zh-CN"/>
        </w:rPr>
        <w:t>104.44</w:t>
      </w:r>
      <w:r>
        <w:rPr>
          <w:rFonts w:hint="eastAsia" w:ascii="仿宋_GB2312" w:eastAsia="仿宋_GB2312"/>
          <w:sz w:val="28"/>
          <w:szCs w:val="28"/>
        </w:rPr>
        <w:t>%。主要原因：2024年7月社保基数调整。</w:t>
      </w:r>
    </w:p>
    <w:p w14:paraId="0079B488">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3、“卫生健康支出”2024年度年初预算</w:t>
      </w:r>
      <w:r>
        <w:rPr>
          <w:rFonts w:hint="eastAsia" w:ascii="仿宋_GB2312" w:eastAsia="仿宋_GB2312"/>
          <w:sz w:val="28"/>
          <w:szCs w:val="28"/>
          <w:lang w:val="en-US" w:eastAsia="zh-CN"/>
        </w:rPr>
        <w:t>36.55</w:t>
      </w:r>
      <w:r>
        <w:rPr>
          <w:rFonts w:hint="eastAsia" w:ascii="仿宋_GB2312" w:eastAsia="仿宋_GB2312"/>
          <w:sz w:val="28"/>
          <w:szCs w:val="28"/>
        </w:rPr>
        <w:t>万元，2024年度决算37.64万元，完成年初预算的</w:t>
      </w:r>
      <w:r>
        <w:rPr>
          <w:rFonts w:hint="eastAsia" w:ascii="仿宋_GB2312" w:eastAsia="仿宋_GB2312"/>
          <w:sz w:val="28"/>
          <w:szCs w:val="28"/>
          <w:lang w:val="en-US" w:eastAsia="zh-CN"/>
        </w:rPr>
        <w:t>102.98</w:t>
      </w:r>
      <w:r>
        <w:rPr>
          <w:rFonts w:hint="eastAsia" w:ascii="仿宋_GB2312" w:eastAsia="仿宋_GB2312"/>
          <w:sz w:val="28"/>
          <w:szCs w:val="28"/>
        </w:rPr>
        <w:t>%。其中：</w:t>
      </w:r>
    </w:p>
    <w:p w14:paraId="49BBE5FA">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“行政事业单位医疗”2024年度年初预算</w:t>
      </w:r>
      <w:r>
        <w:rPr>
          <w:rFonts w:hint="eastAsia" w:ascii="仿宋_GB2312" w:eastAsia="仿宋_GB2312"/>
          <w:sz w:val="28"/>
          <w:szCs w:val="28"/>
          <w:lang w:val="en-US" w:eastAsia="zh-CN"/>
        </w:rPr>
        <w:t>36.55</w:t>
      </w:r>
      <w:r>
        <w:rPr>
          <w:rFonts w:hint="eastAsia" w:ascii="仿宋_GB2312" w:eastAsia="仿宋_GB2312"/>
          <w:sz w:val="28"/>
          <w:szCs w:val="28"/>
        </w:rPr>
        <w:t>万元，2024年度决算37.64万元，完成年初预算的</w:t>
      </w:r>
      <w:r>
        <w:rPr>
          <w:rFonts w:hint="eastAsia" w:ascii="仿宋_GB2312" w:eastAsia="仿宋_GB2312"/>
          <w:sz w:val="28"/>
          <w:szCs w:val="28"/>
          <w:lang w:val="en-US" w:eastAsia="zh-CN"/>
        </w:rPr>
        <w:t>102.98</w:t>
      </w:r>
      <w:r>
        <w:rPr>
          <w:rFonts w:hint="eastAsia" w:ascii="仿宋_GB2312" w:eastAsia="仿宋_GB2312"/>
          <w:sz w:val="28"/>
          <w:szCs w:val="28"/>
        </w:rPr>
        <w:t>%。主要原因：2024年7月社保基数调整。</w:t>
      </w:r>
    </w:p>
    <w:p w14:paraId="4B458B88">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4、“住房保障支出”2024年度</w:t>
      </w:r>
      <w:r>
        <w:rPr>
          <w:rFonts w:hint="eastAsia" w:ascii="仿宋_GB2312" w:eastAsia="仿宋_GB2312"/>
          <w:sz w:val="28"/>
          <w:szCs w:val="28"/>
          <w:lang w:eastAsia="zh-CN"/>
        </w:rPr>
        <w:t>年初预算</w:t>
      </w:r>
      <w:r>
        <w:rPr>
          <w:rFonts w:hint="eastAsia" w:ascii="仿宋_GB2312" w:eastAsia="仿宋_GB2312"/>
          <w:sz w:val="28"/>
          <w:szCs w:val="28"/>
          <w:lang w:val="en-US" w:eastAsia="zh-CN"/>
        </w:rPr>
        <w:t>0</w:t>
      </w:r>
      <w:r>
        <w:rPr>
          <w:rFonts w:hint="eastAsia" w:ascii="仿宋_GB2312" w:eastAsia="仿宋_GB2312"/>
          <w:sz w:val="28"/>
          <w:szCs w:val="28"/>
          <w:lang w:eastAsia="zh-CN"/>
        </w:rPr>
        <w:t>万元，</w:t>
      </w:r>
      <w:r>
        <w:rPr>
          <w:rFonts w:hint="eastAsia" w:ascii="仿宋_GB2312" w:eastAsia="仿宋_GB2312"/>
          <w:sz w:val="28"/>
          <w:szCs w:val="28"/>
          <w:lang w:val="en-US" w:eastAsia="zh-CN"/>
        </w:rPr>
        <w:t>2024年度</w:t>
      </w:r>
      <w:r>
        <w:rPr>
          <w:rFonts w:hint="eastAsia" w:ascii="仿宋_GB2312" w:eastAsia="仿宋_GB2312"/>
          <w:sz w:val="28"/>
          <w:szCs w:val="28"/>
        </w:rPr>
        <w:t>决算38.18万元</w:t>
      </w:r>
      <w:r>
        <w:rPr>
          <w:rFonts w:hint="eastAsia" w:ascii="仿宋_GB2312" w:eastAsia="仿宋_GB2312"/>
          <w:sz w:val="28"/>
          <w:szCs w:val="28"/>
          <w:lang w:eastAsia="zh-CN"/>
        </w:rPr>
        <w:t>。</w:t>
      </w:r>
      <w:r>
        <w:rPr>
          <w:rFonts w:hint="eastAsia" w:ascii="仿宋_GB2312" w:eastAsia="仿宋_GB2312"/>
          <w:sz w:val="28"/>
          <w:szCs w:val="28"/>
        </w:rPr>
        <w:t>其中：</w:t>
      </w:r>
    </w:p>
    <w:p w14:paraId="38669D8A">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“住房改革支出”</w:t>
      </w:r>
      <w:bookmarkStart w:id="0" w:name="_GoBack"/>
      <w:bookmarkEnd w:id="0"/>
      <w:r>
        <w:rPr>
          <w:rFonts w:hint="eastAsia" w:ascii="仿宋_GB2312" w:eastAsia="仿宋_GB2312"/>
          <w:sz w:val="28"/>
          <w:szCs w:val="28"/>
        </w:rPr>
        <w:t>2024年度</w:t>
      </w:r>
      <w:r>
        <w:rPr>
          <w:rFonts w:hint="eastAsia" w:ascii="仿宋_GB2312" w:eastAsia="仿宋_GB2312"/>
          <w:sz w:val="28"/>
          <w:szCs w:val="28"/>
          <w:lang w:eastAsia="zh-CN"/>
        </w:rPr>
        <w:t>年初预算</w:t>
      </w:r>
      <w:r>
        <w:rPr>
          <w:rFonts w:hint="eastAsia" w:ascii="仿宋_GB2312" w:eastAsia="仿宋_GB2312"/>
          <w:sz w:val="28"/>
          <w:szCs w:val="28"/>
          <w:lang w:val="en-US" w:eastAsia="zh-CN"/>
        </w:rPr>
        <w:t>0万元，2024年度</w:t>
      </w:r>
      <w:r>
        <w:rPr>
          <w:rFonts w:hint="eastAsia" w:ascii="仿宋_GB2312" w:eastAsia="仿宋_GB2312"/>
          <w:sz w:val="28"/>
          <w:szCs w:val="28"/>
        </w:rPr>
        <w:t>决算38.18万元</w:t>
      </w:r>
      <w:r>
        <w:rPr>
          <w:rFonts w:hint="eastAsia" w:ascii="仿宋_GB2312" w:eastAsia="仿宋_GB2312"/>
          <w:sz w:val="28"/>
          <w:szCs w:val="28"/>
          <w:lang w:eastAsia="zh-CN"/>
        </w:rPr>
        <w:t>。</w:t>
      </w:r>
      <w:r>
        <w:rPr>
          <w:rFonts w:hint="eastAsia" w:ascii="仿宋_GB2312" w:eastAsia="仿宋_GB2312"/>
          <w:sz w:val="28"/>
          <w:szCs w:val="28"/>
        </w:rPr>
        <w:t>主要原因：2024年度补发以前年度住房补贴。</w:t>
      </w:r>
    </w:p>
    <w:p w14:paraId="0E1DA65B">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14:paraId="03537DB0">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本单位2024年度无政府性基金预算财政拨款安排的支出。</w:t>
      </w:r>
    </w:p>
    <w:p w14:paraId="238041DF">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10A45ED6">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14:paraId="127A7354">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14:paraId="2120D6F7">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477.91</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津贴补贴、绩效工资、机关事业单位基本养老保险缴费、职业年金缴费、职工基本医疗保险缴费、公务员医疗补助缴费、其他社会保障缴费、住房公积金；（2）商品和服务支出包括办公费、培训费、福利费、公务用车运行维护费；（3）对个人和家庭补助支出包括奖励金。</w:t>
      </w:r>
    </w:p>
    <w:p w14:paraId="582DBA48">
      <w:pPr>
        <w:autoSpaceDE w:val="0"/>
        <w:autoSpaceDN w:val="0"/>
        <w:adjustRightInd w:val="0"/>
        <w:spacing w:line="580" w:lineRule="exact"/>
        <w:jc w:val="center"/>
        <w:rPr>
          <w:rFonts w:hint="eastAsia" w:ascii="宋体" w:hAnsi="宋体"/>
          <w:b/>
          <w:spacing w:val="40"/>
          <w:sz w:val="32"/>
          <w:szCs w:val="32"/>
        </w:rPr>
      </w:pPr>
    </w:p>
    <w:p w14:paraId="382915DA">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14:paraId="58ECC54B">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14:paraId="2DA3E230">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1.8</w:t>
      </w:r>
      <w:r>
        <w:rPr>
          <w:rFonts w:hint="eastAsia" w:ascii="仿宋_GB2312" w:eastAsia="仿宋_GB2312"/>
          <w:sz w:val="28"/>
          <w:szCs w:val="28"/>
          <w:lang w:val="en-US" w:eastAsia="zh-CN"/>
        </w:rPr>
        <w:t>0</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2.7</w:t>
      </w:r>
      <w:r>
        <w:rPr>
          <w:rFonts w:hint="eastAsia" w:ascii="仿宋_GB2312" w:eastAsia="仿宋_GB2312"/>
          <w:sz w:val="28"/>
          <w:szCs w:val="28"/>
          <w:lang w:val="en-US" w:eastAsia="zh-CN"/>
        </w:rPr>
        <w:t>0</w:t>
      </w:r>
      <w:r>
        <w:rPr>
          <w:rFonts w:hint="eastAsia" w:ascii="仿宋_GB2312" w:eastAsia="仿宋_GB2312"/>
          <w:sz w:val="28"/>
          <w:szCs w:val="28"/>
        </w:rPr>
        <w:t>万元减少</w:t>
      </w:r>
      <w:r>
        <w:rPr>
          <w:rFonts w:hint="eastAsia" w:ascii="仿宋_GB2312" w:eastAsia="仿宋_GB2312"/>
          <w:sz w:val="28"/>
          <w:szCs w:val="28"/>
          <w:lang w:val="en-US" w:eastAsia="zh-CN"/>
        </w:rPr>
        <w:t>0.90</w:t>
      </w:r>
      <w:r>
        <w:rPr>
          <w:rFonts w:hint="eastAsia" w:ascii="仿宋_GB2312" w:eastAsia="仿宋_GB2312"/>
          <w:sz w:val="28"/>
          <w:szCs w:val="28"/>
        </w:rPr>
        <w:t>万元。其中：</w:t>
      </w:r>
    </w:p>
    <w:p w14:paraId="4A925C15">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增减无变化，保持一致</w:t>
      </w:r>
      <w:r>
        <w:rPr>
          <w:rFonts w:hint="eastAsia" w:ascii="仿宋_GB2312" w:eastAsia="仿宋_GB2312"/>
          <w:sz w:val="28"/>
          <w:szCs w:val="28"/>
        </w:rPr>
        <w:t>。主要原因：因公出国（境）费用根据年度出国审批情况作为追加项目管理，单位不做年初预算，本年也没有出国审批项目发生</w:t>
      </w:r>
      <w:r>
        <w:rPr>
          <w:rFonts w:hint="eastAsia" w:ascii="仿宋_GB2312" w:eastAsia="仿宋_GB2312"/>
          <w:sz w:val="28"/>
          <w:szCs w:val="28"/>
          <w:lang w:eastAsia="zh-CN"/>
        </w:rPr>
        <w:t>。</w:t>
      </w:r>
      <w:r>
        <w:rPr>
          <w:rFonts w:hint="eastAsia" w:ascii="仿宋_GB2312" w:eastAsia="仿宋_GB2312"/>
          <w:sz w:val="28"/>
          <w:szCs w:val="28"/>
        </w:rPr>
        <w:t>2024年度因公出国（境）费用主要用于出国（境）的会议、培训交流等事项，2024年度组织因公出国（境）团组0个、0人次。</w:t>
      </w:r>
    </w:p>
    <w:p w14:paraId="312FDAB1">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增减无变化，保持一致</w:t>
      </w:r>
      <w:r>
        <w:rPr>
          <w:rFonts w:hint="eastAsia" w:ascii="仿宋_GB2312" w:eastAsia="仿宋_GB2312"/>
          <w:sz w:val="28"/>
          <w:szCs w:val="28"/>
        </w:rPr>
        <w:t>。主要原因：本年度无公务接待支出。2024年度公务接待费主要用于公务接待事项</w:t>
      </w:r>
      <w:r>
        <w:rPr>
          <w:rFonts w:hint="eastAsia" w:ascii="仿宋_GB2312" w:eastAsia="仿宋_GB2312"/>
          <w:sz w:val="28"/>
          <w:szCs w:val="28"/>
          <w:lang w:eastAsia="zh-CN"/>
        </w:rPr>
        <w:t>，</w:t>
      </w:r>
      <w:r>
        <w:rPr>
          <w:rFonts w:hint="eastAsia" w:ascii="仿宋_GB2312" w:eastAsia="仿宋_GB2312"/>
          <w:sz w:val="28"/>
          <w:szCs w:val="28"/>
        </w:rPr>
        <w:t>公务接待0批次，公务接待0人次。</w:t>
      </w:r>
    </w:p>
    <w:p w14:paraId="48F3BB1D">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1.80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2.70</w:t>
      </w:r>
      <w:r>
        <w:rPr>
          <w:rFonts w:hint="eastAsia" w:ascii="仿宋_GB2312" w:eastAsia="仿宋_GB2312"/>
          <w:sz w:val="28"/>
          <w:szCs w:val="28"/>
        </w:rPr>
        <w:t>万元减少</w:t>
      </w:r>
      <w:r>
        <w:rPr>
          <w:rFonts w:hint="eastAsia" w:ascii="仿宋_GB2312" w:eastAsia="仿宋_GB2312"/>
          <w:sz w:val="28"/>
          <w:szCs w:val="28"/>
          <w:lang w:val="en-US" w:eastAsia="zh-CN"/>
        </w:rPr>
        <w:t>0.90</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highlight w:val="none"/>
        </w:rPr>
        <w:t>主要原因：</w:t>
      </w:r>
      <w:r>
        <w:rPr>
          <w:rFonts w:hint="eastAsia" w:ascii="仿宋_GB2312" w:eastAsia="仿宋_GB2312"/>
          <w:sz w:val="28"/>
          <w:szCs w:val="28"/>
          <w:highlight w:val="none"/>
          <w:lang w:eastAsia="zh-CN"/>
        </w:rPr>
        <w:t>本年度新购车辆</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lang w:eastAsia="zh-CN"/>
        </w:rPr>
        <w:t>辆，</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eastAsia="zh-CN"/>
        </w:rPr>
        <w:t>0</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1.80</w:t>
      </w:r>
      <w:r>
        <w:rPr>
          <w:rFonts w:hint="eastAsia" w:ascii="仿宋_GB2312" w:eastAsia="仿宋_GB2312"/>
          <w:sz w:val="28"/>
          <w:szCs w:val="28"/>
        </w:rPr>
        <w:t>万元，</w:t>
      </w:r>
      <w:r>
        <w:rPr>
          <w:rFonts w:hint="eastAsia" w:ascii="仿宋_GB2312" w:eastAsia="仿宋_GB2312"/>
          <w:sz w:val="28"/>
          <w:szCs w:val="28"/>
          <w:highlight w:val="none"/>
        </w:rPr>
        <w:t>主要原因：严格落实公务用车使用规定，认真贯彻厉行节约反对浪费的有关要求，本着节俭高效的原则,进一步加强公务用车管理,减少费用支出。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2</w:t>
      </w:r>
      <w:r>
        <w:rPr>
          <w:rFonts w:hint="eastAsia" w:ascii="仿宋_GB2312" w:eastAsia="仿宋_GB2312"/>
          <w:sz w:val="28"/>
          <w:szCs w:val="28"/>
        </w:rPr>
        <w:t>辆。</w:t>
      </w:r>
    </w:p>
    <w:p w14:paraId="65BB68F0">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14:paraId="6DBA3634">
      <w:pPr>
        <w:ind w:firstLine="537" w:firstLineChars="192"/>
        <w:rPr>
          <w:rFonts w:hint="eastAsia" w:ascii="仿宋_GB2312" w:eastAsia="仿宋_GB2312"/>
          <w:sz w:val="28"/>
          <w:szCs w:val="28"/>
          <w:highlight w:val="none"/>
        </w:rPr>
      </w:pPr>
      <w:r>
        <w:rPr>
          <w:rFonts w:hint="eastAsia" w:ascii="仿宋_GB2312" w:eastAsia="仿宋_GB2312"/>
          <w:sz w:val="28"/>
          <w:szCs w:val="28"/>
          <w:highlight w:val="none"/>
        </w:rPr>
        <w:t>本单位不在机关运行经费统计范围之内。</w:t>
      </w:r>
    </w:p>
    <w:p w14:paraId="46C2D35F">
      <w:pPr>
        <w:ind w:left="540"/>
        <w:rPr>
          <w:rFonts w:hint="eastAsia" w:ascii="黑体" w:eastAsia="黑体"/>
          <w:sz w:val="28"/>
          <w:szCs w:val="28"/>
        </w:rPr>
      </w:pPr>
      <w:r>
        <w:rPr>
          <w:rFonts w:hint="eastAsia" w:ascii="黑体" w:eastAsia="黑体"/>
          <w:sz w:val="28"/>
          <w:szCs w:val="28"/>
        </w:rPr>
        <w:t>三、政府采购支出情况</w:t>
      </w:r>
    </w:p>
    <w:p w14:paraId="4387D2F9">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1.72</w:t>
      </w:r>
      <w:r>
        <w:rPr>
          <w:rFonts w:hint="eastAsia" w:ascii="仿宋_GB2312" w:eastAsia="仿宋_GB2312"/>
          <w:sz w:val="28"/>
          <w:szCs w:val="28"/>
        </w:rPr>
        <w:t>万元，其中：政府采购货物支出</w:t>
      </w:r>
      <w:r>
        <w:rPr>
          <w:rFonts w:hint="eastAsia" w:ascii="仿宋_GB2312" w:eastAsia="仿宋_GB2312"/>
          <w:sz w:val="28"/>
          <w:szCs w:val="28"/>
          <w:lang w:val="en-US" w:eastAsia="zh-CN"/>
        </w:rPr>
        <w:t>0</w:t>
      </w:r>
      <w:r>
        <w:rPr>
          <w:rFonts w:hint="eastAsia" w:ascii="仿宋_GB2312" w:eastAsia="仿宋_GB2312"/>
          <w:sz w:val="28"/>
          <w:szCs w:val="28"/>
        </w:rPr>
        <w:t>万元，政府采购工程支出</w:t>
      </w:r>
      <w:r>
        <w:rPr>
          <w:rFonts w:hint="eastAsia" w:ascii="仿宋_GB2312" w:eastAsia="仿宋_GB2312"/>
          <w:sz w:val="28"/>
          <w:szCs w:val="28"/>
          <w:lang w:val="en-US" w:eastAsia="zh-CN"/>
        </w:rPr>
        <w:t>0</w:t>
      </w:r>
      <w:r>
        <w:rPr>
          <w:rFonts w:hint="eastAsia" w:ascii="仿宋_GB2312" w:eastAsia="仿宋_GB2312"/>
          <w:sz w:val="28"/>
          <w:szCs w:val="28"/>
        </w:rPr>
        <w:t>万元，政府采购服务支出</w:t>
      </w:r>
      <w:r>
        <w:rPr>
          <w:rFonts w:hint="eastAsia" w:ascii="仿宋_GB2312" w:eastAsia="仿宋_GB2312"/>
          <w:sz w:val="28"/>
          <w:szCs w:val="28"/>
          <w:lang w:val="en-US" w:eastAsia="zh-CN"/>
        </w:rPr>
        <w:t>1.72</w:t>
      </w:r>
      <w:r>
        <w:rPr>
          <w:rFonts w:hint="eastAsia" w:ascii="仿宋_GB2312" w:eastAsia="仿宋_GB2312"/>
          <w:sz w:val="28"/>
          <w:szCs w:val="28"/>
        </w:rPr>
        <w:t>万元。授予中小企业合同金额</w:t>
      </w:r>
      <w:r>
        <w:rPr>
          <w:rFonts w:ascii="仿宋_GB2312" w:eastAsia="仿宋_GB2312"/>
          <w:sz w:val="28"/>
          <w:szCs w:val="28"/>
        </w:rPr>
        <w:t>1.12</w:t>
      </w:r>
      <w:r>
        <w:rPr>
          <w:rFonts w:hint="eastAsia" w:ascii="仿宋_GB2312" w:eastAsia="仿宋_GB2312"/>
          <w:sz w:val="28"/>
          <w:szCs w:val="28"/>
        </w:rPr>
        <w:t>万元，占政府采购支出总额的</w:t>
      </w:r>
      <w:r>
        <w:rPr>
          <w:rFonts w:hint="eastAsia" w:ascii="仿宋_GB2312" w:eastAsia="仿宋_GB2312"/>
          <w:sz w:val="28"/>
          <w:szCs w:val="28"/>
          <w:lang w:eastAsia="zh-CN"/>
        </w:rPr>
        <w:t>65.34</w:t>
      </w:r>
      <w:r>
        <w:rPr>
          <w:rFonts w:hint="eastAsia" w:ascii="仿宋_GB2312" w:eastAsia="仿宋_GB2312"/>
          <w:sz w:val="28"/>
          <w:szCs w:val="28"/>
        </w:rPr>
        <w:t>%，其中：授予小微企业合同金额</w:t>
      </w:r>
      <w:r>
        <w:rPr>
          <w:rFonts w:ascii="仿宋_GB2312" w:eastAsia="仿宋_GB2312"/>
          <w:sz w:val="28"/>
          <w:szCs w:val="28"/>
        </w:rPr>
        <w:t>1.12</w:t>
      </w:r>
      <w:r>
        <w:rPr>
          <w:rFonts w:hint="eastAsia" w:ascii="仿宋_GB2312" w:eastAsia="仿宋_GB2312"/>
          <w:sz w:val="28"/>
          <w:szCs w:val="28"/>
        </w:rPr>
        <w:t>万元，占政府采购支出总额的</w:t>
      </w:r>
      <w:r>
        <w:rPr>
          <w:rFonts w:ascii="仿宋_GB2312" w:eastAsia="仿宋_GB2312"/>
          <w:sz w:val="28"/>
          <w:szCs w:val="28"/>
        </w:rPr>
        <w:t>65.34</w:t>
      </w:r>
      <w:r>
        <w:rPr>
          <w:rFonts w:hint="eastAsia" w:ascii="仿宋_GB2312" w:eastAsia="仿宋_GB2312"/>
          <w:sz w:val="28"/>
          <w:szCs w:val="28"/>
        </w:rPr>
        <w:t>%。</w:t>
      </w:r>
    </w:p>
    <w:p w14:paraId="45385732">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14:paraId="0D6411DD">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12月31日，北京市大兴区瀛海镇成人学校</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2</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14:paraId="76BEDC1A">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452627EB">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14:paraId="4A0FCDF7">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7D9B04E8">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28824222">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75D9978B">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5FA3B950">
      <w:pPr>
        <w:ind w:firstLine="560" w:firstLineChars="200"/>
        <w:rPr>
          <w:rFonts w:hint="eastAsia" w:ascii="仿宋_GB2312"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3CF7FD3C">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rPr>
      </w:pPr>
      <w:r>
        <w:rPr>
          <w:rFonts w:hint="eastAsia" w:ascii="仿宋_GB2312" w:eastAsia="仿宋_GB2312"/>
          <w:sz w:val="28"/>
          <w:szCs w:val="28"/>
          <w:lang w:val="en-US" w:eastAsia="zh-CN"/>
        </w:rPr>
        <w:t>5</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2F352F74">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rPr>
      </w:pPr>
      <w:r>
        <w:rPr>
          <w:rFonts w:hint="eastAsia" w:ascii="仿宋_GB2312" w:eastAsia="仿宋_GB2312"/>
          <w:sz w:val="28"/>
          <w:szCs w:val="28"/>
        </w:rPr>
        <w:t>6.教育支出（类）成人教育（款）成人初等教育（项）：是指反映各部门举办各类成人初等教育的支出。</w:t>
      </w:r>
    </w:p>
    <w:p w14:paraId="4D817AE4">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rPr>
      </w:pPr>
      <w:r>
        <w:rPr>
          <w:rFonts w:hint="eastAsia" w:ascii="仿宋_GB2312" w:eastAsia="仿宋_GB2312"/>
          <w:sz w:val="28"/>
          <w:szCs w:val="28"/>
        </w:rPr>
        <w:t>7.社会保障和就业支出（类）行政事业单位养老支出（款）机关事业单位基本养老保险缴费支出（项）：是指反映机关事业单位实施养老保险制度由单位缴纳的基本养老保险费支出。</w:t>
      </w:r>
    </w:p>
    <w:p w14:paraId="1F2C607D">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rPr>
      </w:pPr>
      <w:r>
        <w:rPr>
          <w:rFonts w:hint="eastAsia" w:ascii="仿宋_GB2312" w:eastAsia="仿宋_GB2312"/>
          <w:sz w:val="28"/>
          <w:szCs w:val="28"/>
        </w:rPr>
        <w:t>8.社会保障和就业支出（类）行政事业单位养老支出（款）机关事业单位职业年金缴费支出（项）：是指反映机关事业单位实施养老保险制度由单位实际缴纳的职业年金支出（含职业年金补记支出）。</w:t>
      </w:r>
    </w:p>
    <w:p w14:paraId="2CF840A6">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rPr>
      </w:pPr>
      <w:r>
        <w:rPr>
          <w:rFonts w:hint="eastAsia" w:ascii="仿宋_GB2312" w:eastAsia="仿宋_GB2312"/>
          <w:sz w:val="28"/>
          <w:szCs w:val="28"/>
        </w:rPr>
        <w:t>9.卫生健康支出（类）行政事业单位医疗（款）事业单位医疗（项）：是指反映财政部门安排的事业单位基本医疗保险缴费经费，未参加医疗保险的事业单位的公费医疗经费，按国家规定享受离休人员待遇的医疗经费。</w:t>
      </w:r>
    </w:p>
    <w:p w14:paraId="386439D5">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rPr>
      </w:pPr>
      <w:r>
        <w:rPr>
          <w:rFonts w:hint="eastAsia" w:ascii="仿宋_GB2312" w:eastAsia="仿宋_GB2312"/>
          <w:sz w:val="28"/>
          <w:szCs w:val="28"/>
        </w:rPr>
        <w:t>10.卫生健康支出（类）行政事业单位医疗（款）公务员医疗补助（项）：是指反映财政部门安排的公务员医疗补助经费。</w:t>
      </w:r>
    </w:p>
    <w:p w14:paraId="3F7C8788">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黑体" w:eastAsia="黑体"/>
          <w:sz w:val="32"/>
          <w:szCs w:val="32"/>
        </w:rPr>
      </w:pPr>
      <w:r>
        <w:rPr>
          <w:rFonts w:hint="eastAsia" w:ascii="仿宋_GB2312" w:eastAsia="仿宋_GB2312"/>
          <w:sz w:val="28"/>
          <w:szCs w:val="28"/>
        </w:rPr>
        <w:t>11.住房保障支出（类）住房改革支出（款）购房补贴（项）：反映按房改政策规定，行政事业单位向符合条件职工（含离退休人员）、军队（含武警）向转役复员离退休人员发放的用于购买住房的补贴。</w:t>
      </w:r>
    </w:p>
    <w:p w14:paraId="5AC61738">
      <w:pPr>
        <w:ind w:firstLine="640" w:firstLineChars="200"/>
        <w:jc w:val="center"/>
        <w:rPr>
          <w:rFonts w:hint="eastAsia" w:ascii="黑体" w:eastAsia="黑体"/>
          <w:sz w:val="32"/>
          <w:szCs w:val="32"/>
        </w:rPr>
      </w:pPr>
    </w:p>
    <w:p w14:paraId="17733C38">
      <w:pPr>
        <w:ind w:firstLine="640" w:firstLineChars="200"/>
        <w:jc w:val="center"/>
        <w:rPr>
          <w:rFonts w:hint="eastAsia" w:ascii="黑体" w:hAnsi="黑体" w:eastAsia="黑体" w:cs="黑体"/>
          <w:sz w:val="28"/>
          <w:szCs w:val="28"/>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w:t>
      </w:r>
      <w:r>
        <w:rPr>
          <w:rFonts w:hint="eastAsia" w:ascii="黑体" w:eastAsia="黑体"/>
          <w:sz w:val="32"/>
          <w:szCs w:val="32"/>
          <w:lang w:eastAsia="zh-CN"/>
        </w:rPr>
        <w:t>部门</w:t>
      </w:r>
      <w:r>
        <w:rPr>
          <w:rFonts w:hint="eastAsia" w:ascii="黑体" w:eastAsia="黑体"/>
          <w:sz w:val="32"/>
          <w:szCs w:val="32"/>
        </w:rPr>
        <w:t>绩效评价情况</w:t>
      </w:r>
    </w:p>
    <w:p w14:paraId="4F09C7FC">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pPr>
      <w:r>
        <w:rPr>
          <w:rFonts w:hint="eastAsia" w:ascii="黑体" w:hAnsi="黑体" w:eastAsia="黑体" w:cs="黑体"/>
          <w:sz w:val="28"/>
          <w:szCs w:val="28"/>
        </w:rPr>
        <w:t>项目支出绩效自评表（详见附件）</w:t>
      </w: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52604A">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36EB3156">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9A97E9">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3ED1EF9A">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EEC005">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50D0DAE2">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8A9"/>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958E0"/>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A7EEA"/>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56B5140"/>
    <w:rsid w:val="06E428EA"/>
    <w:rsid w:val="079004AC"/>
    <w:rsid w:val="0BA148CA"/>
    <w:rsid w:val="0C1165C4"/>
    <w:rsid w:val="0CAF707C"/>
    <w:rsid w:val="0D6D544B"/>
    <w:rsid w:val="0DD136FE"/>
    <w:rsid w:val="0DD73C46"/>
    <w:rsid w:val="0F4902DA"/>
    <w:rsid w:val="0F542F2C"/>
    <w:rsid w:val="0F8E2C57"/>
    <w:rsid w:val="1059665E"/>
    <w:rsid w:val="10AC13BA"/>
    <w:rsid w:val="133D04CE"/>
    <w:rsid w:val="145A6C1B"/>
    <w:rsid w:val="14B73493"/>
    <w:rsid w:val="167A2FF9"/>
    <w:rsid w:val="1764587C"/>
    <w:rsid w:val="18581C69"/>
    <w:rsid w:val="1AEC0734"/>
    <w:rsid w:val="1C5A0D28"/>
    <w:rsid w:val="1CB032A5"/>
    <w:rsid w:val="1DEF20B0"/>
    <w:rsid w:val="1F164D67"/>
    <w:rsid w:val="1FF7AB17"/>
    <w:rsid w:val="214243FA"/>
    <w:rsid w:val="21AD613C"/>
    <w:rsid w:val="21BD19B0"/>
    <w:rsid w:val="22467189"/>
    <w:rsid w:val="22861DA0"/>
    <w:rsid w:val="234B7F5C"/>
    <w:rsid w:val="23A6054D"/>
    <w:rsid w:val="257A14F5"/>
    <w:rsid w:val="25950217"/>
    <w:rsid w:val="261575BF"/>
    <w:rsid w:val="26EE1644"/>
    <w:rsid w:val="27196C26"/>
    <w:rsid w:val="285F55C2"/>
    <w:rsid w:val="29002B12"/>
    <w:rsid w:val="29EF086F"/>
    <w:rsid w:val="2B571819"/>
    <w:rsid w:val="2BC34C59"/>
    <w:rsid w:val="2EFFE297"/>
    <w:rsid w:val="2FD03ECC"/>
    <w:rsid w:val="301437CA"/>
    <w:rsid w:val="30215815"/>
    <w:rsid w:val="32DA54BB"/>
    <w:rsid w:val="349D1F0A"/>
    <w:rsid w:val="34DD0473"/>
    <w:rsid w:val="357F4C51"/>
    <w:rsid w:val="35956011"/>
    <w:rsid w:val="35FE7713"/>
    <w:rsid w:val="36616EC9"/>
    <w:rsid w:val="36AF6523"/>
    <w:rsid w:val="36E50FDF"/>
    <w:rsid w:val="3A8E35DC"/>
    <w:rsid w:val="3C684897"/>
    <w:rsid w:val="3C972852"/>
    <w:rsid w:val="433E495C"/>
    <w:rsid w:val="4439400C"/>
    <w:rsid w:val="467125A7"/>
    <w:rsid w:val="489F2FD7"/>
    <w:rsid w:val="4ABD14F2"/>
    <w:rsid w:val="4AC27CB3"/>
    <w:rsid w:val="4AFB201B"/>
    <w:rsid w:val="4BD96ED8"/>
    <w:rsid w:val="4BF72BEF"/>
    <w:rsid w:val="4C790CD2"/>
    <w:rsid w:val="4DC32544"/>
    <w:rsid w:val="4E273FA4"/>
    <w:rsid w:val="4F9C3DCC"/>
    <w:rsid w:val="4FA90297"/>
    <w:rsid w:val="4FC41A43"/>
    <w:rsid w:val="507620AE"/>
    <w:rsid w:val="50AD3FE0"/>
    <w:rsid w:val="51DB3C59"/>
    <w:rsid w:val="53894668"/>
    <w:rsid w:val="53990E71"/>
    <w:rsid w:val="550C0952"/>
    <w:rsid w:val="555869E7"/>
    <w:rsid w:val="55762E42"/>
    <w:rsid w:val="56264254"/>
    <w:rsid w:val="57A7B272"/>
    <w:rsid w:val="58470068"/>
    <w:rsid w:val="58747CAC"/>
    <w:rsid w:val="5A1720F9"/>
    <w:rsid w:val="5A3410A5"/>
    <w:rsid w:val="5B9C37C2"/>
    <w:rsid w:val="5BA7C654"/>
    <w:rsid w:val="5CCB1593"/>
    <w:rsid w:val="5D86525F"/>
    <w:rsid w:val="5DF716AE"/>
    <w:rsid w:val="5ED74E21"/>
    <w:rsid w:val="5F9F507E"/>
    <w:rsid w:val="5FBA587D"/>
    <w:rsid w:val="60A54109"/>
    <w:rsid w:val="60BE1D54"/>
    <w:rsid w:val="61D01CDF"/>
    <w:rsid w:val="62255EA3"/>
    <w:rsid w:val="622E2D97"/>
    <w:rsid w:val="62FD472A"/>
    <w:rsid w:val="638135AD"/>
    <w:rsid w:val="64C0607C"/>
    <w:rsid w:val="65756C86"/>
    <w:rsid w:val="674D385B"/>
    <w:rsid w:val="676F09E1"/>
    <w:rsid w:val="681A69AF"/>
    <w:rsid w:val="6ACA1682"/>
    <w:rsid w:val="6F341AC6"/>
    <w:rsid w:val="6F475E0D"/>
    <w:rsid w:val="70612990"/>
    <w:rsid w:val="712D4C77"/>
    <w:rsid w:val="7154079B"/>
    <w:rsid w:val="71691990"/>
    <w:rsid w:val="71756BFA"/>
    <w:rsid w:val="71793A80"/>
    <w:rsid w:val="72771CAC"/>
    <w:rsid w:val="7357290B"/>
    <w:rsid w:val="756E3DEA"/>
    <w:rsid w:val="760D6F22"/>
    <w:rsid w:val="76826F35"/>
    <w:rsid w:val="76FB1693"/>
    <w:rsid w:val="780E2B87"/>
    <w:rsid w:val="798524E4"/>
    <w:rsid w:val="7A7F1C49"/>
    <w:rsid w:val="7B5B7AE6"/>
    <w:rsid w:val="7B713AB0"/>
    <w:rsid w:val="7B7B6628"/>
    <w:rsid w:val="7BA7071E"/>
    <w:rsid w:val="7BDF6DA8"/>
    <w:rsid w:val="7C7EDC1A"/>
    <w:rsid w:val="7CCED98D"/>
    <w:rsid w:val="7D083B9E"/>
    <w:rsid w:val="7D08410F"/>
    <w:rsid w:val="7D6308BF"/>
    <w:rsid w:val="7DB96DED"/>
    <w:rsid w:val="7DD3AD81"/>
    <w:rsid w:val="7DFFF77E"/>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 w:type="character" w:customStyle="1" w:styleId="20">
    <w:name w:val="font21"/>
    <w:basedOn w:val="11"/>
    <w:qFormat/>
    <w:uiPriority w:val="0"/>
    <w:rPr>
      <w:rFonts w:hint="eastAsia" w:ascii="宋体" w:hAnsi="宋体" w:eastAsia="宋体" w:cs="宋体"/>
      <w:color w:val="000000"/>
      <w:sz w:val="18"/>
      <w:szCs w:val="18"/>
      <w:u w:val="none"/>
    </w:rPr>
  </w:style>
  <w:style w:type="character" w:customStyle="1" w:styleId="21">
    <w:name w:val="font01"/>
    <w:basedOn w:val="11"/>
    <w:qFormat/>
    <w:uiPriority w:val="0"/>
    <w:rPr>
      <w:rFonts w:hint="eastAsia" w:ascii="宋体" w:hAnsi="宋体" w:eastAsia="宋体" w:cs="宋体"/>
      <w:color w:val="000000"/>
      <w:sz w:val="13"/>
      <w:szCs w:val="13"/>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444.8</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ea31a22d-92a3-4dc5-a9a5-5bf3a0305c21}"/>
      </c:ext>
    </c:extLst>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477.91</c:v>
                </c:pt>
                <c:pt idx="1">
                  <c:v>5.24</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bb105a3c-d236-418c-9227-6b384e4e1d5a}"/>
      </c:ext>
    </c:extLst>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3414</Words>
  <Characters>3882</Characters>
  <Lines>44</Lines>
  <Paragraphs>12</Paragraphs>
  <TotalTime>5</TotalTime>
  <ScaleCrop>false</ScaleCrop>
  <LinksUpToDate>false</LinksUpToDate>
  <CharactersWithSpaces>3901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Administrator</cp:lastModifiedBy>
  <cp:lastPrinted>2020-08-09T03:39:00Z</cp:lastPrinted>
  <dcterms:modified xsi:type="dcterms:W3CDTF">2025-09-26T02:18:05Z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A7F78878FB63AC2F75B4B7682BD79272</vt:lpwstr>
  </property>
  <property fmtid="{D5CDD505-2E9C-101B-9397-08002B2CF9AE}" pid="4" name="KSOTemplateDocerSaveRecord">
    <vt:lpwstr>eyJoZGlkIjoiNWI1NDFjODVhYzRhZmY0M2QxZGFkNTIyYWJkN2Y3Y2QifQ==</vt:lpwstr>
  </property>
</Properties>
</file>