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4E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10"/>
        <w:tblW w:w="15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200"/>
        <w:gridCol w:w="1305"/>
        <w:gridCol w:w="3750"/>
        <w:gridCol w:w="2580"/>
        <w:gridCol w:w="1155"/>
        <w:gridCol w:w="630"/>
        <w:gridCol w:w="774"/>
        <w:gridCol w:w="2302"/>
      </w:tblGrid>
      <w:tr w14:paraId="19C4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50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667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74765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5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3AD1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33F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A07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1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EEE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2024年党建活动经费-瀛海成校</w:t>
            </w:r>
          </w:p>
        </w:tc>
      </w:tr>
      <w:tr w14:paraId="5BAC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6CD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455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北京市大兴区教育委员会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2F6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77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北京市大兴区瀛海镇成人学校</w:t>
            </w:r>
          </w:p>
        </w:tc>
      </w:tr>
      <w:tr w14:paraId="51D2F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F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EEB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FE6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D15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9C7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EC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C8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7AD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6C367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D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B2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8F2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44B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39D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11C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065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DE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7C907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D17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D44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09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04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7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1D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7AE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03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0103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1FB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7E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97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BF6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D74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D79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F7E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5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093A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2B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DF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>其他资金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B0A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44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CAC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BF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2E4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71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61E9D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1BA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FD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>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91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A6C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1B5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2EE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1A5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4A8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3A83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06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C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CB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2D12F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46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DB6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通过本单位党建活动开展，购买党员活动用书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组织党员集中学习党的政策方针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通过组织党员各类活动，提升党员的荣誉感使命感，使每位党员在党建活动中增强党性修养。</w:t>
            </w:r>
          </w:p>
        </w:tc>
        <w:tc>
          <w:tcPr>
            <w:tcW w:w="4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8A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通过本单位党建活动开展，购买党员活动用书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组织党员集中学习党的政策方针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通过组织党员各类活动，提升党员的荣誉感使命感，使每位党员在党建活动中增强党性修养。</w:t>
            </w:r>
          </w:p>
        </w:tc>
      </w:tr>
      <w:tr w14:paraId="35CDA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D10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6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F99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64A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97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30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DE3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054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B7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6548A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AF8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D37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DC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46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指标1：服务党员数量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263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25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E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DA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6A0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7F210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9F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BDC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9D1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40F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指标2：组织党员活动次数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67E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36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1D3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594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7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8714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798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D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CE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CB6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指标1：提升党建工作活力及水平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93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有效提高党建工作活力和水平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7D1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2D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4EA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5BB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党建工作精细化程度有待提高</w:t>
            </w:r>
          </w:p>
        </w:tc>
      </w:tr>
      <w:tr w14:paraId="2DE86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7A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BF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E7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5C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4D8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8F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F95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B11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0C0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6DEB5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50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7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8CB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F9F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指标1：活动安排，支出资金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52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及时入账和支付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EAB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059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6AD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76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293D5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0B4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0B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16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2B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B3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8ED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9E0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6BC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E4F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8C43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10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54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9F6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8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指标1：项目资金控制金额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48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DC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5C7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26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88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767C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A8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6D9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1F6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13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5CA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CB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2CD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396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FBC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1463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D74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7F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D6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D3F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EEC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13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31A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60A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80B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7098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0E8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47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9A9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F9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0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4C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19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719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47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670D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0CA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9E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2D2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380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9D9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B2C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DA3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ECD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705E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77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26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62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69C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指标1：提升本单位党员精神面貌及党性修养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A7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10A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222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50A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BF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理论学习需进一步加强</w:t>
            </w:r>
          </w:p>
        </w:tc>
      </w:tr>
      <w:tr w14:paraId="350DD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9F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93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42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68C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ABA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F60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2E6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3B6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62E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3C830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C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DBA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26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242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9B7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9F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84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9CF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08C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662C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2F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1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55B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60E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4D1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ABC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FA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4D8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26B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7282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644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BF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6C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475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指标1：满足2024年全年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166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FB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68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B2B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E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7E40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7A8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6E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AA8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320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CA8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EDE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03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90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1F8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6CD9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4C8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2F9D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3C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CBA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指标1：党员满意度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9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65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AA8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4B9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A43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4D543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E2A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7C69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12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93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5E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42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55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72F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0A9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0706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C0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12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7C9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E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7583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6D05D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tbl>
      <w:tblPr>
        <w:tblStyle w:val="10"/>
        <w:tblW w:w="15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200"/>
        <w:gridCol w:w="1305"/>
        <w:gridCol w:w="3750"/>
        <w:gridCol w:w="2580"/>
        <w:gridCol w:w="1155"/>
        <w:gridCol w:w="630"/>
        <w:gridCol w:w="774"/>
        <w:gridCol w:w="2302"/>
      </w:tblGrid>
      <w:tr w14:paraId="2D166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50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3BF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14:paraId="3DE3F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5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09A6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（2024年度）</w:t>
            </w:r>
          </w:p>
        </w:tc>
      </w:tr>
      <w:tr w14:paraId="10B84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DD6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1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2A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2024年瀛海镇成人学校文化培训课程建设项目</w:t>
            </w:r>
          </w:p>
        </w:tc>
      </w:tr>
      <w:tr w14:paraId="278D4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1CA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D1C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北京市大兴区教育委员会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611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7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9AC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北京市大兴区瀛海镇成人学校</w:t>
            </w:r>
          </w:p>
        </w:tc>
      </w:tr>
      <w:tr w14:paraId="41DE8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ADA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36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7BC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E7A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74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BC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AC0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CB0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14:paraId="72430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86B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7A2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96D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B35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65F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484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10分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73A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5F0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2C319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74A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CE3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52A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6E2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5.00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AED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CA9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95C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D3B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74C40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EEA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2B3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443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045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254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DFA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6B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EE1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0700A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8AB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A59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>其他资金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E4A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0A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94E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3AF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775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CC1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5E67D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2E4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9B8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900" w:firstLineChars="500"/>
              <w:jc w:val="both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Style w:val="20"/>
                <w:rFonts w:hint="default"/>
                <w:lang w:bidi="ar"/>
              </w:rPr>
              <w:t>中央直达资金</w:t>
            </w:r>
            <w:r>
              <w:rPr>
                <w:rStyle w:val="21"/>
                <w:rFonts w:hint="default"/>
                <w:lang w:bidi="ar"/>
              </w:rPr>
              <w:t xml:space="preserve"> 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82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A4E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AB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6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D5A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2F3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14:paraId="28E3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7C6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305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4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0FA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 w14:paraId="0649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D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FC2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持续开展社区文化类培训，进一步满足镇域内居民的文化生活需求，促进全民终身学习，不断提高成人培训的针对性和满意度。</w:t>
            </w:r>
          </w:p>
        </w:tc>
        <w:tc>
          <w:tcPr>
            <w:tcW w:w="4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DBE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通过培训使参训学员掌握了书法等业余文艺知识技能，提升和改善社区居民文化素养，让社区居民有获得感，营造和谐积极的区域文化生活氛围，推动社区教育事业整体发平。</w:t>
            </w:r>
          </w:p>
        </w:tc>
      </w:tr>
      <w:tr w14:paraId="4281B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exact"/>
          <w:jc w:val="center"/>
        </w:trPr>
        <w:tc>
          <w:tcPr>
            <w:tcW w:w="13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0B005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1DC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9ED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D10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DB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E64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75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609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F37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 w14:paraId="12329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2CFC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E85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产出指标（40分）</w:t>
            </w: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197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B62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指标1：总课时数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FAA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83B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D21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320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AE6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51CE8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64D4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13D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936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D7F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54A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30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5C2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EA2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FCF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6CCA3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D64B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F6E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DB6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541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指标1：经费使用效果满意度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59A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有效提高培训工作水平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426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5A3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6B9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EAA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培训专业性和精细度有待提高</w:t>
            </w:r>
          </w:p>
        </w:tc>
      </w:tr>
      <w:tr w14:paraId="1E064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3EE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9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6C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7E6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A6F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31F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13F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2AE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69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AF03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E26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B07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E49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4E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指标1：培训安排时间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187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按计划安排1年内完成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A2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B17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EB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CF1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7A59B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0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E6D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B35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CCC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F6A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124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F94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036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2DC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B320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1E76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E53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成本指标（10分）</w:t>
            </w: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3EE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8C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指标1：项目资金控制金额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A0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3C8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8AC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B49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00A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7B6E9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244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B74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BC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F01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A07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437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B9F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AFF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0C1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230A8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F706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B3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58D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生态环境成本指标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726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2C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FC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080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960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E8E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52754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F768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B3A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效益指标（30分）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CC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2B0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C6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9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BB8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C70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30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29FA4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AB7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E81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881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57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A39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580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A0C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E8A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485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5A800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F026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B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52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848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指标1：居民文化素养提高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E4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C3D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479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24E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6B6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文化理念还需进一步宣传培育</w:t>
            </w:r>
          </w:p>
        </w:tc>
      </w:tr>
      <w:tr w14:paraId="43AC8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62E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AD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F9E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8AB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指标2：教育服务满意度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C97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ABC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2E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AD9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DA7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培训针对性有待提</w:t>
            </w:r>
          </w:p>
        </w:tc>
      </w:tr>
      <w:tr w14:paraId="1C253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EBC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1FA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5CF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E8A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D8D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80D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7A5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EF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16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53352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AFF5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3E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90C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4DE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414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524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357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2CC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82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0FF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7FD5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61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585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F34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指标1：居民积极性和参与度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C5C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不断提升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6F9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EA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8A6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935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69053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64A1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30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420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0F2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576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BA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D92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3F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621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145C2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D45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CA7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满意度指标（10分）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DDD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4AC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指标1：培训学员满意度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430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F8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DB7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B55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D22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19C1C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99BE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9F1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75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013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BB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A72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6F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1A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6A7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  <w:tr w14:paraId="2650D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C59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0A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391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AED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2C0B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</w:rPr>
      </w:pPr>
      <w:bookmarkStart w:id="0" w:name="_GoBack"/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填报说明：</w:t>
      </w:r>
    </w:p>
    <w:p w14:paraId="65768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1.计算执行率时，全年预算数不得减去年底财政统一追减数，即全年预算数=年初预算+年中追加-12月1日前追减数。执行率=全年执行/全年预算数*100%，执行率得分应为执行率*10分进行计算（保留两位小数）。</w:t>
      </w:r>
    </w:p>
    <w:p w14:paraId="0F920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2.原则上预算执行率和一级指标权重统一设置为：预算执行率10%、产出指标40%、成本指标10%、效益指标30%、服务对象满意度指标10%。</w:t>
      </w:r>
      <w:bookmarkEnd w:id="0"/>
      <w:r>
        <w:rPr>
          <w:rFonts w:hint="eastAsia" w:ascii="仿宋_GB2312" w:hAnsi="宋体" w:eastAsia="仿宋_GB2312" w:cs="宋体"/>
          <w:color w:val="000000"/>
          <w:kern w:val="0"/>
          <w:sz w:val="24"/>
        </w:rPr>
        <w:t>如有特殊情况，一级指标权重可做适当调整。二、三级指标应当根据指标重要程度、项目实施阶段等因素综合确定，准确反映项目的产出和效益。采用定量和定性评价相结合的比较法,总分由各项指标得分汇总形成。</w:t>
      </w:r>
    </w:p>
    <w:p w14:paraId="716EAB97">
      <w:pPr>
        <w:spacing w:line="48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3.总分设置为100分，等级一般划分为4档：90（含）-100分为优、80（含）-90分为良、60（含）-80分为中、60分以下为差。</w:t>
      </w:r>
    </w:p>
    <w:p w14:paraId="4F09C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4.使用中央直达资金的项目务必将中央直达资金金额填报清楚。</w:t>
      </w: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97E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5</w:t>
    </w:r>
    <w:r>
      <w:fldChar w:fldCharType="end"/>
    </w:r>
  </w:p>
  <w:p w14:paraId="3ED1EF9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C00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50D0DAE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8A9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958E0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A7EEA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56B5140"/>
    <w:rsid w:val="06E428EA"/>
    <w:rsid w:val="079004AC"/>
    <w:rsid w:val="0BA148CA"/>
    <w:rsid w:val="0BB11B63"/>
    <w:rsid w:val="0C1165C4"/>
    <w:rsid w:val="0CAF707C"/>
    <w:rsid w:val="0D6D544B"/>
    <w:rsid w:val="0D7A2C98"/>
    <w:rsid w:val="0DD136FE"/>
    <w:rsid w:val="0DD73C46"/>
    <w:rsid w:val="0F542F2C"/>
    <w:rsid w:val="0F8E2C57"/>
    <w:rsid w:val="1059665E"/>
    <w:rsid w:val="10AC13BA"/>
    <w:rsid w:val="111B3762"/>
    <w:rsid w:val="133D04CE"/>
    <w:rsid w:val="145A6C1B"/>
    <w:rsid w:val="14B73493"/>
    <w:rsid w:val="167A2FF9"/>
    <w:rsid w:val="1764587C"/>
    <w:rsid w:val="18581C69"/>
    <w:rsid w:val="1AEC0734"/>
    <w:rsid w:val="1C5A0D28"/>
    <w:rsid w:val="1DEF20B0"/>
    <w:rsid w:val="1F164D67"/>
    <w:rsid w:val="1FF7AB17"/>
    <w:rsid w:val="214243FA"/>
    <w:rsid w:val="21AD613C"/>
    <w:rsid w:val="22467189"/>
    <w:rsid w:val="22861DA0"/>
    <w:rsid w:val="234B7F5C"/>
    <w:rsid w:val="23A6054D"/>
    <w:rsid w:val="257A14F5"/>
    <w:rsid w:val="25950217"/>
    <w:rsid w:val="261575BF"/>
    <w:rsid w:val="26EE1644"/>
    <w:rsid w:val="27196C26"/>
    <w:rsid w:val="285F55C2"/>
    <w:rsid w:val="29002B12"/>
    <w:rsid w:val="29897AE6"/>
    <w:rsid w:val="29EF086F"/>
    <w:rsid w:val="2B571819"/>
    <w:rsid w:val="2BC34C59"/>
    <w:rsid w:val="2EFFE297"/>
    <w:rsid w:val="2FD03ECC"/>
    <w:rsid w:val="301437CA"/>
    <w:rsid w:val="30215815"/>
    <w:rsid w:val="323D4800"/>
    <w:rsid w:val="32DA54BB"/>
    <w:rsid w:val="349D1F0A"/>
    <w:rsid w:val="34DD0473"/>
    <w:rsid w:val="35956011"/>
    <w:rsid w:val="35FE7713"/>
    <w:rsid w:val="36AF6523"/>
    <w:rsid w:val="36E50FDF"/>
    <w:rsid w:val="3A8E35DC"/>
    <w:rsid w:val="3C684897"/>
    <w:rsid w:val="3C972852"/>
    <w:rsid w:val="433E495C"/>
    <w:rsid w:val="4439400C"/>
    <w:rsid w:val="489F2FD7"/>
    <w:rsid w:val="49151461"/>
    <w:rsid w:val="4ABD14F2"/>
    <w:rsid w:val="4AC27CB3"/>
    <w:rsid w:val="4AFB201B"/>
    <w:rsid w:val="4BD96ED8"/>
    <w:rsid w:val="4BF72BEF"/>
    <w:rsid w:val="4C790CD2"/>
    <w:rsid w:val="4DC32544"/>
    <w:rsid w:val="4E273FA4"/>
    <w:rsid w:val="4E636855"/>
    <w:rsid w:val="4F9C3DCC"/>
    <w:rsid w:val="4FA90297"/>
    <w:rsid w:val="4FC41A43"/>
    <w:rsid w:val="507620AE"/>
    <w:rsid w:val="50AD3FE0"/>
    <w:rsid w:val="51DB3C59"/>
    <w:rsid w:val="53990E71"/>
    <w:rsid w:val="550C0952"/>
    <w:rsid w:val="55762E42"/>
    <w:rsid w:val="56264254"/>
    <w:rsid w:val="57A7B272"/>
    <w:rsid w:val="58470068"/>
    <w:rsid w:val="58747CAC"/>
    <w:rsid w:val="5A1720F9"/>
    <w:rsid w:val="5B9C37C2"/>
    <w:rsid w:val="5BA7C654"/>
    <w:rsid w:val="5CCB1593"/>
    <w:rsid w:val="5D86525F"/>
    <w:rsid w:val="5DF716AE"/>
    <w:rsid w:val="5ED74E21"/>
    <w:rsid w:val="5F9F507E"/>
    <w:rsid w:val="60A54109"/>
    <w:rsid w:val="61D01CDF"/>
    <w:rsid w:val="62255EA3"/>
    <w:rsid w:val="622E2D97"/>
    <w:rsid w:val="62FD472A"/>
    <w:rsid w:val="638135AD"/>
    <w:rsid w:val="64C0607C"/>
    <w:rsid w:val="65756C86"/>
    <w:rsid w:val="674D385B"/>
    <w:rsid w:val="676F09E1"/>
    <w:rsid w:val="681A69AF"/>
    <w:rsid w:val="6F341AC6"/>
    <w:rsid w:val="70612990"/>
    <w:rsid w:val="71691990"/>
    <w:rsid w:val="71756BFA"/>
    <w:rsid w:val="71793A80"/>
    <w:rsid w:val="72771CAC"/>
    <w:rsid w:val="7357290B"/>
    <w:rsid w:val="756E3DEA"/>
    <w:rsid w:val="760D6F22"/>
    <w:rsid w:val="76826F35"/>
    <w:rsid w:val="76FB1693"/>
    <w:rsid w:val="780E2B87"/>
    <w:rsid w:val="798524E4"/>
    <w:rsid w:val="7A7F1C49"/>
    <w:rsid w:val="7B5B7AE6"/>
    <w:rsid w:val="7B713AB0"/>
    <w:rsid w:val="7B7B6628"/>
    <w:rsid w:val="7BA7071E"/>
    <w:rsid w:val="7BDF6DA8"/>
    <w:rsid w:val="7C7EDC1A"/>
    <w:rsid w:val="7CCED98D"/>
    <w:rsid w:val="7D08410F"/>
    <w:rsid w:val="7D6308BF"/>
    <w:rsid w:val="7DB96DED"/>
    <w:rsid w:val="7DD3AD81"/>
    <w:rsid w:val="7DFFF77E"/>
    <w:rsid w:val="7F53A862"/>
    <w:rsid w:val="7F7FE70F"/>
    <w:rsid w:val="7FDF365A"/>
    <w:rsid w:val="7FEC8BC6"/>
    <w:rsid w:val="7FFF772F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  <w:style w:type="character" w:customStyle="1" w:styleId="20">
    <w:name w:val="font2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5268</Words>
  <Characters>5972</Characters>
  <Lines>44</Lines>
  <Paragraphs>12</Paragraphs>
  <TotalTime>63</TotalTime>
  <ScaleCrop>false</ScaleCrop>
  <LinksUpToDate>false</LinksUpToDate>
  <CharactersWithSpaces>5993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2017-07-13T07:16:00Z</dcterms:created>
  <dc:creator>常程</dc:creator>
  <cp:lastModifiedBy>Administrator</cp:lastModifiedBy>
  <cp:lastPrinted>2020-08-09T03:39:00Z</cp:lastPrinted>
  <dcterms:modified xsi:type="dcterms:W3CDTF">2025-09-26T02:33:33Z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eyJoZGlkIjoiNWI1NDFjODVhYzRhZmY0M2QxZGFkNTIyYWJkN2Y3Y2QifQ==</vt:lpwstr>
  </property>
</Properties>
</file>