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1.本单位职责：北京市大兴区黄村镇第二中心幼儿园主要职责是为本地学龄前儿童提供</w:t>
      </w:r>
      <w:r>
        <w:rPr>
          <w:rFonts w:hint="eastAsia" w:ascii="仿宋_GB2312" w:eastAsia="仿宋_GB2312"/>
          <w:sz w:val="28"/>
          <w:szCs w:val="28"/>
          <w:lang w:eastAsia="zh-CN"/>
        </w:rPr>
        <w:t>优质的</w:t>
      </w:r>
      <w:r>
        <w:rPr>
          <w:rFonts w:hint="eastAsia" w:ascii="仿宋_GB2312" w:eastAsia="仿宋_GB2312"/>
          <w:sz w:val="28"/>
          <w:szCs w:val="28"/>
        </w:rPr>
        <w:t>保育教育</w:t>
      </w:r>
      <w:r>
        <w:rPr>
          <w:rFonts w:hint="eastAsia" w:ascii="仿宋_GB2312" w:eastAsia="仿宋_GB2312"/>
          <w:sz w:val="28"/>
          <w:szCs w:val="28"/>
          <w:lang w:eastAsia="zh-CN"/>
        </w:rPr>
        <w:t>服务</w:t>
      </w:r>
      <w:r>
        <w:rPr>
          <w:rFonts w:hint="eastAsia" w:ascii="仿宋_GB2312" w:eastAsia="仿宋_GB2312"/>
          <w:sz w:val="28"/>
          <w:szCs w:val="28"/>
        </w:rPr>
        <w:t>。</w:t>
      </w:r>
    </w:p>
    <w:p>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2.机构设置情况:黄村二幼内设机构：保教处、总务处、安保办。</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3231.02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20.45</w:t>
      </w:r>
      <w:r>
        <w:rPr>
          <w:rFonts w:hint="eastAsia" w:ascii="仿宋_GB2312" w:eastAsia="仿宋_GB2312"/>
          <w:sz w:val="28"/>
          <w:szCs w:val="28"/>
        </w:rPr>
        <w:t>万元，增长</w:t>
      </w:r>
      <w:r>
        <w:rPr>
          <w:rFonts w:hint="eastAsia" w:ascii="仿宋_GB2312" w:eastAsia="仿宋_GB2312"/>
          <w:sz w:val="28"/>
          <w:szCs w:val="28"/>
          <w:lang w:val="en-US" w:eastAsia="zh-CN"/>
        </w:rPr>
        <w:t>0.64</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hint="eastAsia" w:ascii="仿宋_GB2312" w:eastAsia="仿宋_GB2312"/>
          <w:sz w:val="28"/>
          <w:szCs w:val="28"/>
          <w:lang w:val="en-US" w:eastAsia="zh-CN"/>
        </w:rPr>
        <w:t>3231.02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20.45</w:t>
      </w:r>
      <w:r>
        <w:rPr>
          <w:rFonts w:hint="eastAsia" w:ascii="仿宋_GB2312" w:eastAsia="仿宋_GB2312"/>
          <w:sz w:val="28"/>
          <w:szCs w:val="28"/>
        </w:rPr>
        <w:t>万元，增长</w:t>
      </w:r>
      <w:r>
        <w:rPr>
          <w:rFonts w:hint="eastAsia" w:ascii="仿宋_GB2312" w:eastAsia="仿宋_GB2312"/>
          <w:sz w:val="28"/>
          <w:szCs w:val="28"/>
          <w:lang w:val="en-US" w:eastAsia="zh-CN"/>
        </w:rPr>
        <w:t>0.64</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hint="eastAsia" w:ascii="仿宋_GB2312" w:eastAsia="仿宋_GB2312"/>
          <w:sz w:val="28"/>
          <w:szCs w:val="28"/>
          <w:lang w:val="en-US" w:eastAsia="zh-CN"/>
        </w:rPr>
        <w:t>3231.02</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一般公共预算财政拨款收入3061.12</w:t>
      </w:r>
      <w:r>
        <w:rPr>
          <w:rFonts w:hint="eastAsia" w:ascii="仿宋_GB2312" w:eastAsia="仿宋_GB2312"/>
          <w:sz w:val="28"/>
          <w:szCs w:val="28"/>
        </w:rPr>
        <w:t>万元，占收入合计的</w:t>
      </w:r>
      <w:r>
        <w:rPr>
          <w:rFonts w:hint="eastAsia" w:ascii="仿宋_GB2312" w:eastAsia="仿宋_GB2312"/>
          <w:sz w:val="28"/>
          <w:szCs w:val="28"/>
          <w:lang w:val="en-US" w:eastAsia="zh-CN"/>
        </w:rPr>
        <w:t>94.74</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6.年初结转和结余169.9万元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占收入合计的5.26%。</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3231.02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20.45</w:t>
      </w:r>
      <w:r>
        <w:rPr>
          <w:rFonts w:hint="eastAsia" w:ascii="仿宋_GB2312" w:eastAsia="仿宋_GB2312"/>
          <w:sz w:val="28"/>
          <w:szCs w:val="28"/>
        </w:rPr>
        <w:t>万元，增长</w:t>
      </w:r>
      <w:r>
        <w:rPr>
          <w:rFonts w:hint="eastAsia" w:ascii="仿宋_GB2312" w:eastAsia="仿宋_GB2312"/>
          <w:sz w:val="28"/>
          <w:szCs w:val="28"/>
          <w:lang w:val="en-US" w:eastAsia="zh-CN"/>
        </w:rPr>
        <w:t>0.64</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2384.18</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73.79</w:t>
      </w:r>
      <w:r>
        <w:rPr>
          <w:rFonts w:hint="eastAsia" w:ascii="仿宋_GB2312" w:eastAsia="仿宋_GB2312"/>
          <w:sz w:val="28"/>
          <w:szCs w:val="28"/>
          <w:highlight w:val="none"/>
        </w:rPr>
        <w:t>%；项目支出</w:t>
      </w:r>
      <w:r>
        <w:rPr>
          <w:rFonts w:ascii="仿宋_GB2312" w:eastAsia="仿宋_GB2312"/>
          <w:sz w:val="28"/>
          <w:szCs w:val="28"/>
          <w:highlight w:val="none"/>
        </w:rPr>
        <w:t>846.84</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26.21</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3231.02</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20.45</w:t>
      </w:r>
      <w:r>
        <w:rPr>
          <w:rFonts w:hint="eastAsia" w:ascii="仿宋_GB2312" w:eastAsia="仿宋_GB2312"/>
          <w:sz w:val="28"/>
          <w:szCs w:val="28"/>
        </w:rPr>
        <w:t>万元，增长</w:t>
      </w:r>
      <w:r>
        <w:rPr>
          <w:rFonts w:hint="eastAsia" w:ascii="仿宋_GB2312" w:eastAsia="仿宋_GB2312"/>
          <w:sz w:val="28"/>
          <w:szCs w:val="28"/>
          <w:lang w:val="en-US" w:eastAsia="zh-CN"/>
        </w:rPr>
        <w:t>0.64</w:t>
      </w:r>
      <w:r>
        <w:rPr>
          <w:rFonts w:hint="eastAsia" w:ascii="仿宋_GB2312" w:eastAsia="仿宋_GB2312"/>
          <w:sz w:val="28"/>
          <w:szCs w:val="28"/>
        </w:rPr>
        <w:t>%。主要原因：主要原因2024年7月保险基数调整；以及2024年增加视频监控改造项目等。</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3231.02</w:t>
      </w:r>
      <w:r>
        <w:rPr>
          <w:rFonts w:hint="eastAsia" w:ascii="仿宋_GB2312" w:eastAsia="仿宋_GB2312"/>
          <w:sz w:val="28"/>
          <w:szCs w:val="28"/>
        </w:rPr>
        <w:t>万元，主要用于以下方面：教育支出2634.22万元，占本年财政拨款支出81.53%。社会保障和就业支出242.51万元，占本年财政拨款支出7.5%。卫生健康支出184.39万元，占本年财政拨款支出5.71%。住房保障支出169.9万元，占本年财政拨款支出5.26%</w:t>
      </w:r>
      <w:r>
        <w:rPr>
          <w:rFonts w:hint="eastAsia" w:ascii="仿宋_GB2312" w:eastAsia="仿宋_GB2312"/>
          <w:sz w:val="28"/>
          <w:szCs w:val="28"/>
          <w:lang w:eastAsia="zh-CN"/>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1、“教育支出”2024年度年初预算</w:t>
      </w:r>
      <w:r>
        <w:rPr>
          <w:rFonts w:hint="eastAsia" w:ascii="仿宋_GB2312" w:eastAsia="仿宋_GB2312"/>
          <w:sz w:val="28"/>
          <w:szCs w:val="28"/>
          <w:lang w:val="en-US" w:eastAsia="zh-CN"/>
        </w:rPr>
        <w:t>2321.39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年度决算2634.22万元，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113.48</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lang w:eastAsia="zh-CN"/>
        </w:rPr>
      </w:pPr>
      <w:r>
        <w:rPr>
          <w:rFonts w:hint="eastAsia" w:ascii="仿宋_GB2312" w:eastAsia="仿宋_GB2312"/>
          <w:sz w:val="28"/>
          <w:szCs w:val="28"/>
        </w:rPr>
        <w:t>其中：20502</w:t>
      </w:r>
      <w:r>
        <w:rPr>
          <w:rFonts w:hint="eastAsia" w:ascii="仿宋_GB2312" w:eastAsia="仿宋_GB2312"/>
          <w:sz w:val="28"/>
          <w:szCs w:val="28"/>
          <w:lang w:eastAsia="zh-CN"/>
        </w:rPr>
        <w:t>普通</w:t>
      </w:r>
      <w:r>
        <w:rPr>
          <w:rFonts w:hint="eastAsia" w:ascii="仿宋_GB2312" w:eastAsia="仿宋_GB2312"/>
          <w:sz w:val="28"/>
          <w:szCs w:val="28"/>
        </w:rPr>
        <w:t>教育支出2024年度年初预算</w:t>
      </w:r>
      <w:r>
        <w:rPr>
          <w:rFonts w:hint="eastAsia" w:ascii="仿宋_GB2312" w:eastAsia="仿宋_GB2312"/>
          <w:sz w:val="28"/>
          <w:szCs w:val="28"/>
          <w:lang w:val="en-US" w:eastAsia="zh-CN"/>
        </w:rPr>
        <w:t>2321.39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年度决算2634.22万元，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113.48</w:t>
      </w:r>
      <w:r>
        <w:rPr>
          <w:rFonts w:hint="eastAsia" w:ascii="仿宋_GB2312" w:eastAsia="仿宋_GB2312"/>
          <w:sz w:val="28"/>
          <w:szCs w:val="28"/>
        </w:rPr>
        <w:t>%。主要原因：2024年7月保险基数调整</w:t>
      </w:r>
      <w:r>
        <w:rPr>
          <w:rFonts w:hint="eastAsia" w:ascii="仿宋_GB2312" w:eastAsia="仿宋_GB2312"/>
          <w:sz w:val="28"/>
          <w:szCs w:val="28"/>
          <w:lang w:eastAsia="zh-CN"/>
        </w:rPr>
        <w:t>以及</w:t>
      </w:r>
      <w:r>
        <w:rPr>
          <w:rFonts w:hint="eastAsia" w:ascii="仿宋_GB2312" w:eastAsia="仿宋_GB2312"/>
          <w:sz w:val="28"/>
          <w:szCs w:val="28"/>
        </w:rPr>
        <w:t>2024年增加视频监控改造项目等</w:t>
      </w:r>
      <w:r>
        <w:rPr>
          <w:rFonts w:hint="eastAsia" w:ascii="仿宋_GB2312" w:eastAsia="仿宋_GB2312"/>
          <w:sz w:val="28"/>
          <w:szCs w:val="28"/>
          <w:lang w:eastAsia="zh-CN"/>
        </w:rPr>
        <w:t>。</w:t>
      </w:r>
    </w:p>
    <w:p>
      <w:pPr>
        <w:numPr>
          <w:ilvl w:val="0"/>
          <w:numId w:val="0"/>
        </w:numPr>
        <w:spacing w:line="580" w:lineRule="exact"/>
        <w:ind w:firstLine="560" w:firstLineChars="200"/>
        <w:rPr>
          <w:rFonts w:hint="eastAsia"/>
          <w:lang w:val="en-US" w:eastAsia="zh-CN"/>
        </w:rPr>
      </w:pPr>
      <w:r>
        <w:rPr>
          <w:rFonts w:hint="eastAsia" w:ascii="仿宋_GB2312" w:eastAsia="仿宋_GB2312"/>
          <w:sz w:val="28"/>
          <w:szCs w:val="28"/>
          <w:lang w:val="en-US" w:eastAsia="zh-CN"/>
        </w:rPr>
        <w:t>2、</w:t>
      </w:r>
      <w:r>
        <w:rPr>
          <w:rFonts w:hint="eastAsia" w:ascii="仿宋_GB2312" w:eastAsia="仿宋_GB2312"/>
          <w:sz w:val="28"/>
          <w:szCs w:val="28"/>
        </w:rPr>
        <w:t>“社会保障和就业支出” 2024年度年初预算</w:t>
      </w:r>
      <w:r>
        <w:rPr>
          <w:rFonts w:hint="eastAsia" w:ascii="仿宋_GB2312" w:eastAsia="仿宋_GB2312"/>
          <w:sz w:val="28"/>
          <w:szCs w:val="28"/>
          <w:lang w:val="en-US" w:eastAsia="zh-CN"/>
        </w:rPr>
        <w:t>221.89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242.51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109.29</w:t>
      </w:r>
      <w:r>
        <w:rPr>
          <w:rFonts w:hint="eastAsia" w:ascii="仿宋_GB2312" w:eastAsia="仿宋_GB2312"/>
          <w:sz w:val="28"/>
          <w:szCs w:val="28"/>
        </w:rPr>
        <w:t>%。其中：20805</w:t>
      </w:r>
      <w:r>
        <w:rPr>
          <w:rFonts w:hint="eastAsia" w:ascii="仿宋_GB2312" w:eastAsia="仿宋_GB2312"/>
          <w:sz w:val="28"/>
          <w:szCs w:val="28"/>
          <w:lang w:eastAsia="zh-CN"/>
        </w:rPr>
        <w:t>行政事业单位养老支出</w:t>
      </w:r>
      <w:r>
        <w:rPr>
          <w:rFonts w:hint="eastAsia" w:ascii="仿宋_GB2312" w:eastAsia="仿宋_GB2312"/>
          <w:sz w:val="28"/>
          <w:szCs w:val="28"/>
        </w:rPr>
        <w:t>2024年度年初预算</w:t>
      </w:r>
      <w:r>
        <w:rPr>
          <w:rFonts w:hint="eastAsia" w:ascii="仿宋_GB2312" w:eastAsia="仿宋_GB2312"/>
          <w:sz w:val="28"/>
          <w:szCs w:val="28"/>
          <w:lang w:val="en-US" w:eastAsia="zh-CN"/>
        </w:rPr>
        <w:t>221.89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242.51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109.29</w:t>
      </w:r>
      <w:r>
        <w:rPr>
          <w:rFonts w:hint="eastAsia" w:ascii="仿宋_GB2312" w:eastAsia="仿宋_GB2312"/>
          <w:sz w:val="28"/>
          <w:szCs w:val="28"/>
        </w:rPr>
        <w:t>%。主要原因：2024年7月保险基数调整</w:t>
      </w:r>
      <w:r>
        <w:rPr>
          <w:rFonts w:hint="eastAsia" w:ascii="仿宋_GB2312" w:eastAsia="仿宋_GB2312"/>
          <w:sz w:val="28"/>
          <w:szCs w:val="28"/>
          <w:lang w:eastAsia="zh-CN"/>
        </w:rPr>
        <w:t>。</w:t>
      </w:r>
    </w:p>
    <w:p>
      <w:pPr>
        <w:spacing w:line="580" w:lineRule="exact"/>
        <w:ind w:firstLine="560" w:firstLineChars="200"/>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3、“卫生健康支出”2024年度年初预算163.86万元，2024年度决算184.39万元，完成年初预算的112.53%。其中：21011行政事业单位医疗2024年度年初预算163.87万元，2024年度决算176.6万元，完成年初预算的107.77%。主要原因：2024年7月保险基数调整。21004公共卫生2024年度年初预算0万元，2024年度决算7.79万元，主要原因：2024年增加核酸检测补报费用项目。</w:t>
      </w:r>
    </w:p>
    <w:p>
      <w:pPr>
        <w:spacing w:line="580" w:lineRule="exact"/>
        <w:ind w:firstLine="560" w:firstLineChars="200"/>
        <w:rPr>
          <w:rFonts w:hint="eastAsia" w:ascii="仿宋" w:hAnsi="仿宋" w:eastAsia="仿宋_GB2312" w:cs="仿宋"/>
          <w:b w:val="0"/>
          <w:bCs/>
          <w:sz w:val="28"/>
          <w:szCs w:val="28"/>
          <w:lang w:val="en-US" w:eastAsia="zh-CN"/>
        </w:rPr>
      </w:pPr>
      <w:r>
        <w:rPr>
          <w:rFonts w:hint="eastAsia" w:ascii="仿宋" w:hAnsi="仿宋" w:eastAsia="仿宋" w:cs="仿宋"/>
          <w:b w:val="0"/>
          <w:bCs/>
          <w:sz w:val="28"/>
          <w:szCs w:val="28"/>
          <w:lang w:val="en-US" w:eastAsia="zh-CN"/>
        </w:rPr>
        <w:t>4、“住房保障支出”2024年度年初预算0万元，2024年度决算169.9万元。主要原因为：22102住房改革支出为第二批区机关事业单位职工住房补贴系数调整补发项目</w:t>
      </w:r>
      <w:r>
        <w:rPr>
          <w:rFonts w:hint="eastAsia" w:ascii="仿宋_GB2312" w:eastAsia="仿宋_GB2312"/>
          <w:sz w:val="28"/>
          <w:szCs w:val="28"/>
          <w:highlight w:val="none"/>
          <w:lang w:eastAsia="zh-CN"/>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北京市大兴区黄村镇第二中心幼儿园2024年无政府性基金预算财政拨款安排的支出。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北京市大兴区黄村镇第二中心幼儿园202</w:t>
      </w:r>
      <w:r>
        <w:rPr>
          <w:rFonts w:hint="eastAsia" w:ascii="仿宋_GB2312" w:eastAsia="仿宋_GB2312"/>
          <w:sz w:val="28"/>
          <w:szCs w:val="28"/>
          <w:lang w:val="en-US" w:eastAsia="zh-CN"/>
        </w:rPr>
        <w:t>4</w:t>
      </w:r>
      <w:r>
        <w:rPr>
          <w:rFonts w:hint="eastAsia" w:ascii="仿宋_GB2312" w:eastAsia="仿宋_GB2312"/>
          <w:sz w:val="28"/>
          <w:szCs w:val="28"/>
        </w:rPr>
        <w:t>年度无国有资本经营预算财政拨款安排的支出。</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2384.18</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1.8</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5</w:t>
      </w:r>
      <w:r>
        <w:rPr>
          <w:rFonts w:hint="eastAsia" w:ascii="仿宋_GB2312" w:eastAsia="仿宋_GB2312"/>
          <w:sz w:val="28"/>
          <w:szCs w:val="28"/>
        </w:rPr>
        <w:t>万元减少</w:t>
      </w:r>
      <w:r>
        <w:rPr>
          <w:rFonts w:hint="eastAsia" w:ascii="仿宋_GB2312" w:eastAsia="仿宋_GB2312"/>
          <w:sz w:val="28"/>
          <w:szCs w:val="28"/>
          <w:lang w:val="en-US" w:eastAsia="zh-CN"/>
        </w:rPr>
        <w:t>3.2</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lang w:eastAsia="zh-CN"/>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增减无变化，保持一致</w:t>
      </w:r>
      <w:r>
        <w:rPr>
          <w:rFonts w:hint="eastAsia" w:ascii="仿宋_GB2312" w:eastAsia="仿宋_GB2312"/>
          <w:sz w:val="28"/>
          <w:szCs w:val="28"/>
        </w:rPr>
        <w:t>。主要原因：是因公出国（境）费用根据年度出国审批情况作为追加项目管理，单位不做年初预算，本年也没有出国审批项目发生；2024年度因公出国（境）费用主要用于出国（境）的会议、培训交流等事项等，2024年度组织因公出国（境）团组0个、0人次</w:t>
      </w:r>
      <w:r>
        <w:rPr>
          <w:rFonts w:hint="eastAsia" w:ascii="仿宋_GB2312" w:eastAsia="仿宋_GB2312"/>
          <w:sz w:val="28"/>
          <w:szCs w:val="28"/>
          <w:lang w:eastAsia="zh-CN"/>
        </w:rPr>
        <w:t>。</w:t>
      </w:r>
    </w:p>
    <w:p>
      <w:pPr>
        <w:spacing w:line="560" w:lineRule="exact"/>
        <w:ind w:firstLine="600"/>
        <w:rPr>
          <w:rFonts w:hint="eastAsia" w:ascii="仿宋_GB2312" w:eastAsia="仿宋_GB2312"/>
          <w:sz w:val="28"/>
          <w:szCs w:val="28"/>
          <w:lang w:eastAsia="zh-CN"/>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2.3</w:t>
      </w:r>
      <w:r>
        <w:rPr>
          <w:rFonts w:hint="eastAsia" w:ascii="仿宋_GB2312" w:eastAsia="仿宋_GB2312"/>
          <w:sz w:val="28"/>
          <w:szCs w:val="28"/>
        </w:rPr>
        <w:t>万元减少</w:t>
      </w:r>
      <w:r>
        <w:rPr>
          <w:rFonts w:hint="eastAsia" w:ascii="仿宋_GB2312" w:eastAsia="仿宋_GB2312"/>
          <w:sz w:val="28"/>
          <w:szCs w:val="28"/>
          <w:lang w:val="en-US" w:eastAsia="zh-CN"/>
        </w:rPr>
        <w:t>2.3</w:t>
      </w:r>
      <w:r>
        <w:rPr>
          <w:rFonts w:hint="eastAsia" w:ascii="仿宋_GB2312" w:eastAsia="仿宋_GB2312"/>
          <w:sz w:val="28"/>
          <w:szCs w:val="28"/>
        </w:rPr>
        <w:t>万元。主要原因：本年度无公务接待支出。2024年度公务接待费主要用于公务接待事项。公务接待0批次，公务接待0人次</w:t>
      </w:r>
      <w:r>
        <w:rPr>
          <w:rFonts w:hint="eastAsia" w:ascii="仿宋_GB2312" w:eastAsia="仿宋_GB2312"/>
          <w:sz w:val="28"/>
          <w:szCs w:val="28"/>
          <w:lang w:eastAsia="zh-CN"/>
        </w:rPr>
        <w:t>。</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1.8</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2.7</w:t>
      </w:r>
      <w:r>
        <w:rPr>
          <w:rFonts w:hint="eastAsia" w:ascii="仿宋_GB2312" w:eastAsia="仿宋_GB2312"/>
          <w:sz w:val="28"/>
          <w:szCs w:val="28"/>
        </w:rPr>
        <w:t>万元减少</w:t>
      </w:r>
      <w:r>
        <w:rPr>
          <w:rFonts w:hint="eastAsia" w:ascii="仿宋_GB2312" w:eastAsia="仿宋_GB2312"/>
          <w:sz w:val="28"/>
          <w:szCs w:val="28"/>
          <w:lang w:val="en-US" w:eastAsia="zh-CN"/>
        </w:rPr>
        <w:t>0.9</w:t>
      </w:r>
      <w:r>
        <w:rPr>
          <w:rFonts w:hint="eastAsia" w:ascii="仿宋_GB2312" w:eastAsia="仿宋_GB2312"/>
          <w:sz w:val="28"/>
          <w:szCs w:val="28"/>
        </w:rPr>
        <w:t>万元。其中，</w:t>
      </w:r>
      <w:r>
        <w:rPr>
          <w:rFonts w:hint="eastAsia" w:ascii="仿宋_GB2312" w:eastAsia="仿宋_GB2312"/>
          <w:sz w:val="28"/>
          <w:szCs w:val="28"/>
          <w:lang w:eastAsia="zh-CN"/>
        </w:rPr>
        <w:t>公</w:t>
      </w:r>
      <w:r>
        <w:rPr>
          <w:rFonts w:hint="eastAsia" w:ascii="仿宋_GB2312" w:eastAsia="仿宋_GB2312"/>
          <w:sz w:val="28"/>
          <w:szCs w:val="28"/>
        </w:rPr>
        <w:t>务用车购置费2024年度决算数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万元，主要原因：本年度</w:t>
      </w:r>
      <w:r>
        <w:rPr>
          <w:rFonts w:hint="eastAsia" w:ascii="仿宋_GB2312" w:eastAsia="仿宋_GB2312"/>
          <w:sz w:val="28"/>
          <w:szCs w:val="28"/>
          <w:lang w:eastAsia="zh-CN"/>
        </w:rPr>
        <w:t>无</w:t>
      </w:r>
      <w:r>
        <w:rPr>
          <w:rFonts w:hint="eastAsia" w:ascii="仿宋_GB2312" w:eastAsia="仿宋_GB2312"/>
          <w:sz w:val="28"/>
          <w:szCs w:val="28"/>
        </w:rPr>
        <w:t>新购车辆。202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val="en-US" w:eastAsia="zh-CN"/>
        </w:rPr>
        <w:t>0</w:t>
      </w:r>
      <w:bookmarkStart w:id="0" w:name="_GoBack"/>
      <w:bookmarkEnd w:id="0"/>
      <w:r>
        <w:rPr>
          <w:rFonts w:hint="eastAsia" w:ascii="仿宋_GB2312" w:eastAsia="仿宋_GB2312"/>
          <w:sz w:val="28"/>
          <w:szCs w:val="28"/>
        </w:rPr>
        <w:t>辆。公务用车运行维护费2024年度决算数</w:t>
      </w:r>
      <w:r>
        <w:rPr>
          <w:rFonts w:hint="eastAsia" w:ascii="仿宋_GB2312" w:eastAsia="仿宋_GB2312"/>
          <w:sz w:val="28"/>
          <w:szCs w:val="28"/>
          <w:lang w:val="en-US" w:eastAsia="zh-CN"/>
        </w:rPr>
        <w:t>1.8</w:t>
      </w:r>
      <w:r>
        <w:rPr>
          <w:rFonts w:hint="eastAsia" w:ascii="仿宋_GB2312" w:eastAsia="仿宋_GB2312"/>
          <w:sz w:val="28"/>
          <w:szCs w:val="28"/>
        </w:rPr>
        <w:t>万元，主要原因：原因是严格落实公务用车使用规定，认真贯彻厉行节约反对浪费的有关要求，本着节俭高效的原则,进一步加强公务用车管理,减少费用支出。2024年度公务用车保有量</w:t>
      </w:r>
      <w:r>
        <w:rPr>
          <w:rFonts w:hint="eastAsia" w:ascii="仿宋_GB2312" w:eastAsia="仿宋_GB2312"/>
          <w:sz w:val="28"/>
          <w:szCs w:val="28"/>
          <w:lang w:val="en-US" w:eastAsia="zh-CN"/>
        </w:rPr>
        <w:t>1</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北京市大兴区黄村镇第二中心幼儿园2024年不属于机关运行经费统计范围。</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82.31</w:t>
      </w:r>
      <w:r>
        <w:rPr>
          <w:rFonts w:hint="eastAsia" w:ascii="仿宋_GB2312" w:eastAsia="仿宋_GB2312"/>
          <w:sz w:val="28"/>
          <w:szCs w:val="28"/>
        </w:rPr>
        <w:t>万元，其中：政府采购货物支出0.65万元，政府采购工程支出0万元，政府采购服务支出81.66万元。授予中小企业合同金额81.58万元，占政府采购支出总额的99.11%，其中：授予小微企业合同金额0万元。</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12月31日，北京市大兴区黄村镇第二中心幼儿园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280" w:firstLineChars="100"/>
        <w:jc w:val="both"/>
        <w:rPr>
          <w:rFonts w:hint="eastAsia" w:ascii="仿宋" w:hAnsi="仿宋" w:eastAsia="仿宋" w:cs="仿宋"/>
          <w:b w:val="0"/>
          <w:bCs w:val="0"/>
          <w:sz w:val="28"/>
          <w:szCs w:val="28"/>
        </w:rPr>
      </w:pPr>
      <w:r>
        <w:rPr>
          <w:rFonts w:hint="eastAsia" w:ascii="仿宋" w:hAnsi="仿宋" w:eastAsia="仿宋" w:cs="仿宋"/>
          <w:b w:val="0"/>
          <w:bCs w:val="0"/>
          <w:sz w:val="28"/>
          <w:szCs w:val="28"/>
        </w:rPr>
        <w:t>7.社会保障和就业支出(类)行政事业单位养老支出(款)行政单位离退休(项):反映行政单位(包括实行公务员管理的事业单位)开支的离退休经费。</w:t>
      </w:r>
    </w:p>
    <w:p>
      <w:pPr>
        <w:ind w:firstLine="280" w:firstLineChars="100"/>
        <w:jc w:val="both"/>
        <w:rPr>
          <w:rFonts w:hint="eastAsia" w:ascii="仿宋" w:hAnsi="仿宋" w:eastAsia="仿宋" w:cs="仿宋"/>
          <w:b w:val="0"/>
          <w:bCs w:val="0"/>
          <w:sz w:val="28"/>
          <w:szCs w:val="28"/>
        </w:rPr>
      </w:pPr>
      <w:r>
        <w:rPr>
          <w:rFonts w:hint="eastAsia" w:ascii="仿宋" w:hAnsi="仿宋" w:eastAsia="仿宋" w:cs="仿宋"/>
          <w:b w:val="0"/>
          <w:bCs w:val="0"/>
          <w:sz w:val="28"/>
          <w:szCs w:val="28"/>
        </w:rPr>
        <w:t>8.社会保障和就业支出(类)行政事业单位养老支出(款)机关事业单位基本养老保险缴费支出(项):反映机关事业单位实施养老保险制度由单位缴纳的基本养老保险支出。</w:t>
      </w:r>
    </w:p>
    <w:p>
      <w:pPr>
        <w:ind w:firstLine="280" w:firstLineChars="100"/>
        <w:jc w:val="both"/>
        <w:rPr>
          <w:rFonts w:hint="eastAsia" w:ascii="仿宋" w:hAnsi="仿宋" w:eastAsia="仿宋" w:cs="仿宋"/>
          <w:b w:val="0"/>
          <w:bCs w:val="0"/>
          <w:sz w:val="28"/>
          <w:szCs w:val="28"/>
        </w:rPr>
      </w:pPr>
      <w:r>
        <w:rPr>
          <w:rFonts w:hint="eastAsia" w:ascii="仿宋" w:hAnsi="仿宋" w:eastAsia="仿宋" w:cs="仿宋"/>
          <w:b w:val="0"/>
          <w:bCs w:val="0"/>
          <w:sz w:val="28"/>
          <w:szCs w:val="28"/>
        </w:rPr>
        <w:t>9.社会保障和就业支出(类)行政事业单位养老支出(款)机关事业单位职业年金缴费支出(项):反映机关事业单位实施养老保险制度由单位实际缴纳的职业年金支出。。</w:t>
      </w:r>
    </w:p>
    <w:p>
      <w:pPr>
        <w:ind w:firstLine="280" w:firstLineChars="100"/>
        <w:jc w:val="both"/>
        <w:rPr>
          <w:rFonts w:hint="eastAsia" w:ascii="黑体" w:eastAsia="黑体"/>
          <w:sz w:val="28"/>
          <w:szCs w:val="28"/>
        </w:rPr>
      </w:pPr>
      <w:r>
        <w:rPr>
          <w:rFonts w:hint="eastAsia" w:ascii="仿宋" w:hAnsi="仿宋" w:eastAsia="仿宋" w:cs="仿宋"/>
          <w:b w:val="0"/>
          <w:bCs w:val="0"/>
          <w:sz w:val="28"/>
          <w:szCs w:val="28"/>
        </w:rPr>
        <w:t>10.社会保障和就业支出(类)行政事业单位养老支出(款)其他行政事业单位养老支出(项):反映除上述项目以外其他用于行政事业单位养老方面的支出。</w:t>
      </w: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spacing w:line="480" w:lineRule="exact"/>
        <w:ind w:firstLine="5400" w:firstLineChars="1800"/>
      </w:pPr>
      <w:r>
        <w:rPr>
          <w:rFonts w:hint="eastAsia" w:ascii="仿宋" w:hAnsi="仿宋" w:eastAsia="仿宋" w:cs="仿宋"/>
          <w:b/>
          <w:bCs/>
          <w:kern w:val="0"/>
          <w:sz w:val="30"/>
          <w:szCs w:val="30"/>
          <w:lang w:val="en-US" w:eastAsia="zh-CN" w:bidi="ar-SA"/>
        </w:rPr>
        <w:t>项目支出绩效自评表（详见附件）</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8690600"/>
    <w:rsid w:val="09075320"/>
    <w:rsid w:val="0BA148CA"/>
    <w:rsid w:val="0C1165C4"/>
    <w:rsid w:val="0D6D544B"/>
    <w:rsid w:val="0DB627F4"/>
    <w:rsid w:val="0DD136FE"/>
    <w:rsid w:val="0F542F2C"/>
    <w:rsid w:val="0F8E2C57"/>
    <w:rsid w:val="1059665E"/>
    <w:rsid w:val="10AC13BA"/>
    <w:rsid w:val="12591D97"/>
    <w:rsid w:val="145A6C1B"/>
    <w:rsid w:val="14B73493"/>
    <w:rsid w:val="167A2FF9"/>
    <w:rsid w:val="1764587C"/>
    <w:rsid w:val="18581C69"/>
    <w:rsid w:val="1AEC0734"/>
    <w:rsid w:val="1DEF20B0"/>
    <w:rsid w:val="1FF7AB17"/>
    <w:rsid w:val="214243FA"/>
    <w:rsid w:val="21AD613C"/>
    <w:rsid w:val="22467189"/>
    <w:rsid w:val="23132AEF"/>
    <w:rsid w:val="257A14F5"/>
    <w:rsid w:val="27196C26"/>
    <w:rsid w:val="29EF086F"/>
    <w:rsid w:val="2BC34C59"/>
    <w:rsid w:val="2EFFE297"/>
    <w:rsid w:val="301437CA"/>
    <w:rsid w:val="349D1F0A"/>
    <w:rsid w:val="34DD0473"/>
    <w:rsid w:val="3A8E35DC"/>
    <w:rsid w:val="3C684897"/>
    <w:rsid w:val="3CF91D3B"/>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Sheet1!$A$2:$A$3</c:f>
              <c:strCache>
                <c:ptCount val="2"/>
                <c:pt idx="0">
                  <c:v>财政拨款收入</c:v>
                </c:pt>
                <c:pt idx="1">
                  <c:v>年初结转和结余</c:v>
                </c:pt>
              </c:strCache>
            </c:strRef>
          </c:cat>
          <c:val>
            <c:numRef>
              <c:f>Sheet1!$B$2:$B$3</c:f>
              <c:numCache>
                <c:formatCode>General</c:formatCode>
                <c:ptCount val="2"/>
                <c:pt idx="0">
                  <c:v>3061.12</c:v>
                </c:pt>
                <c:pt idx="1">
                  <c:v>169.9</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Lbls>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Sheet0!$A$2:$A$3</c:f>
              <c:strCache>
                <c:ptCount val="2"/>
                <c:pt idx="0">
                  <c:v>基本支出</c:v>
                </c:pt>
                <c:pt idx="1">
                  <c:v>项目支出</c:v>
                </c:pt>
              </c:strCache>
            </c:strRef>
          </c:cat>
          <c:val>
            <c:numRef>
              <c:f>Sheet0!$B$2:$B$3</c:f>
              <c:numCache>
                <c:formatCode>General</c:formatCode>
                <c:ptCount val="2"/>
                <c:pt idx="0">
                  <c:v>2384.18</c:v>
                </c:pt>
                <c:pt idx="1">
                  <c:v>846.84</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3569</Words>
  <Characters>4190</Characters>
  <Lines>44</Lines>
  <Paragraphs>12</Paragraphs>
  <TotalTime>0</TotalTime>
  <ScaleCrop>false</ScaleCrop>
  <LinksUpToDate>false</LinksUpToDate>
  <CharactersWithSpaces>4210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pc</cp:lastModifiedBy>
  <cp:lastPrinted>2020-08-09T03:39:00Z</cp:lastPrinted>
  <dcterms:modified xsi:type="dcterms:W3CDTF">2025-11-06T07:34:01Z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A7F78878FB63AC2F75B4B7682BD79272</vt:lpwstr>
  </property>
  <property fmtid="{D5CDD505-2E9C-101B-9397-08002B2CF9AE}" pid="4" name="KSOTemplateDocerSaveRecord">
    <vt:lpwstr>eyJoZGlkIjoiODE3NmNkYTQxMDgxOWQ0OGRhYTE1NWVmMjRhZDU1YjciLCJ1c2VySWQiOiI1NDkyMTYwMTkifQ==</vt:lpwstr>
  </property>
</Properties>
</file>