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DEF" w:rsidRDefault="00EA3DEF">
      <w:pPr>
        <w:jc w:val="center"/>
        <w:rPr>
          <w:rFonts w:ascii="仿宋_GB2312" w:eastAsia="仿宋_GB2312"/>
          <w:b/>
          <w:sz w:val="32"/>
          <w:szCs w:val="32"/>
        </w:rPr>
      </w:pPr>
    </w:p>
    <w:p w:rsidR="00EA3DEF" w:rsidRDefault="00EA3DEF">
      <w:pPr>
        <w:jc w:val="center"/>
        <w:rPr>
          <w:rFonts w:ascii="黑体" w:eastAsia="黑体"/>
          <w:sz w:val="72"/>
          <w:szCs w:val="72"/>
        </w:rPr>
      </w:pPr>
    </w:p>
    <w:p w:rsidR="00EA3DEF" w:rsidRDefault="00EA3DEF">
      <w:pPr>
        <w:jc w:val="center"/>
        <w:rPr>
          <w:rFonts w:ascii="黑体" w:eastAsia="黑体"/>
          <w:sz w:val="72"/>
          <w:szCs w:val="72"/>
        </w:rPr>
      </w:pPr>
    </w:p>
    <w:p w:rsidR="00EA3DEF" w:rsidRDefault="00EA3DEF">
      <w:pPr>
        <w:jc w:val="center"/>
        <w:rPr>
          <w:rFonts w:ascii="黑体" w:eastAsia="黑体"/>
          <w:sz w:val="72"/>
          <w:szCs w:val="72"/>
        </w:rPr>
      </w:pPr>
    </w:p>
    <w:p w:rsidR="00EA3DEF" w:rsidRDefault="00EA3DEF">
      <w:pPr>
        <w:jc w:val="center"/>
        <w:rPr>
          <w:rFonts w:ascii="黑体" w:eastAsia="黑体"/>
          <w:sz w:val="72"/>
          <w:szCs w:val="72"/>
        </w:rPr>
      </w:pPr>
    </w:p>
    <w:p w:rsidR="00EA3DEF" w:rsidRDefault="001B3C28">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EA3DEF" w:rsidRDefault="00EA3DEF">
      <w:pPr>
        <w:jc w:val="center"/>
        <w:rPr>
          <w:rFonts w:ascii="黑体" w:eastAsia="黑体"/>
          <w:sz w:val="52"/>
          <w:szCs w:val="52"/>
        </w:rPr>
      </w:pPr>
    </w:p>
    <w:p w:rsidR="00EA3DEF" w:rsidRDefault="00EA3DEF">
      <w:pPr>
        <w:jc w:val="center"/>
        <w:rPr>
          <w:rFonts w:ascii="黑体" w:eastAsia="黑体"/>
          <w:sz w:val="52"/>
          <w:szCs w:val="52"/>
        </w:rPr>
      </w:pPr>
    </w:p>
    <w:p w:rsidR="00EA3DEF" w:rsidRDefault="00EA3DEF">
      <w:pPr>
        <w:jc w:val="center"/>
        <w:rPr>
          <w:rFonts w:ascii="黑体" w:eastAsia="黑体"/>
          <w:sz w:val="52"/>
          <w:szCs w:val="52"/>
        </w:rPr>
      </w:pPr>
    </w:p>
    <w:p w:rsidR="00EA3DEF" w:rsidRDefault="00EA3DEF">
      <w:pPr>
        <w:jc w:val="center"/>
        <w:rPr>
          <w:rFonts w:ascii="黑体" w:eastAsia="黑体"/>
          <w:sz w:val="52"/>
          <w:szCs w:val="52"/>
        </w:rPr>
      </w:pPr>
    </w:p>
    <w:p w:rsidR="00EA3DEF" w:rsidRDefault="00EA3DEF">
      <w:pPr>
        <w:jc w:val="center"/>
        <w:rPr>
          <w:rFonts w:ascii="黑体" w:eastAsia="黑体"/>
          <w:sz w:val="32"/>
          <w:szCs w:val="32"/>
        </w:rPr>
      </w:pPr>
    </w:p>
    <w:p w:rsidR="00EA3DEF" w:rsidRDefault="001B3C28">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EA3DEF" w:rsidRDefault="00EA3DEF">
      <w:pPr>
        <w:spacing w:line="500" w:lineRule="exact"/>
        <w:ind w:firstLine="645"/>
        <w:jc w:val="center"/>
        <w:rPr>
          <w:rFonts w:ascii="宋体" w:hAnsi="宋体" w:cs="宋体"/>
          <w:b/>
          <w:bCs/>
          <w:kern w:val="0"/>
          <w:sz w:val="36"/>
          <w:szCs w:val="36"/>
        </w:rPr>
      </w:pPr>
    </w:p>
    <w:p w:rsidR="00EA3DEF" w:rsidRDefault="001B3C2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EA3DEF" w:rsidRDefault="001B3C28">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EA3DEF" w:rsidRDefault="001B3C2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EA3DEF" w:rsidRDefault="001B3C2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EA3DEF" w:rsidRDefault="001B3C28">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EA3DEF" w:rsidRDefault="001B3C28">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EA3DEF" w:rsidRDefault="00EA3DEF">
      <w:pPr>
        <w:tabs>
          <w:tab w:val="center" w:pos="6979"/>
        </w:tabs>
        <w:spacing w:beforeLines="50" w:before="156" w:afterLines="50" w:after="156"/>
        <w:jc w:val="center"/>
        <w:rPr>
          <w:rFonts w:ascii="宋体" w:hAnsi="宋体" w:cs="宋体"/>
          <w:b/>
          <w:bCs/>
          <w:spacing w:val="40"/>
          <w:kern w:val="0"/>
          <w:sz w:val="32"/>
          <w:szCs w:val="32"/>
        </w:rPr>
      </w:pPr>
    </w:p>
    <w:p w:rsidR="00EA3DEF" w:rsidRDefault="00EA3DEF">
      <w:pPr>
        <w:tabs>
          <w:tab w:val="center" w:pos="6979"/>
        </w:tabs>
        <w:spacing w:beforeLines="50" w:before="156" w:afterLines="50" w:after="156"/>
        <w:jc w:val="center"/>
        <w:rPr>
          <w:rFonts w:ascii="宋体" w:hAnsi="宋体" w:cs="宋体"/>
          <w:b/>
          <w:bCs/>
          <w:spacing w:val="40"/>
          <w:kern w:val="0"/>
          <w:sz w:val="32"/>
          <w:szCs w:val="32"/>
        </w:rPr>
      </w:pPr>
    </w:p>
    <w:p w:rsidR="00EA3DEF" w:rsidRDefault="00EA3DEF">
      <w:pPr>
        <w:tabs>
          <w:tab w:val="center" w:pos="6979"/>
        </w:tabs>
        <w:spacing w:beforeLines="50" w:before="156" w:afterLines="50" w:after="156"/>
        <w:jc w:val="center"/>
        <w:rPr>
          <w:rFonts w:ascii="宋体" w:hAnsi="宋体" w:cs="宋体"/>
          <w:b/>
          <w:bCs/>
          <w:spacing w:val="40"/>
          <w:kern w:val="0"/>
          <w:sz w:val="32"/>
          <w:szCs w:val="32"/>
        </w:rPr>
      </w:pPr>
    </w:p>
    <w:p w:rsidR="00EA3DEF" w:rsidRDefault="00EA3DEF">
      <w:pPr>
        <w:tabs>
          <w:tab w:val="center" w:pos="6979"/>
        </w:tabs>
        <w:spacing w:beforeLines="50" w:before="156" w:afterLines="50" w:after="156"/>
        <w:jc w:val="center"/>
        <w:rPr>
          <w:rFonts w:ascii="宋体" w:hAnsi="宋体" w:cs="宋体"/>
          <w:b/>
          <w:bCs/>
          <w:spacing w:val="40"/>
          <w:kern w:val="0"/>
          <w:sz w:val="32"/>
          <w:szCs w:val="32"/>
        </w:rPr>
      </w:pPr>
    </w:p>
    <w:p w:rsidR="00EA3DEF" w:rsidRDefault="00EA3DEF">
      <w:pPr>
        <w:tabs>
          <w:tab w:val="center" w:pos="6979"/>
        </w:tabs>
        <w:spacing w:beforeLines="50" w:before="156" w:afterLines="50" w:after="156"/>
        <w:jc w:val="center"/>
        <w:rPr>
          <w:rFonts w:ascii="宋体" w:hAnsi="宋体" w:cs="宋体"/>
          <w:b/>
          <w:bCs/>
          <w:spacing w:val="40"/>
          <w:kern w:val="0"/>
          <w:sz w:val="32"/>
          <w:szCs w:val="32"/>
        </w:rPr>
      </w:pPr>
    </w:p>
    <w:p w:rsidR="00EA3DEF" w:rsidRDefault="001B3C28">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EA3DEF" w:rsidRDefault="001B3C28">
      <w:pPr>
        <w:pStyle w:val="2"/>
        <w:rPr>
          <w:b w:val="0"/>
          <w:bCs w:val="0"/>
        </w:rPr>
        <w:sectPr w:rsidR="00EA3DEF">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EA3DEF" w:rsidRDefault="001B3C28">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EA3DEF" w:rsidRDefault="00E24FC4" w:rsidP="00E24FC4">
      <w:pPr>
        <w:tabs>
          <w:tab w:val="center" w:pos="6979"/>
        </w:tabs>
        <w:spacing w:line="580" w:lineRule="exact"/>
        <w:ind w:firstLineChars="196" w:firstLine="551"/>
        <w:rPr>
          <w:rFonts w:ascii="仿宋_GB2312" w:eastAsia="仿宋_GB2312"/>
          <w:sz w:val="28"/>
          <w:szCs w:val="28"/>
        </w:rPr>
      </w:pPr>
      <w:r>
        <w:rPr>
          <w:rFonts w:ascii="黑体" w:eastAsia="黑体" w:hint="eastAsia"/>
          <w:b/>
          <w:sz w:val="28"/>
          <w:szCs w:val="28"/>
        </w:rPr>
        <w:t>一、</w:t>
      </w:r>
      <w:r w:rsidR="001B3C28">
        <w:rPr>
          <w:rFonts w:ascii="黑体" w:eastAsia="黑体" w:hint="eastAsia"/>
          <w:b/>
          <w:sz w:val="28"/>
          <w:szCs w:val="28"/>
        </w:rPr>
        <w:t>单位基本情况</w:t>
      </w:r>
    </w:p>
    <w:p w:rsidR="00EA3DEF" w:rsidRDefault="001B3C28">
      <w:pPr>
        <w:spacing w:line="560" w:lineRule="exact"/>
        <w:ind w:firstLine="600"/>
        <w:rPr>
          <w:rFonts w:ascii="仿宋_GB2312" w:eastAsia="仿宋_GB2312"/>
          <w:sz w:val="28"/>
          <w:szCs w:val="28"/>
        </w:rPr>
      </w:pPr>
      <w:r>
        <w:rPr>
          <w:rFonts w:ascii="仿宋_GB2312" w:eastAsia="仿宋_GB2312" w:hint="eastAsia"/>
          <w:sz w:val="28"/>
          <w:szCs w:val="28"/>
        </w:rPr>
        <w:t>1．主要职能。</w:t>
      </w:r>
    </w:p>
    <w:p w:rsidR="00EA3DEF" w:rsidRDefault="001B3C28">
      <w:pPr>
        <w:spacing w:line="560" w:lineRule="exact"/>
        <w:ind w:firstLine="600"/>
        <w:rPr>
          <w:rFonts w:ascii="仿宋_GB2312" w:eastAsia="仿宋_GB2312"/>
          <w:sz w:val="28"/>
          <w:szCs w:val="28"/>
        </w:rPr>
      </w:pPr>
      <w:r>
        <w:rPr>
          <w:rFonts w:ascii="仿宋_GB2312" w:eastAsia="仿宋_GB2312" w:hint="eastAsia"/>
          <w:sz w:val="28"/>
          <w:szCs w:val="28"/>
        </w:rPr>
        <w:t>全面贯彻国家教育方针，培养学生的创新精神与实践能力，使之成为社会主义事业的建设者和接班人。负责所属服务片学生义务教育阶段中小学教育教学工作。</w:t>
      </w:r>
    </w:p>
    <w:p w:rsidR="00EA3DEF" w:rsidRDefault="001B3C28">
      <w:pPr>
        <w:spacing w:line="560" w:lineRule="exact"/>
        <w:ind w:firstLine="600"/>
        <w:rPr>
          <w:rFonts w:ascii="仿宋_GB2312" w:eastAsia="仿宋_GB2312"/>
          <w:sz w:val="28"/>
          <w:szCs w:val="28"/>
        </w:rPr>
      </w:pPr>
      <w:r>
        <w:rPr>
          <w:rFonts w:ascii="仿宋_GB2312" w:eastAsia="仿宋_GB2312" w:hint="eastAsia"/>
          <w:sz w:val="28"/>
          <w:szCs w:val="28"/>
        </w:rPr>
        <w:t>2．机构情况。</w:t>
      </w:r>
    </w:p>
    <w:p w:rsidR="00EA3DEF" w:rsidRDefault="001B3C28">
      <w:pPr>
        <w:spacing w:line="560" w:lineRule="exact"/>
        <w:ind w:firstLine="600"/>
        <w:rPr>
          <w:rFonts w:ascii="仿宋_GB2312" w:eastAsia="仿宋_GB2312"/>
          <w:sz w:val="28"/>
          <w:szCs w:val="28"/>
        </w:rPr>
      </w:pPr>
      <w:r>
        <w:rPr>
          <w:rFonts w:ascii="仿宋_GB2312" w:eastAsia="仿宋_GB2312" w:hint="eastAsia"/>
          <w:sz w:val="28"/>
          <w:szCs w:val="28"/>
        </w:rPr>
        <w:t>内设机构：工会、行政办、教务处、科研办、总务处、少先队办、德育处、安保办。</w:t>
      </w:r>
    </w:p>
    <w:p w:rsidR="00EA3DEF" w:rsidRDefault="001B3C28" w:rsidP="00E24FC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二、收入支出决算总体情况说明</w:t>
      </w:r>
    </w:p>
    <w:p w:rsidR="00543B3E" w:rsidRDefault="00543B3E">
      <w:pPr>
        <w:tabs>
          <w:tab w:val="center" w:pos="6979"/>
        </w:tabs>
        <w:spacing w:line="580" w:lineRule="exact"/>
        <w:ind w:firstLine="570"/>
        <w:rPr>
          <w:rFonts w:ascii="仿宋_GB2312" w:eastAsia="仿宋_GB2312"/>
          <w:sz w:val="28"/>
          <w:szCs w:val="28"/>
        </w:rPr>
      </w:pPr>
      <w:bookmarkStart w:id="0" w:name="OLE_LINK5"/>
      <w:bookmarkStart w:id="1" w:name="OLE_LINK12"/>
      <w:bookmarkStart w:id="2" w:name="OLE_LINK13"/>
      <w:r w:rsidRPr="00543B3E">
        <w:rPr>
          <w:rFonts w:ascii="仿宋_GB2312" w:eastAsia="仿宋_GB2312" w:hint="eastAsia"/>
          <w:sz w:val="28"/>
          <w:szCs w:val="28"/>
        </w:rPr>
        <w:t>2024年度收、支总计4994.6</w:t>
      </w:r>
      <w:r>
        <w:rPr>
          <w:rFonts w:ascii="仿宋_GB2312" w:eastAsia="仿宋_GB2312" w:hint="eastAsia"/>
          <w:sz w:val="28"/>
          <w:szCs w:val="28"/>
        </w:rPr>
        <w:t>万元，比上年增加619.17</w:t>
      </w:r>
      <w:r w:rsidRPr="00543B3E">
        <w:rPr>
          <w:rFonts w:ascii="仿宋_GB2312" w:eastAsia="仿宋_GB2312" w:hint="eastAsia"/>
          <w:sz w:val="28"/>
          <w:szCs w:val="28"/>
        </w:rPr>
        <w:t>万元，增长</w:t>
      </w:r>
      <w:r>
        <w:rPr>
          <w:rFonts w:ascii="仿宋_GB2312" w:eastAsia="仿宋_GB2312" w:hint="eastAsia"/>
          <w:sz w:val="28"/>
          <w:szCs w:val="28"/>
        </w:rPr>
        <w:t>14.15</w:t>
      </w:r>
      <w:r w:rsidRPr="00543B3E">
        <w:rPr>
          <w:rFonts w:ascii="仿宋_GB2312" w:eastAsia="仿宋_GB2312" w:hint="eastAsia"/>
          <w:sz w:val="28"/>
          <w:szCs w:val="28"/>
        </w:rPr>
        <w:t>%。</w:t>
      </w:r>
      <w:bookmarkEnd w:id="0"/>
      <w:bookmarkEnd w:id="1"/>
      <w:bookmarkEnd w:id="2"/>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2024年度收入总计4646.23万元，比上年4205.54万元 增加440.69万元，增长10.48%。主要原因：增加教学补助及学生生活补助、补发房补等原因造成的支出增加。</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1.财政拨款收入4646.23万元，占收入合计的100%。其中：一般公共预算财政拨款收入4646.23万元，占收入合计的100%；政府性基金预算财政拨款收入0万元0；国有资本经营预算财政拨款收入0万元0。</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2.上级补助收入0万元。</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3.事业收入0万元。</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4.经营收入0万元。</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5.附属单位上缴收入0万元。</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6.其他收入0万元。</w:t>
      </w:r>
    </w:p>
    <w:p w:rsidR="00EA3DEF" w:rsidRDefault="001B3C28">
      <w:pPr>
        <w:pStyle w:val="2"/>
        <w:jc w:val="center"/>
      </w:pPr>
      <w:r>
        <w:rPr>
          <w:rFonts w:ascii="仿宋_GB2312" w:eastAsia="仿宋_GB2312" w:hint="eastAsia"/>
          <w:color w:val="000000"/>
          <w:sz w:val="32"/>
        </w:rPr>
        <w:t>图1：收入决算</w:t>
      </w:r>
    </w:p>
    <w:p w:rsidR="00EA3DEF" w:rsidRDefault="001B3C28">
      <w:pPr>
        <w:pStyle w:val="2"/>
        <w:jc w:val="center"/>
        <w:rPr>
          <w:rFonts w:ascii="仿宋_GB2312" w:eastAsia="仿宋_GB2312"/>
          <w:color w:val="000000"/>
          <w:sz w:val="32"/>
        </w:rPr>
      </w:pPr>
      <w:r>
        <w:rPr>
          <w:noProof/>
        </w:rPr>
        <w:drawing>
          <wp:inline distT="0" distB="0" distL="0" distR="0">
            <wp:extent cx="4572000" cy="2743200"/>
            <wp:effectExtent l="0" t="0" r="19050" b="1905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A3DEF" w:rsidRDefault="00EA3DEF">
      <w:pPr>
        <w:tabs>
          <w:tab w:val="center" w:pos="6979"/>
        </w:tabs>
        <w:spacing w:line="580" w:lineRule="exact"/>
        <w:ind w:firstLine="570"/>
        <w:rPr>
          <w:rFonts w:ascii="仿宋_GB2312" w:eastAsia="仿宋_GB2312"/>
          <w:sz w:val="28"/>
          <w:szCs w:val="28"/>
        </w:rPr>
      </w:pP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EA3DEF" w:rsidRDefault="001B3C28">
      <w:pPr>
        <w:tabs>
          <w:tab w:val="center" w:pos="6979"/>
        </w:tabs>
        <w:spacing w:line="580" w:lineRule="exact"/>
        <w:ind w:firstLine="570"/>
        <w:rPr>
          <w:rFonts w:ascii="仿宋_GB2312" w:eastAsia="仿宋_GB2312" w:hAnsi="仿宋" w:cs="仿宋"/>
          <w:sz w:val="32"/>
          <w:szCs w:val="32"/>
        </w:rPr>
      </w:pPr>
      <w:r>
        <w:rPr>
          <w:rFonts w:ascii="仿宋_GB2312" w:eastAsia="仿宋_GB2312" w:hint="eastAsia"/>
          <w:sz w:val="28"/>
          <w:szCs w:val="28"/>
        </w:rPr>
        <w:t>2024年度支出总计4994.61万元，比上年</w:t>
      </w:r>
      <w:r>
        <w:rPr>
          <w:rFonts w:ascii="仿宋_GB2312" w:eastAsia="仿宋_GB2312" w:hAnsi="仿宋" w:hint="eastAsia"/>
          <w:sz w:val="32"/>
          <w:szCs w:val="32"/>
        </w:rPr>
        <w:t>4375.44万元</w:t>
      </w:r>
      <w:r>
        <w:rPr>
          <w:rFonts w:ascii="仿宋_GB2312" w:eastAsia="仿宋_GB2312" w:hint="eastAsia"/>
          <w:sz w:val="28"/>
          <w:szCs w:val="28"/>
        </w:rPr>
        <w:t>增加619.17万元，增长14.15%。主要原因：一是社保、</w:t>
      </w:r>
      <w:r>
        <w:rPr>
          <w:rFonts w:ascii="仿宋_GB2312" w:eastAsia="仿宋_GB2312" w:hint="eastAsia"/>
          <w:sz w:val="28"/>
          <w:szCs w:val="28"/>
        </w:rPr>
        <w:lastRenderedPageBreak/>
        <w:t>公积金基数增长、补发房补等原因造成的人员支出增加；二是</w:t>
      </w:r>
      <w:r>
        <w:rPr>
          <w:rFonts w:ascii="仿宋_GB2312" w:eastAsia="仿宋_GB2312" w:hAnsi="仿宋" w:cs="仿宋" w:hint="eastAsia"/>
          <w:sz w:val="32"/>
          <w:szCs w:val="32"/>
        </w:rPr>
        <w:t>是由于归集调入住房补贴补发经费，其中：</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bookmarkStart w:id="3" w:name="OLE_LINK9"/>
      <w:bookmarkStart w:id="4" w:name="OLE_LINK8"/>
      <w:r>
        <w:rPr>
          <w:rFonts w:ascii="仿宋_GB2312" w:eastAsia="仿宋_GB2312" w:hint="eastAsia"/>
          <w:sz w:val="28"/>
          <w:szCs w:val="28"/>
        </w:rPr>
        <w:t>基本支出4457.64万元</w:t>
      </w:r>
      <w:bookmarkEnd w:id="3"/>
      <w:bookmarkEnd w:id="4"/>
      <w:r>
        <w:rPr>
          <w:rFonts w:ascii="仿宋_GB2312" w:eastAsia="仿宋_GB2312" w:hint="eastAsia"/>
          <w:sz w:val="28"/>
          <w:szCs w:val="28"/>
        </w:rPr>
        <w:t>，占支出合计的89.25%。</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bookmarkStart w:id="5" w:name="OLE_LINK11"/>
      <w:bookmarkStart w:id="6" w:name="OLE_LINK10"/>
      <w:r>
        <w:rPr>
          <w:rFonts w:ascii="仿宋_GB2312" w:eastAsia="仿宋_GB2312" w:hint="eastAsia"/>
          <w:sz w:val="28"/>
          <w:szCs w:val="28"/>
        </w:rPr>
        <w:t>项目支出536.97万元</w:t>
      </w:r>
      <w:bookmarkEnd w:id="5"/>
      <w:bookmarkEnd w:id="6"/>
      <w:r>
        <w:rPr>
          <w:rFonts w:ascii="仿宋_GB2312" w:eastAsia="仿宋_GB2312" w:hint="eastAsia"/>
          <w:sz w:val="28"/>
          <w:szCs w:val="28"/>
        </w:rPr>
        <w:t>，占支出合计的10.75%。</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3.上缴上级支出0万元0。</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4.经营支出0万元0。</w:t>
      </w:r>
    </w:p>
    <w:p w:rsidR="00EA3DEF" w:rsidRDefault="001B3C2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5.对附属单位补助支出0万元0。</w:t>
      </w:r>
    </w:p>
    <w:p w:rsidR="00EA3DEF" w:rsidRDefault="001B3C28">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EA3DEF" w:rsidRDefault="001B3C28">
      <w:pPr>
        <w:jc w:val="center"/>
        <w:rPr>
          <w:rFonts w:ascii="黑体" w:eastAsia="黑体"/>
          <w:b/>
          <w:sz w:val="28"/>
          <w:szCs w:val="28"/>
        </w:rPr>
      </w:pPr>
      <w:r>
        <w:rPr>
          <w:noProof/>
        </w:rPr>
        <w:drawing>
          <wp:inline distT="0" distB="0" distL="0" distR="0">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t xml:space="preserve"> </w:t>
      </w:r>
    </w:p>
    <w:p w:rsidR="00EA3DEF" w:rsidRDefault="001B3C28">
      <w:pPr>
        <w:jc w:val="center"/>
        <w:rPr>
          <w:rFonts w:ascii="黑体" w:eastAsia="黑体"/>
          <w:b/>
          <w:sz w:val="28"/>
          <w:szCs w:val="28"/>
        </w:rPr>
      </w:pPr>
      <w:r>
        <w:t xml:space="preserve"> </w:t>
      </w:r>
    </w:p>
    <w:p w:rsidR="00EA3DEF" w:rsidRDefault="00EA3DEF">
      <w:pPr>
        <w:tabs>
          <w:tab w:val="center" w:pos="6979"/>
        </w:tabs>
        <w:spacing w:line="580" w:lineRule="exact"/>
        <w:ind w:firstLine="570"/>
        <w:rPr>
          <w:rFonts w:ascii="仿宋_GB2312" w:eastAsia="仿宋_GB2312"/>
          <w:sz w:val="28"/>
          <w:szCs w:val="28"/>
        </w:rPr>
      </w:pPr>
    </w:p>
    <w:p w:rsidR="00EA3DEF" w:rsidRDefault="001B3C28" w:rsidP="00E24FC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2024年度财政拨款收入总计4646.23万元，比上年4205.54万元 增加440.69万元，增长10.48%。主要原因：社保、公积金基数增长、补发房补等原因造成的人员支出增加。2024年度财政拨款支出总计4994.61万元，比上年4375.44万元增加619.17万元，增长14.15%。主要原因：一是社保、公积金基数增长、补发房补等原因造成的人员支出增加；二是是由于归集调入住房补贴补发经费。</w:t>
      </w:r>
    </w:p>
    <w:p w:rsidR="00EA3DEF" w:rsidRDefault="001B3C28" w:rsidP="00E24FC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（一）一般公共预算财政拨款支出决算总体情况</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2024年度一般公共预算财政拨款支出4994.61万元，主要用于以下方面：</w:t>
      </w:r>
      <w:bookmarkStart w:id="7" w:name="OLE_LINK16"/>
      <w:bookmarkStart w:id="8" w:name="OLE_LINK17"/>
      <w:r>
        <w:rPr>
          <w:rFonts w:ascii="仿宋_GB2312" w:eastAsia="仿宋_GB2312" w:hint="eastAsia"/>
          <w:sz w:val="28"/>
          <w:szCs w:val="28"/>
        </w:rPr>
        <w:t>教育支出3888.55万元</w:t>
      </w:r>
      <w:bookmarkEnd w:id="7"/>
      <w:bookmarkEnd w:id="8"/>
      <w:r>
        <w:rPr>
          <w:rFonts w:ascii="仿宋_GB2312" w:eastAsia="仿宋_GB2312" w:hint="eastAsia"/>
          <w:sz w:val="28"/>
          <w:szCs w:val="28"/>
        </w:rPr>
        <w:t>，</w:t>
      </w:r>
      <w:bookmarkStart w:id="9" w:name="OLE_LINK15"/>
      <w:bookmarkStart w:id="10" w:name="OLE_LINK14"/>
      <w:r>
        <w:rPr>
          <w:rFonts w:ascii="仿宋_GB2312" w:eastAsia="仿宋_GB2312" w:hint="eastAsia"/>
          <w:sz w:val="28"/>
          <w:szCs w:val="28"/>
        </w:rPr>
        <w:t>占本年财政拨款支出77.85%；</w:t>
      </w:r>
      <w:bookmarkEnd w:id="9"/>
      <w:bookmarkEnd w:id="10"/>
      <w:r>
        <w:rPr>
          <w:rFonts w:ascii="仿宋_GB2312" w:eastAsia="仿宋_GB2312" w:hint="eastAsia"/>
          <w:sz w:val="28"/>
          <w:szCs w:val="28"/>
        </w:rPr>
        <w:t>社会保障支出424.92万元，占本年财政拨款支出8.51%；卫生健康支出330.76万元，占本年财政拨款支出6.62%；节能环保支出2万元，住房保障支出348.37万元，占本年财政拨款支出77.85%；占本年财政拨款支出7.02%。</w:t>
      </w:r>
    </w:p>
    <w:p w:rsidR="00664AA2" w:rsidRDefault="00664AA2" w:rsidP="00664A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664AA2" w:rsidRDefault="00664AA2" w:rsidP="00664AA2">
      <w:pPr>
        <w:autoSpaceDE w:val="0"/>
        <w:autoSpaceDN w:val="0"/>
        <w:adjustRightInd w:val="0"/>
        <w:spacing w:line="580" w:lineRule="exact"/>
        <w:ind w:leftChars="266" w:left="839" w:hangingChars="100" w:hanging="280"/>
        <w:jc w:val="left"/>
        <w:rPr>
          <w:rFonts w:ascii="仿宋_GB2312" w:eastAsia="仿宋_GB2312"/>
          <w:sz w:val="28"/>
          <w:szCs w:val="28"/>
        </w:rPr>
      </w:pPr>
      <w:r>
        <w:rPr>
          <w:rFonts w:ascii="仿宋_GB2312" w:eastAsia="仿宋_GB2312" w:hint="eastAsia"/>
          <w:sz w:val="28"/>
          <w:szCs w:val="28"/>
        </w:rPr>
        <w:t>1.“教育支出”2024年度年初预算</w:t>
      </w:r>
      <w:r>
        <w:rPr>
          <w:rFonts w:ascii="仿宋_GB2312" w:eastAsia="仿宋_GB2312" w:hAnsi="文星标宋" w:cs="宋体" w:hint="eastAsia"/>
          <w:bCs/>
          <w:color w:val="000000"/>
          <w:kern w:val="0"/>
          <w:sz w:val="28"/>
          <w:szCs w:val="28"/>
        </w:rPr>
        <w:t>3713.02</w:t>
      </w:r>
      <w:r>
        <w:rPr>
          <w:rFonts w:ascii="仿宋_GB2312" w:eastAsia="仿宋_GB2312" w:hint="eastAsia"/>
          <w:sz w:val="28"/>
          <w:szCs w:val="28"/>
        </w:rPr>
        <w:t>万元，2024年度决算3888.55万元，完成年初预算的104.72%。其中：“普       通教育”2024年度年初预算</w:t>
      </w:r>
      <w:r>
        <w:rPr>
          <w:rFonts w:ascii="仿宋_GB2312" w:eastAsia="仿宋_GB2312" w:hAnsi="文星标宋" w:cs="宋体" w:hint="eastAsia"/>
          <w:bCs/>
          <w:color w:val="000000"/>
          <w:kern w:val="0"/>
          <w:sz w:val="28"/>
          <w:szCs w:val="28"/>
        </w:rPr>
        <w:t>3713.02</w:t>
      </w:r>
      <w:r>
        <w:rPr>
          <w:rFonts w:ascii="仿宋_GB2312" w:eastAsia="仿宋_GB2312" w:hint="eastAsia"/>
          <w:sz w:val="28"/>
          <w:szCs w:val="28"/>
        </w:rPr>
        <w:t>万元，2024年度决算3888.55万元，完成年初预算的104.42%。主要原因：</w:t>
      </w:r>
      <w:r>
        <w:rPr>
          <w:rFonts w:ascii="仿宋_GB2312" w:eastAsia="仿宋_GB2312" w:hAnsi="文星标宋" w:cs="宋体" w:hint="eastAsia"/>
          <w:bCs/>
          <w:kern w:val="0"/>
          <w:sz w:val="28"/>
          <w:szCs w:val="28"/>
        </w:rPr>
        <w:t>是上年绩效工资</w:t>
      </w:r>
      <w:r>
        <w:rPr>
          <w:rFonts w:ascii="仿宋_GB2312" w:eastAsia="仿宋_GB2312" w:hAnsi="文星标宋" w:cs="宋体"/>
          <w:bCs/>
          <w:kern w:val="0"/>
          <w:sz w:val="28"/>
          <w:szCs w:val="28"/>
        </w:rPr>
        <w:t>改革</w:t>
      </w:r>
      <w:r>
        <w:rPr>
          <w:rFonts w:ascii="仿宋_GB2312" w:eastAsia="仿宋_GB2312" w:hAnsi="文星标宋" w:cs="宋体" w:hint="eastAsia"/>
          <w:bCs/>
          <w:kern w:val="0"/>
          <w:sz w:val="28"/>
          <w:szCs w:val="28"/>
        </w:rPr>
        <w:t>有补发部分</w:t>
      </w:r>
      <w:r>
        <w:rPr>
          <w:rFonts w:ascii="仿宋_GB2312" w:eastAsia="仿宋_GB2312" w:hint="eastAsia"/>
          <w:sz w:val="28"/>
          <w:szCs w:val="28"/>
        </w:rPr>
        <w:t>。</w:t>
      </w:r>
    </w:p>
    <w:p w:rsidR="00664AA2" w:rsidRPr="006141E6" w:rsidRDefault="00664AA2" w:rsidP="006141E6">
      <w:pPr>
        <w:spacing w:line="580" w:lineRule="exact"/>
        <w:ind w:leftChars="399" w:left="838"/>
        <w:rPr>
          <w:rFonts w:ascii="仿宋_GB2312" w:eastAsia="仿宋_GB2312"/>
          <w:sz w:val="28"/>
          <w:szCs w:val="28"/>
        </w:rPr>
      </w:pPr>
      <w:r>
        <w:rPr>
          <w:rFonts w:ascii="仿宋_GB2312" w:eastAsia="仿宋_GB2312"/>
          <w:sz w:val="28"/>
          <w:szCs w:val="28"/>
        </w:rPr>
        <w:lastRenderedPageBreak/>
        <w:t>“</w:t>
      </w:r>
      <w:r>
        <w:rPr>
          <w:rFonts w:ascii="仿宋_GB2312" w:eastAsia="仿宋_GB2312"/>
          <w:sz w:val="28"/>
          <w:szCs w:val="28"/>
        </w:rPr>
        <w:t>教育费附加安排的支出</w:t>
      </w:r>
      <w:r>
        <w:rPr>
          <w:rFonts w:ascii="仿宋_GB2312" w:eastAsia="仿宋_GB2312"/>
          <w:sz w:val="28"/>
          <w:szCs w:val="28"/>
        </w:rPr>
        <w:t>”</w:t>
      </w:r>
      <w:r>
        <w:rPr>
          <w:rFonts w:ascii="仿宋_GB2312" w:eastAsia="仿宋_GB2312" w:hint="eastAsia"/>
          <w:sz w:val="28"/>
          <w:szCs w:val="28"/>
        </w:rPr>
        <w:t>2024年度年初预算</w:t>
      </w:r>
      <w:r>
        <w:rPr>
          <w:rFonts w:ascii="仿宋_GB2312" w:eastAsia="仿宋_GB2312" w:hAnsi="文星标宋" w:cs="宋体" w:hint="eastAsia"/>
          <w:bCs/>
          <w:color w:val="000000"/>
          <w:kern w:val="0"/>
          <w:sz w:val="28"/>
          <w:szCs w:val="28"/>
        </w:rPr>
        <w:t>0</w:t>
      </w:r>
      <w:r>
        <w:rPr>
          <w:rFonts w:ascii="仿宋_GB2312" w:eastAsia="仿宋_GB2312" w:hint="eastAsia"/>
          <w:sz w:val="28"/>
          <w:szCs w:val="28"/>
        </w:rPr>
        <w:t>万元，2024年度决算22.59万元。主要原因：学生增加安排了相应的支出。</w:t>
      </w:r>
    </w:p>
    <w:p w:rsidR="00064616" w:rsidRDefault="00064616" w:rsidP="00064616">
      <w:pPr>
        <w:spacing w:line="580" w:lineRule="exact"/>
        <w:ind w:leftChars="266" w:left="839" w:hangingChars="100" w:hanging="280"/>
        <w:rPr>
          <w:rFonts w:ascii="仿宋_GB2312" w:eastAsia="仿宋_GB2312"/>
          <w:sz w:val="28"/>
          <w:szCs w:val="28"/>
        </w:rPr>
      </w:pPr>
      <w:r>
        <w:rPr>
          <w:rFonts w:ascii="仿宋_GB2312" w:eastAsia="仿宋_GB2312" w:hint="eastAsia"/>
          <w:sz w:val="28"/>
          <w:szCs w:val="28"/>
        </w:rPr>
        <w:t>2.“社会保障和就业支出”2024年度年初预算481.46万元，2024年度决算424.92万元，完成年初预算的88.26%。其中：“行政事业单位养老支出”2024年度年初预算481.46万元，2024年度决算424.92万元，完成年初预算的88.26%。主要原因：教师人数减少。</w:t>
      </w:r>
    </w:p>
    <w:p w:rsidR="00064616" w:rsidRDefault="00064616" w:rsidP="00064616">
      <w:pPr>
        <w:spacing w:line="580" w:lineRule="exact"/>
        <w:ind w:leftChars="266" w:left="839" w:hangingChars="100" w:hanging="280"/>
        <w:rPr>
          <w:rFonts w:ascii="仿宋_GB2312" w:eastAsia="仿宋_GB2312"/>
          <w:sz w:val="28"/>
          <w:szCs w:val="28"/>
        </w:rPr>
      </w:pPr>
      <w:r>
        <w:rPr>
          <w:rFonts w:ascii="仿宋_GB2312" w:eastAsia="仿宋_GB2312" w:hint="eastAsia"/>
          <w:sz w:val="28"/>
          <w:szCs w:val="28"/>
        </w:rPr>
        <w:t>3.“卫</w:t>
      </w:r>
      <w:r>
        <w:rPr>
          <w:rFonts w:ascii="仿宋_GB2312" w:eastAsia="仿宋_GB2312"/>
          <w:sz w:val="28"/>
          <w:szCs w:val="28"/>
        </w:rPr>
        <w:t>生健康支出</w:t>
      </w:r>
      <w:r>
        <w:rPr>
          <w:rFonts w:ascii="仿宋_GB2312" w:eastAsia="仿宋_GB2312" w:hint="eastAsia"/>
          <w:sz w:val="28"/>
          <w:szCs w:val="28"/>
        </w:rPr>
        <w:t>”2024年度年初预算362.3万元，2024年度决算330.76万元，完成年初预算的91.29%。其中：</w:t>
      </w:r>
    </w:p>
    <w:p w:rsidR="00064616" w:rsidRDefault="00064616" w:rsidP="00064616">
      <w:pPr>
        <w:spacing w:line="580" w:lineRule="exact"/>
        <w:ind w:leftChars="266" w:left="839" w:hangingChars="100" w:hanging="280"/>
        <w:rPr>
          <w:rFonts w:ascii="仿宋_GB2312" w:eastAsia="仿宋_GB2312"/>
          <w:sz w:val="28"/>
          <w:szCs w:val="28"/>
        </w:rPr>
      </w:pPr>
      <w:r>
        <w:rPr>
          <w:rFonts w:ascii="仿宋_GB2312" w:eastAsia="仿宋_GB2312" w:hint="eastAsia"/>
          <w:sz w:val="28"/>
          <w:szCs w:val="28"/>
        </w:rPr>
        <w:t>“行政事业单位医疗”2024年度年初预算362.3万元，2024年度决算330.76万元，完成年初预算的91.29%。主要原因：教师人数减少。</w:t>
      </w:r>
    </w:p>
    <w:p w:rsidR="00EA3DEF" w:rsidRPr="006141E6" w:rsidRDefault="001B3C28">
      <w:pPr>
        <w:ind w:firstLineChars="200" w:firstLine="560"/>
        <w:rPr>
          <w:rFonts w:ascii="仿宋_GB2312" w:eastAsia="仿宋_GB2312"/>
          <w:sz w:val="28"/>
          <w:szCs w:val="28"/>
        </w:rPr>
      </w:pPr>
      <w:r w:rsidRPr="006141E6">
        <w:rPr>
          <w:rFonts w:ascii="仿宋_GB2312" w:eastAsia="仿宋_GB2312" w:hint="eastAsia"/>
          <w:sz w:val="28"/>
          <w:szCs w:val="28"/>
        </w:rPr>
        <w:t xml:space="preserve">4. </w:t>
      </w:r>
      <w:r w:rsidR="00CB48C9">
        <w:rPr>
          <w:rFonts w:ascii="仿宋_GB2312" w:eastAsia="仿宋_GB2312" w:hint="eastAsia"/>
          <w:sz w:val="28"/>
          <w:szCs w:val="28"/>
        </w:rPr>
        <w:t>“</w:t>
      </w:r>
      <w:r w:rsidRPr="006141E6">
        <w:rPr>
          <w:rFonts w:ascii="仿宋_GB2312" w:eastAsia="仿宋_GB2312" w:hint="eastAsia"/>
          <w:sz w:val="28"/>
          <w:szCs w:val="28"/>
        </w:rPr>
        <w:t>节能环保</w:t>
      </w:r>
      <w:r w:rsidR="00CB48C9">
        <w:rPr>
          <w:rFonts w:ascii="仿宋_GB2312" w:eastAsia="仿宋_GB2312" w:hint="eastAsia"/>
          <w:sz w:val="28"/>
          <w:szCs w:val="28"/>
        </w:rPr>
        <w:t>”</w:t>
      </w:r>
      <w:bookmarkStart w:id="11" w:name="OLE_LINK3"/>
      <w:bookmarkStart w:id="12" w:name="OLE_LINK4"/>
      <w:r w:rsidR="00CB48C9">
        <w:rPr>
          <w:rFonts w:ascii="仿宋_GB2312" w:eastAsia="仿宋_GB2312" w:hint="eastAsia"/>
          <w:sz w:val="28"/>
          <w:szCs w:val="28"/>
        </w:rPr>
        <w:t>2024年初预算0万元，2024年决算</w:t>
      </w:r>
      <w:r w:rsidRPr="006141E6">
        <w:rPr>
          <w:rFonts w:ascii="仿宋_GB2312" w:eastAsia="仿宋_GB2312" w:hint="eastAsia"/>
          <w:sz w:val="28"/>
          <w:szCs w:val="28"/>
        </w:rPr>
        <w:t>支出2万元</w:t>
      </w:r>
      <w:bookmarkEnd w:id="11"/>
      <w:bookmarkEnd w:id="12"/>
      <w:r w:rsidRPr="006141E6">
        <w:rPr>
          <w:rFonts w:ascii="仿宋_GB2312" w:eastAsia="仿宋_GB2312" w:hint="eastAsia"/>
          <w:sz w:val="28"/>
          <w:szCs w:val="28"/>
        </w:rPr>
        <w:t>，</w:t>
      </w:r>
      <w:r w:rsidR="00CB48C9">
        <w:rPr>
          <w:rFonts w:ascii="仿宋_GB2312" w:eastAsia="仿宋_GB2312" w:hint="eastAsia"/>
          <w:sz w:val="28"/>
          <w:szCs w:val="28"/>
        </w:rPr>
        <w:t>其中</w:t>
      </w:r>
    </w:p>
    <w:p w:rsidR="00EA3DEF" w:rsidRPr="006141E6" w:rsidRDefault="001B3C28">
      <w:pPr>
        <w:ind w:firstLineChars="200" w:firstLine="560"/>
        <w:rPr>
          <w:rFonts w:ascii="仿宋_GB2312" w:eastAsia="仿宋_GB2312"/>
          <w:sz w:val="28"/>
          <w:szCs w:val="28"/>
        </w:rPr>
      </w:pPr>
      <w:r w:rsidRPr="006141E6">
        <w:rPr>
          <w:rFonts w:ascii="仿宋_GB2312" w:eastAsia="仿宋_GB2312" w:hint="eastAsia"/>
          <w:sz w:val="28"/>
          <w:szCs w:val="28"/>
        </w:rPr>
        <w:t>污染防治支出</w:t>
      </w:r>
      <w:r w:rsidR="00CB48C9">
        <w:rPr>
          <w:rFonts w:ascii="仿宋_GB2312" w:eastAsia="仿宋_GB2312" w:hint="eastAsia"/>
          <w:sz w:val="28"/>
          <w:szCs w:val="28"/>
        </w:rPr>
        <w:t>2024年初预算0万元，2024年决算</w:t>
      </w:r>
      <w:r w:rsidR="00CB48C9" w:rsidRPr="006141E6">
        <w:rPr>
          <w:rFonts w:ascii="仿宋_GB2312" w:eastAsia="仿宋_GB2312" w:hint="eastAsia"/>
          <w:sz w:val="28"/>
          <w:szCs w:val="28"/>
        </w:rPr>
        <w:t>支出2万元</w:t>
      </w:r>
      <w:r w:rsidR="00CB48C9">
        <w:rPr>
          <w:rFonts w:ascii="仿宋_GB2312" w:eastAsia="仿宋_GB2312" w:hint="eastAsia"/>
          <w:sz w:val="28"/>
          <w:szCs w:val="28"/>
        </w:rPr>
        <w:t>。主要原因</w:t>
      </w:r>
      <w:r w:rsidR="00162804" w:rsidRPr="00162804">
        <w:rPr>
          <w:rFonts w:ascii="仿宋_GB2312" w:eastAsia="仿宋_GB2312" w:hint="eastAsia"/>
          <w:sz w:val="28"/>
          <w:szCs w:val="28"/>
        </w:rPr>
        <w:t>年初预算没有安排此类支出</w:t>
      </w:r>
      <w:r w:rsidR="00CB48C9">
        <w:rPr>
          <w:rFonts w:ascii="仿宋_GB2312" w:eastAsia="仿宋_GB2312" w:hint="eastAsia"/>
          <w:sz w:val="28"/>
          <w:szCs w:val="28"/>
        </w:rPr>
        <w:t>。</w:t>
      </w:r>
    </w:p>
    <w:p w:rsidR="006141E6" w:rsidRDefault="006141E6" w:rsidP="006141E6">
      <w:pPr>
        <w:spacing w:line="580" w:lineRule="exact"/>
        <w:ind w:firstLineChars="200" w:firstLine="560"/>
        <w:rPr>
          <w:rFonts w:ascii="仿宋_GB2312" w:eastAsia="仿宋_GB2312"/>
          <w:sz w:val="28"/>
          <w:szCs w:val="28"/>
        </w:rPr>
      </w:pPr>
      <w:r>
        <w:rPr>
          <w:rFonts w:ascii="仿宋_GB2312" w:eastAsia="仿宋_GB2312" w:hint="eastAsia"/>
          <w:sz w:val="28"/>
          <w:szCs w:val="28"/>
        </w:rPr>
        <w:t>5. “住房保障支出”2024年度年初预算0万元，2024年度决算348.37万元。</w:t>
      </w:r>
    </w:p>
    <w:p w:rsidR="006141E6" w:rsidRPr="00162804" w:rsidRDefault="006141E6" w:rsidP="006141E6">
      <w:pPr>
        <w:spacing w:line="580" w:lineRule="exact"/>
        <w:ind w:firstLineChars="200" w:firstLine="56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住房改革支出”2024年度年初预算0万元，2024年度决算348.37</w:t>
      </w:r>
      <w:r w:rsidR="00162804">
        <w:rPr>
          <w:rFonts w:ascii="仿宋_GB2312" w:eastAsia="仿宋_GB2312" w:hint="eastAsia"/>
          <w:sz w:val="28"/>
          <w:szCs w:val="28"/>
        </w:rPr>
        <w:t>万元。主要原因为发放第三批住房补贴</w:t>
      </w:r>
      <w:r w:rsidRPr="00162804">
        <w:rPr>
          <w:rFonts w:ascii="仿宋_GB2312" w:eastAsia="仿宋_GB2312" w:hint="eastAsia"/>
          <w:sz w:val="28"/>
          <w:szCs w:val="28"/>
        </w:rPr>
        <w:t>。</w:t>
      </w:r>
    </w:p>
    <w:p w:rsidR="00EA3DEF" w:rsidRDefault="001B3C28" w:rsidP="00E24FC4">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EA3DEF" w:rsidRDefault="001B3C28">
      <w:pPr>
        <w:spacing w:line="560" w:lineRule="exact"/>
        <w:ind w:firstLine="600"/>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EA3DEF" w:rsidRDefault="001B3C28" w:rsidP="00E24FC4">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A3DEF" w:rsidRDefault="001B3C28">
      <w:pPr>
        <w:spacing w:line="560" w:lineRule="exact"/>
        <w:ind w:firstLine="600"/>
        <w:rPr>
          <w:rFonts w:ascii="仿宋_GB2312" w:eastAsia="仿宋_GB2312"/>
          <w:sz w:val="28"/>
          <w:szCs w:val="28"/>
        </w:rPr>
      </w:pPr>
      <w:r>
        <w:rPr>
          <w:rFonts w:ascii="仿宋_GB2312" w:eastAsia="仿宋_GB2312" w:hint="eastAsia"/>
          <w:sz w:val="28"/>
          <w:szCs w:val="28"/>
        </w:rPr>
        <w:t>本单位2024年度无国有资本经营预算财政拨款安排的支出。</w:t>
      </w:r>
    </w:p>
    <w:p w:rsidR="00EA3DEF" w:rsidRPr="00CD4234" w:rsidRDefault="001B3C28" w:rsidP="00E24FC4">
      <w:pPr>
        <w:spacing w:line="580" w:lineRule="exact"/>
        <w:ind w:firstLineChars="196" w:firstLine="551"/>
        <w:rPr>
          <w:rFonts w:ascii="黑体" w:eastAsia="黑体" w:hint="eastAsia"/>
          <w:b/>
          <w:sz w:val="28"/>
          <w:szCs w:val="28"/>
        </w:rPr>
      </w:pPr>
      <w:r w:rsidRPr="00CD4234">
        <w:rPr>
          <w:rFonts w:ascii="黑体" w:eastAsia="黑体" w:hint="eastAsia"/>
          <w:b/>
          <w:sz w:val="28"/>
          <w:szCs w:val="28"/>
        </w:rPr>
        <w:lastRenderedPageBreak/>
        <w:t>七、财政拨款基本支出决算情况说明</w:t>
      </w:r>
    </w:p>
    <w:p w:rsidR="00CD4234" w:rsidRPr="00CD4234" w:rsidRDefault="00CD4234" w:rsidP="00CD4234">
      <w:pPr>
        <w:spacing w:line="580" w:lineRule="exact"/>
        <w:ind w:firstLineChars="196" w:firstLine="549"/>
        <w:rPr>
          <w:rFonts w:ascii="仿宋" w:eastAsia="仿宋" w:hAnsi="仿宋"/>
          <w:sz w:val="28"/>
          <w:szCs w:val="28"/>
        </w:rPr>
      </w:pPr>
      <w:r w:rsidRPr="00CD4234">
        <w:rPr>
          <w:rFonts w:ascii="仿宋" w:eastAsia="仿宋" w:hAnsi="仿宋" w:hint="eastAsia"/>
          <w:sz w:val="28"/>
          <w:szCs w:val="28"/>
        </w:rPr>
        <w:t>2024年度使用一般公共预算财政拨款安排基本支出4457.64万元，使用政府性基金财政拨款安排基本支出0万元，（1）工资福利支出包括基本工资、津贴补贴、奖金、伙食补助费、绩效工资、其他社会保障缴费、其他工资福利等支出；（2）商品和服务支出包括办公费、印刷费、咨询费、手续费、水费、电费、邮电费、</w:t>
      </w:r>
      <w:bookmarkStart w:id="13" w:name="_GoBack"/>
      <w:bookmarkEnd w:id="13"/>
      <w:r w:rsidRPr="00CD4234">
        <w:rPr>
          <w:rFonts w:ascii="仿宋" w:eastAsia="仿宋" w:hAnsi="仿宋" w:hint="eastAsia"/>
          <w:sz w:val="28"/>
          <w:szCs w:val="28"/>
        </w:rPr>
        <w:t>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ab/>
      </w:r>
    </w:p>
    <w:p w:rsidR="00EA3DEF" w:rsidRDefault="001B3C28">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EA3DEF" w:rsidRDefault="001B3C2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“三公”经费只包括首都师范大学附属中学</w:t>
      </w:r>
      <w:proofErr w:type="gramStart"/>
      <w:r>
        <w:rPr>
          <w:rFonts w:ascii="仿宋_GB2312" w:eastAsia="仿宋_GB2312" w:hint="eastAsia"/>
          <w:sz w:val="28"/>
          <w:szCs w:val="28"/>
        </w:rPr>
        <w:t>大兴南</w:t>
      </w:r>
      <w:proofErr w:type="gramEnd"/>
      <w:r>
        <w:rPr>
          <w:rFonts w:ascii="仿宋_GB2312" w:eastAsia="仿宋_GB2312" w:hint="eastAsia"/>
          <w:sz w:val="28"/>
          <w:szCs w:val="28"/>
        </w:rPr>
        <w:t>校区1个事业单位。2024年度“三公”经费财政拨款决算数5.87万元，比2024年度“三公”经费财政拨款</w:t>
      </w:r>
      <w:bookmarkStart w:id="14" w:name="OLE_LINK38"/>
      <w:bookmarkStart w:id="15" w:name="OLE_LINK39"/>
      <w:r>
        <w:rPr>
          <w:rFonts w:ascii="仿宋_GB2312" w:eastAsia="仿宋_GB2312" w:hint="eastAsia"/>
          <w:sz w:val="28"/>
          <w:szCs w:val="28"/>
        </w:rPr>
        <w:t>年初预算</w:t>
      </w:r>
      <w:r w:rsidR="00E24FC4">
        <w:rPr>
          <w:rFonts w:ascii="仿宋_GB2312" w:eastAsia="仿宋_GB2312" w:hint="eastAsia"/>
          <w:sz w:val="28"/>
          <w:szCs w:val="28"/>
        </w:rPr>
        <w:t>8.3</w:t>
      </w:r>
      <w:r>
        <w:rPr>
          <w:rFonts w:ascii="仿宋_GB2312" w:eastAsia="仿宋_GB2312" w:hint="eastAsia"/>
          <w:sz w:val="28"/>
          <w:szCs w:val="28"/>
        </w:rPr>
        <w:t>0万元减少</w:t>
      </w:r>
      <w:r w:rsidR="00E24FC4">
        <w:rPr>
          <w:rFonts w:ascii="仿宋_GB2312" w:eastAsia="仿宋_GB2312" w:hint="eastAsia"/>
          <w:sz w:val="28"/>
          <w:szCs w:val="28"/>
        </w:rPr>
        <w:t>2.4</w:t>
      </w:r>
      <w:r>
        <w:rPr>
          <w:rFonts w:ascii="仿宋_GB2312" w:eastAsia="仿宋_GB2312" w:hint="eastAsia"/>
          <w:sz w:val="28"/>
          <w:szCs w:val="28"/>
        </w:rPr>
        <w:t>3万元</w:t>
      </w:r>
      <w:bookmarkEnd w:id="14"/>
      <w:bookmarkEnd w:id="15"/>
      <w:r>
        <w:rPr>
          <w:rFonts w:ascii="仿宋_GB2312" w:eastAsia="仿宋_GB2312" w:hint="eastAsia"/>
          <w:sz w:val="28"/>
          <w:szCs w:val="28"/>
        </w:rPr>
        <w:t>。其中：</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因公出国（境）费用。2024年度决算数0万元，与2024年度年初预算数0万元持平。主要原因：是因公出国（境）费用根据年度出国审批情况作为追加项目管理，单位不做年初预算，本年也没有出国审批项目发生；2024年度因公出国（境）费用主要用于出国的会议、培训等事项等方面，2024年度组织因公出国（境）团组0个、0人次，人均因公出国</w:t>
      </w:r>
      <w:r>
        <w:rPr>
          <w:rFonts w:ascii="仿宋_GB2312" w:eastAsia="仿宋_GB2312" w:hint="eastAsia"/>
          <w:sz w:val="28"/>
          <w:szCs w:val="28"/>
        </w:rPr>
        <w:lastRenderedPageBreak/>
        <w:t>（境）费用0万元。</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2.公务接待费。2024年度决算数0万元，比2024年度年初预算数 0.2万元减少0.2万元。主要原因：本年度无公务接待支出。2024年度公务接待费主要用于公务接待事项。公务接待0批次，公务接待0人次。</w:t>
      </w:r>
    </w:p>
    <w:p w:rsidR="00A22D55" w:rsidRDefault="00A22D55" w:rsidP="00A22D5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3.公务用车购置及运行维护费。2024年度决算数5.87万元，比2024年度年初预算数8.10万元减少2.23万元。其中，公务用车购置费2024年度决算数</w:t>
      </w:r>
      <w:r>
        <w:rPr>
          <w:rFonts w:ascii="仿宋_GB2312" w:eastAsia="仿宋_GB2312" w:hint="eastAsia"/>
          <w:sz w:val="28"/>
          <w:szCs w:val="28"/>
          <w:lang w:bidi="ar"/>
        </w:rPr>
        <w:t>0</w:t>
      </w:r>
      <w:r>
        <w:rPr>
          <w:rFonts w:ascii="仿宋_GB2312" w:eastAsia="仿宋_GB2312" w:hint="eastAsia"/>
          <w:sz w:val="28"/>
          <w:szCs w:val="28"/>
        </w:rPr>
        <w:t>万元，主要原因：</w:t>
      </w:r>
      <w:r w:rsidRPr="002B5914">
        <w:rPr>
          <w:rFonts w:ascii="仿宋_GB2312" w:eastAsia="仿宋_GB2312" w:hint="eastAsia"/>
          <w:sz w:val="28"/>
          <w:szCs w:val="28"/>
          <w:lang w:bidi="ar"/>
        </w:rPr>
        <w:t>本年度</w:t>
      </w:r>
      <w:r w:rsidR="002B5914" w:rsidRPr="002B5914">
        <w:rPr>
          <w:rFonts w:ascii="仿宋_GB2312" w:eastAsia="仿宋_GB2312" w:hint="eastAsia"/>
          <w:sz w:val="28"/>
          <w:szCs w:val="28"/>
          <w:lang w:bidi="ar"/>
        </w:rPr>
        <w:t>无</w:t>
      </w:r>
      <w:r w:rsidRPr="002B5914">
        <w:rPr>
          <w:rFonts w:ascii="仿宋_GB2312" w:eastAsia="仿宋_GB2312" w:hint="eastAsia"/>
          <w:sz w:val="28"/>
          <w:szCs w:val="28"/>
          <w:lang w:bidi="ar"/>
        </w:rPr>
        <w:t>新购车辆</w:t>
      </w:r>
      <w:r>
        <w:rPr>
          <w:rFonts w:ascii="仿宋_GB2312" w:eastAsia="仿宋_GB2312" w:hint="eastAsia"/>
          <w:sz w:val="28"/>
          <w:szCs w:val="28"/>
        </w:rPr>
        <w:t>，2024年度购置（更新）0辆。公务用车运行维护费2024年度决算数</w:t>
      </w:r>
      <w:r w:rsidR="0070628E">
        <w:rPr>
          <w:rFonts w:ascii="仿宋_GB2312" w:eastAsia="仿宋_GB2312" w:hint="eastAsia"/>
          <w:sz w:val="28"/>
          <w:szCs w:val="28"/>
          <w:lang w:bidi="ar"/>
        </w:rPr>
        <w:t>5.87</w:t>
      </w:r>
      <w:r>
        <w:rPr>
          <w:rFonts w:ascii="仿宋_GB2312" w:eastAsia="仿宋_GB2312" w:hint="eastAsia"/>
          <w:sz w:val="28"/>
          <w:szCs w:val="28"/>
        </w:rPr>
        <w:t>万元，主要原因：</w:t>
      </w:r>
      <w:r>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sidR="0070628E">
        <w:rPr>
          <w:rFonts w:ascii="仿宋_GB2312" w:eastAsia="仿宋_GB2312" w:hint="eastAsia"/>
          <w:sz w:val="28"/>
          <w:szCs w:val="28"/>
        </w:rPr>
        <w:t>3</w:t>
      </w:r>
      <w:r>
        <w:rPr>
          <w:rFonts w:ascii="仿宋_GB2312" w:eastAsia="仿宋_GB2312" w:hint="eastAsia"/>
          <w:sz w:val="28"/>
          <w:szCs w:val="28"/>
        </w:rPr>
        <w:t>辆。</w:t>
      </w:r>
    </w:p>
    <w:p w:rsidR="00EA3DEF" w:rsidRDefault="001B3C28">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EA3DEF" w:rsidRDefault="001B3C28">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本单位不在机关运行经费统计范围之内</w:t>
      </w:r>
    </w:p>
    <w:p w:rsidR="00EA3DEF" w:rsidRDefault="001B3C28">
      <w:pPr>
        <w:ind w:left="540"/>
        <w:rPr>
          <w:rFonts w:ascii="黑体" w:eastAsia="黑体"/>
          <w:sz w:val="28"/>
          <w:szCs w:val="28"/>
        </w:rPr>
      </w:pPr>
      <w:r>
        <w:rPr>
          <w:rFonts w:ascii="黑体" w:eastAsia="黑体" w:hint="eastAsia"/>
          <w:sz w:val="28"/>
          <w:szCs w:val="28"/>
        </w:rPr>
        <w:t>三、政府采购支出情况</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2024年度政府采购支出总额53.06万元，其中：政府采购货物支出0万元，政府采购工程支出0万元，政府采购服务支出53.06万元。授予中小企业合同金额50.67万元，占政府采购支出总额的95.49%，其中：授予小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合同金额50.67万元，占政府采购支出总额的95.49%。</w:t>
      </w:r>
    </w:p>
    <w:p w:rsidR="00EA3DEF" w:rsidRDefault="001B3C28">
      <w:pPr>
        <w:ind w:firstLineChars="200" w:firstLine="560"/>
        <w:rPr>
          <w:rFonts w:ascii="黑体" w:eastAsia="黑体"/>
          <w:sz w:val="28"/>
          <w:szCs w:val="28"/>
          <w:highlight w:val="yellow"/>
        </w:rPr>
      </w:pPr>
      <w:r>
        <w:rPr>
          <w:rFonts w:ascii="黑体" w:eastAsia="黑体" w:hint="eastAsia"/>
          <w:sz w:val="28"/>
          <w:szCs w:val="28"/>
        </w:rPr>
        <w:t>四、国有资产占用情况</w:t>
      </w:r>
    </w:p>
    <w:p w:rsidR="00EA3DEF" w:rsidRDefault="001B3C28">
      <w:pPr>
        <w:ind w:firstLineChars="200" w:firstLine="560"/>
        <w:rPr>
          <w:rFonts w:ascii="仿宋_GB2312" w:eastAsia="仿宋_GB2312"/>
          <w:sz w:val="28"/>
          <w:szCs w:val="28"/>
        </w:rPr>
      </w:pPr>
      <w:proofErr w:type="gramStart"/>
      <w:r>
        <w:rPr>
          <w:rFonts w:ascii="仿宋_GB2312" w:eastAsia="仿宋_GB2312" w:hint="eastAsia"/>
          <w:sz w:val="28"/>
          <w:szCs w:val="28"/>
        </w:rPr>
        <w:t>2024年度未新购置</w:t>
      </w:r>
      <w:proofErr w:type="gramEnd"/>
      <w:r>
        <w:rPr>
          <w:rFonts w:ascii="仿宋_GB2312" w:eastAsia="仿宋_GB2312" w:hint="eastAsia"/>
          <w:sz w:val="28"/>
          <w:szCs w:val="28"/>
        </w:rPr>
        <w:t>车辆；</w:t>
      </w:r>
      <w:proofErr w:type="gramStart"/>
      <w:r>
        <w:rPr>
          <w:rFonts w:ascii="仿宋_GB2312" w:eastAsia="仿宋_GB2312" w:hint="eastAsia"/>
          <w:sz w:val="28"/>
          <w:szCs w:val="28"/>
        </w:rPr>
        <w:t>未新购置</w:t>
      </w:r>
      <w:proofErr w:type="gramEnd"/>
      <w:r>
        <w:rPr>
          <w:rFonts w:ascii="仿宋_GB2312" w:eastAsia="仿宋_GB2312" w:hint="eastAsia"/>
          <w:sz w:val="28"/>
          <w:szCs w:val="28"/>
        </w:rPr>
        <w:t>单位价值100万元以上的设备。截至2024年底，本单位固定资产总额3120.66万元，其中车辆3台，共计75.03万元；无单位价值100万元以上的设备。</w:t>
      </w:r>
    </w:p>
    <w:p w:rsidR="00EA3DEF" w:rsidRDefault="001B3C28" w:rsidP="00E24FC4">
      <w:pPr>
        <w:ind w:firstLineChars="192" w:firstLine="538"/>
        <w:rPr>
          <w:rFonts w:ascii="黑体" w:eastAsia="黑体"/>
          <w:sz w:val="28"/>
          <w:szCs w:val="28"/>
        </w:rPr>
      </w:pPr>
      <w:r>
        <w:rPr>
          <w:rFonts w:ascii="黑体" w:eastAsia="黑体" w:hint="eastAsia"/>
          <w:sz w:val="28"/>
          <w:szCs w:val="28"/>
        </w:rPr>
        <w:lastRenderedPageBreak/>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2024年度无政府购买服务。</w:t>
      </w:r>
    </w:p>
    <w:p w:rsidR="00EA3DEF" w:rsidRDefault="001B3C28">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int="eastAsia"/>
          <w:sz w:val="28"/>
          <w:szCs w:val="28"/>
        </w:rPr>
        <w:t>含车辆</w:t>
      </w:r>
      <w:proofErr w:type="gramEnd"/>
      <w:r>
        <w:rPr>
          <w:rFonts w:ascii="仿宋_GB2312" w:eastAsia="仿宋_GB2312" w:hint="eastAsia"/>
          <w:sz w:val="28"/>
          <w:szCs w:val="28"/>
        </w:rPr>
        <w:t>购置税、牌照费）及单位按规定保留的公务用车燃料费、维修费、过路过桥费、保险费、安全奖励费等支出；公务接待费指单位按规定开支的各类公务接待（含外宾接待）支出。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6.政府购买服务：是指各级国家机关将属于自身职责范围且适合通过市场化方式提供的服务事项，按照政府采购方</w:t>
      </w:r>
      <w:r>
        <w:rPr>
          <w:rFonts w:ascii="仿宋_GB2312" w:eastAsia="仿宋_GB2312" w:hint="eastAsia"/>
          <w:sz w:val="28"/>
          <w:szCs w:val="28"/>
        </w:rPr>
        <w:lastRenderedPageBreak/>
        <w:t>式和程序，交由符合条件的服务供应商承担，并根据服务数量和质量等因素向其支付费用的行为。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7. 小学教育：反映各部门举办的小学教育支出。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8.初中教育：反映各部门举办的小学教育支出。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9. 其他普通教育支出：反映其他用于普通教育方面的支出。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10. 其他教育费附加安排的支出：反映除农村中小学校设建设、农村中小学教学设施以外的教育费附加支出。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11．事业单位离退休：反映事业单位开支的离退休经费。</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12. 机关事业单位基本养老保险缴费支出：反映机关事业单位实施养老保险制度由单位实际缴纳的基本养老保险支出。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13. 机关事业单位职业年金缴费支出：反映机关事业单位实施养老保险制度由单位实际缴纳的职业年金支出。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14. 事业单位医疗：反映财政部门安排的事业单位基本医疗保险缴费经费，未参加医疗保险的事业单位的公费医疗经费，按国家规定享受离休人员待遇的医疗经费。</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15.公务员医疗补助：反映财政部门安排的公务员医疗补助经费。</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16.大气：反映政府在治理空气污染、汽车尾气、酸雨、二氧化碳、沙尘暴等方面的支出。</w:t>
      </w:r>
    </w:p>
    <w:p w:rsidR="00EA3DEF" w:rsidRDefault="001B3C28">
      <w:pPr>
        <w:ind w:firstLineChars="200" w:firstLine="560"/>
        <w:rPr>
          <w:rFonts w:ascii="仿宋_GB2312" w:eastAsia="仿宋_GB2312"/>
          <w:sz w:val="28"/>
          <w:szCs w:val="28"/>
        </w:rPr>
      </w:pPr>
      <w:r>
        <w:rPr>
          <w:rFonts w:ascii="仿宋_GB2312" w:eastAsia="仿宋_GB2312" w:hint="eastAsia"/>
          <w:sz w:val="28"/>
          <w:szCs w:val="28"/>
        </w:rPr>
        <w:t>17. 购房补贴：反映按房改政策规定，行政事业单位向符合条件职工发放的用于购买住房的补贴。</w:t>
      </w:r>
    </w:p>
    <w:p w:rsidR="00EA3DEF" w:rsidRDefault="00EA3DEF">
      <w:pPr>
        <w:ind w:firstLineChars="200" w:firstLine="560"/>
        <w:rPr>
          <w:rFonts w:ascii="仿宋_GB2312" w:eastAsia="仿宋_GB2312"/>
          <w:sz w:val="28"/>
          <w:szCs w:val="28"/>
        </w:rPr>
      </w:pPr>
    </w:p>
    <w:p w:rsidR="00EA3DEF" w:rsidRDefault="00EA3DEF">
      <w:pPr>
        <w:tabs>
          <w:tab w:val="center" w:pos="6979"/>
        </w:tabs>
        <w:spacing w:line="380" w:lineRule="exact"/>
        <w:jc w:val="center"/>
        <w:rPr>
          <w:rFonts w:ascii="宋体" w:hAnsi="宋体" w:cs="宋体"/>
          <w:b/>
          <w:bCs/>
          <w:kern w:val="0"/>
          <w:sz w:val="28"/>
          <w:szCs w:val="28"/>
        </w:rPr>
      </w:pPr>
    </w:p>
    <w:p w:rsidR="00EA3DEF" w:rsidRDefault="00EA3DEF">
      <w:pPr>
        <w:tabs>
          <w:tab w:val="center" w:pos="6979"/>
        </w:tabs>
        <w:spacing w:line="380" w:lineRule="exact"/>
        <w:jc w:val="center"/>
        <w:rPr>
          <w:rFonts w:ascii="宋体" w:hAnsi="宋体" w:cs="宋体"/>
          <w:b/>
          <w:bCs/>
          <w:kern w:val="0"/>
          <w:sz w:val="28"/>
          <w:szCs w:val="28"/>
        </w:rPr>
      </w:pPr>
    </w:p>
    <w:p w:rsidR="00EA3DEF" w:rsidRDefault="00EA3DEF">
      <w:pPr>
        <w:rPr>
          <w:rFonts w:ascii="黑体" w:eastAsia="黑体"/>
          <w:sz w:val="32"/>
          <w:szCs w:val="32"/>
        </w:rPr>
      </w:pPr>
    </w:p>
    <w:p w:rsidR="00EA3DEF" w:rsidRDefault="00EA3DEF">
      <w:pPr>
        <w:ind w:firstLineChars="200" w:firstLine="640"/>
        <w:jc w:val="center"/>
        <w:rPr>
          <w:rFonts w:ascii="黑体" w:eastAsia="黑体"/>
          <w:sz w:val="32"/>
          <w:szCs w:val="32"/>
        </w:rPr>
      </w:pPr>
    </w:p>
    <w:p w:rsidR="00EA3DEF" w:rsidRDefault="001B3C28">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EA3DEF" w:rsidRDefault="00EA3DEF">
      <w:pPr>
        <w:ind w:firstLineChars="200" w:firstLine="560"/>
        <w:rPr>
          <w:rFonts w:ascii="黑体" w:eastAsia="黑体"/>
          <w:sz w:val="28"/>
          <w:szCs w:val="28"/>
          <w:highlight w:val="yellow"/>
        </w:rPr>
      </w:pPr>
    </w:p>
    <w:p w:rsidR="006125FF" w:rsidRDefault="006125FF" w:rsidP="006125FF">
      <w:pPr>
        <w:jc w:val="center"/>
        <w:rPr>
          <w:rFonts w:ascii="仿宋" w:eastAsia="仿宋" w:hAnsi="仿宋" w:cs="仿宋"/>
          <w:b/>
          <w:bCs/>
          <w:kern w:val="0"/>
          <w:sz w:val="30"/>
          <w:szCs w:val="30"/>
        </w:rPr>
      </w:pPr>
      <w:r>
        <w:rPr>
          <w:rFonts w:ascii="仿宋" w:eastAsia="仿宋" w:hAnsi="仿宋" w:cs="仿宋" w:hint="eastAsia"/>
          <w:b/>
          <w:bCs/>
          <w:kern w:val="0"/>
          <w:sz w:val="30"/>
          <w:szCs w:val="30"/>
        </w:rPr>
        <w:t>项目支出绩效自评表（详见附件）</w:t>
      </w:r>
    </w:p>
    <w:p w:rsidR="00EA3DEF" w:rsidRDefault="00EA3DEF">
      <w:pPr>
        <w:spacing w:line="480" w:lineRule="exact"/>
        <w:rPr>
          <w:rFonts w:ascii="仿宋_GB2312" w:eastAsia="仿宋_GB2312" w:hAnsi="仿宋_GB2312" w:cs="仿宋_GB2312"/>
          <w:sz w:val="32"/>
          <w:szCs w:val="32"/>
        </w:rPr>
      </w:pPr>
    </w:p>
    <w:p w:rsidR="00EA3DEF" w:rsidRDefault="00EA3DEF">
      <w:pPr>
        <w:spacing w:line="480" w:lineRule="exact"/>
      </w:pPr>
    </w:p>
    <w:sectPr w:rsidR="00EA3DEF">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BB8" w:rsidRDefault="00260BB8">
      <w:r>
        <w:separator/>
      </w:r>
    </w:p>
  </w:endnote>
  <w:endnote w:type="continuationSeparator" w:id="0">
    <w:p w:rsidR="00260BB8" w:rsidRDefault="00260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文星标宋">
    <w:altName w:val="微软雅黑"/>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DEF" w:rsidRDefault="001B3C28">
    <w:pPr>
      <w:pStyle w:val="a7"/>
      <w:framePr w:wrap="around" w:vAnchor="text" w:hAnchor="margin" w:xAlign="center" w:y="1"/>
      <w:rPr>
        <w:rStyle w:val="ab"/>
      </w:rPr>
    </w:pPr>
    <w:r>
      <w:fldChar w:fldCharType="begin"/>
    </w:r>
    <w:r>
      <w:rPr>
        <w:rStyle w:val="ab"/>
      </w:rPr>
      <w:instrText xml:space="preserve">PAGE  </w:instrText>
    </w:r>
    <w:r>
      <w:fldChar w:fldCharType="separate"/>
    </w:r>
    <w:r w:rsidR="00A6010B">
      <w:rPr>
        <w:rStyle w:val="ab"/>
        <w:noProof/>
      </w:rPr>
      <w:t>3</w:t>
    </w:r>
    <w:r>
      <w:fldChar w:fldCharType="end"/>
    </w:r>
  </w:p>
  <w:p w:rsidR="00EA3DEF" w:rsidRDefault="00EA3DE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DEF" w:rsidRDefault="001B3C28">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EA3DEF" w:rsidRDefault="00EA3DE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DEF" w:rsidRDefault="001B3C28">
    <w:pPr>
      <w:pStyle w:val="a7"/>
      <w:framePr w:wrap="around" w:vAnchor="text" w:hAnchor="margin" w:xAlign="center" w:y="1"/>
      <w:rPr>
        <w:rStyle w:val="ab"/>
      </w:rPr>
    </w:pPr>
    <w:r>
      <w:fldChar w:fldCharType="begin"/>
    </w:r>
    <w:r>
      <w:rPr>
        <w:rStyle w:val="ab"/>
      </w:rPr>
      <w:instrText xml:space="preserve">PAGE  </w:instrText>
    </w:r>
    <w:r>
      <w:fldChar w:fldCharType="separate"/>
    </w:r>
    <w:r w:rsidR="00CD4234">
      <w:rPr>
        <w:rStyle w:val="ab"/>
        <w:noProof/>
      </w:rPr>
      <w:t>8</w:t>
    </w:r>
    <w:r>
      <w:fldChar w:fldCharType="end"/>
    </w:r>
  </w:p>
  <w:p w:rsidR="00EA3DEF" w:rsidRDefault="00EA3DE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BB8" w:rsidRDefault="00260BB8">
      <w:r>
        <w:separator/>
      </w:r>
    </w:p>
  </w:footnote>
  <w:footnote w:type="continuationSeparator" w:id="0">
    <w:p w:rsidR="00260BB8" w:rsidRDefault="00260B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2B27"/>
    <w:rsid w:val="00027CD5"/>
    <w:rsid w:val="00031B8E"/>
    <w:rsid w:val="00033EC1"/>
    <w:rsid w:val="00034224"/>
    <w:rsid w:val="00040275"/>
    <w:rsid w:val="0004719C"/>
    <w:rsid w:val="00047F6E"/>
    <w:rsid w:val="00051B00"/>
    <w:rsid w:val="000601B1"/>
    <w:rsid w:val="00063034"/>
    <w:rsid w:val="00064616"/>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2804"/>
    <w:rsid w:val="0017111F"/>
    <w:rsid w:val="00173CF6"/>
    <w:rsid w:val="00180DAD"/>
    <w:rsid w:val="0018370E"/>
    <w:rsid w:val="001852E1"/>
    <w:rsid w:val="00191568"/>
    <w:rsid w:val="001A4277"/>
    <w:rsid w:val="001A7D2E"/>
    <w:rsid w:val="001B1DF9"/>
    <w:rsid w:val="001B1E93"/>
    <w:rsid w:val="001B375E"/>
    <w:rsid w:val="001B3C28"/>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0BB8"/>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B5914"/>
    <w:rsid w:val="002C0443"/>
    <w:rsid w:val="002C12FB"/>
    <w:rsid w:val="002C24BC"/>
    <w:rsid w:val="002D03C6"/>
    <w:rsid w:val="002D0FDF"/>
    <w:rsid w:val="002D3955"/>
    <w:rsid w:val="002D64BF"/>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376D1"/>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658D"/>
    <w:rsid w:val="004F71F3"/>
    <w:rsid w:val="005052FA"/>
    <w:rsid w:val="005069E1"/>
    <w:rsid w:val="00507E59"/>
    <w:rsid w:val="005122B5"/>
    <w:rsid w:val="0052381C"/>
    <w:rsid w:val="005346B3"/>
    <w:rsid w:val="0054051C"/>
    <w:rsid w:val="00543B3E"/>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516E"/>
    <w:rsid w:val="00611BE4"/>
    <w:rsid w:val="0061219B"/>
    <w:rsid w:val="006125FF"/>
    <w:rsid w:val="006141E6"/>
    <w:rsid w:val="00621419"/>
    <w:rsid w:val="00626446"/>
    <w:rsid w:val="00626BE8"/>
    <w:rsid w:val="00631827"/>
    <w:rsid w:val="00632804"/>
    <w:rsid w:val="006376DA"/>
    <w:rsid w:val="006459DA"/>
    <w:rsid w:val="006502E8"/>
    <w:rsid w:val="00654A2B"/>
    <w:rsid w:val="0065675C"/>
    <w:rsid w:val="0065793F"/>
    <w:rsid w:val="0066263B"/>
    <w:rsid w:val="00664AA2"/>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628E"/>
    <w:rsid w:val="00707A26"/>
    <w:rsid w:val="0071120F"/>
    <w:rsid w:val="00716380"/>
    <w:rsid w:val="00722165"/>
    <w:rsid w:val="00724B1C"/>
    <w:rsid w:val="007428F0"/>
    <w:rsid w:val="0075062C"/>
    <w:rsid w:val="007512EF"/>
    <w:rsid w:val="007551AC"/>
    <w:rsid w:val="0076101C"/>
    <w:rsid w:val="00763D87"/>
    <w:rsid w:val="007670B2"/>
    <w:rsid w:val="00771795"/>
    <w:rsid w:val="00774925"/>
    <w:rsid w:val="00787759"/>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2D55"/>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010B"/>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256C"/>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48C9"/>
    <w:rsid w:val="00CB65DB"/>
    <w:rsid w:val="00CB6BD9"/>
    <w:rsid w:val="00CC293A"/>
    <w:rsid w:val="00CD4234"/>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4FC4"/>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3DEF"/>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58AE"/>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AA578C"/>
    <w:rsid w:val="04C3537C"/>
    <w:rsid w:val="079004AC"/>
    <w:rsid w:val="0B6078E4"/>
    <w:rsid w:val="0BA148CA"/>
    <w:rsid w:val="0C1165C4"/>
    <w:rsid w:val="0D6D544B"/>
    <w:rsid w:val="0DD136FE"/>
    <w:rsid w:val="0F542F2C"/>
    <w:rsid w:val="0F8E2C57"/>
    <w:rsid w:val="1059665E"/>
    <w:rsid w:val="10AC13BA"/>
    <w:rsid w:val="12AF6153"/>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AA661B2"/>
    <w:rsid w:val="3C684897"/>
    <w:rsid w:val="433E495C"/>
    <w:rsid w:val="44EC10F2"/>
    <w:rsid w:val="489F2FD7"/>
    <w:rsid w:val="4AC27CB3"/>
    <w:rsid w:val="4BF72BEF"/>
    <w:rsid w:val="4FA90297"/>
    <w:rsid w:val="4FC41A43"/>
    <w:rsid w:val="51DB3C59"/>
    <w:rsid w:val="54677493"/>
    <w:rsid w:val="550C0952"/>
    <w:rsid w:val="55762E42"/>
    <w:rsid w:val="57A7B272"/>
    <w:rsid w:val="58470068"/>
    <w:rsid w:val="58747CAC"/>
    <w:rsid w:val="5A1720F9"/>
    <w:rsid w:val="5B9C37C2"/>
    <w:rsid w:val="5BA7C654"/>
    <w:rsid w:val="5DF716AE"/>
    <w:rsid w:val="5F9F507E"/>
    <w:rsid w:val="60A54109"/>
    <w:rsid w:val="61BF6C24"/>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cat>
            <c:strRef>
              <c:f>Sheet1!$A$3:$H$3</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Sheet1!$A$4:$H$4</c:f>
              <c:numCache>
                <c:formatCode>General</c:formatCode>
                <c:ptCount val="8"/>
                <c:pt idx="0">
                  <c:v>4646.2299999999996</c:v>
                </c:pt>
                <c:pt idx="1">
                  <c:v>0</c:v>
                </c:pt>
                <c:pt idx="2">
                  <c:v>0</c:v>
                </c:pt>
                <c:pt idx="3">
                  <c:v>0</c:v>
                </c:pt>
                <c:pt idx="4">
                  <c:v>0</c:v>
                </c:pt>
                <c:pt idx="5">
                  <c:v>0</c:v>
                </c:pt>
                <c:pt idx="6">
                  <c:v>0</c:v>
                </c:pt>
                <c:pt idx="7">
                  <c:v>0</c:v>
                </c:pt>
              </c:numCache>
            </c:numRef>
          </c:val>
        </c:ser>
        <c:dLbls>
          <c:showLegendKey val="0"/>
          <c:showVal val="0"/>
          <c:showCatName val="0"/>
          <c:showSerName val="0"/>
          <c:showPercent val="0"/>
          <c:showBubbleSize val="0"/>
          <c:showLeaderLines val="1"/>
        </c:dLbls>
        <c:firstSliceAng val="0"/>
      </c:pieChart>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5807f83a-ceaa-4803-a9ce-d7abf3985727}"/>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Sheet1!$A$3:$A$4</c:f>
              <c:strCache>
                <c:ptCount val="2"/>
                <c:pt idx="0">
                  <c:v>基本支出</c:v>
                </c:pt>
                <c:pt idx="1">
                  <c:v>项目支出</c:v>
                </c:pt>
              </c:strCache>
            </c:strRef>
          </c:cat>
          <c:val>
            <c:numRef>
              <c:f>Sheet1!$B$3:$B$4</c:f>
              <c:numCache>
                <c:formatCode>General</c:formatCode>
                <c:ptCount val="2"/>
                <c:pt idx="0">
                  <c:v>4457.6400000000003</c:v>
                </c:pt>
                <c:pt idx="1">
                  <c:v>536.97</c:v>
                </c:pt>
              </c:numCache>
            </c:numRef>
          </c:val>
        </c:ser>
        <c:dLbls>
          <c:showLegendKey val="0"/>
          <c:showVal val="0"/>
          <c:showCatName val="0"/>
          <c:showSerName val="0"/>
          <c:showPercent val="1"/>
          <c:showBubbleSize val="0"/>
          <c:showLeaderLines val="1"/>
        </c:dLbls>
        <c:firstSliceAng val="0"/>
      </c:pieChart>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4f2a172b-c997-4e7a-902c-9df620782dbb}"/>
      </c:ext>
    </c:extLst>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704</Words>
  <Characters>4019</Characters>
  <Application>Microsoft Office Word</Application>
  <DocSecurity>0</DocSecurity>
  <Lines>33</Lines>
  <Paragraphs>9</Paragraphs>
  <ScaleCrop>false</ScaleCrop>
  <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jisuanji</cp:lastModifiedBy>
  <cp:revision>4</cp:revision>
  <cp:lastPrinted>2020-08-09T03:39:00Z</cp:lastPrinted>
  <dcterms:created xsi:type="dcterms:W3CDTF">2025-09-26T09:36:00Z</dcterms:created>
  <dcterms:modified xsi:type="dcterms:W3CDTF">2025-09-29T02:37:00Z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4A9F486766BC4CF2B8830772222EF951_13</vt:lpwstr>
  </property>
  <property fmtid="{D5CDD505-2E9C-101B-9397-08002B2CF9AE}" pid="4" name="KSOTemplateDocerSaveRecord">
    <vt:lpwstr>eyJoZGlkIjoiZjg4OWEwMDllZGIzNjkyNjNlZGJhOGI1Zjg5MWI3NzUifQ==</vt:lpwstr>
  </property>
</Properties>
</file>