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82E68E">
      <w:pPr>
        <w:jc w:val="center"/>
        <w:rPr>
          <w:rFonts w:ascii="仿宋_GB2312" w:eastAsia="仿宋_GB2312"/>
          <w:b/>
          <w:sz w:val="32"/>
          <w:szCs w:val="32"/>
        </w:rPr>
      </w:pPr>
    </w:p>
    <w:p w14:paraId="72BEF9A3">
      <w:pPr>
        <w:jc w:val="center"/>
        <w:rPr>
          <w:rFonts w:ascii="黑体" w:eastAsia="黑体"/>
          <w:sz w:val="72"/>
          <w:szCs w:val="72"/>
        </w:rPr>
      </w:pPr>
    </w:p>
    <w:p w14:paraId="1CA6A1C1">
      <w:pPr>
        <w:jc w:val="center"/>
        <w:rPr>
          <w:rFonts w:ascii="黑体" w:eastAsia="黑体"/>
          <w:sz w:val="72"/>
          <w:szCs w:val="72"/>
        </w:rPr>
      </w:pPr>
    </w:p>
    <w:p w14:paraId="2F5C7C01">
      <w:pPr>
        <w:jc w:val="center"/>
        <w:rPr>
          <w:rFonts w:ascii="黑体" w:eastAsia="黑体"/>
          <w:sz w:val="72"/>
          <w:szCs w:val="72"/>
        </w:rPr>
      </w:pPr>
    </w:p>
    <w:p w14:paraId="209BA301">
      <w:pPr>
        <w:jc w:val="center"/>
        <w:rPr>
          <w:rFonts w:ascii="黑体" w:eastAsia="黑体"/>
          <w:sz w:val="72"/>
          <w:szCs w:val="72"/>
        </w:rPr>
      </w:pPr>
    </w:p>
    <w:p w14:paraId="19C4C155">
      <w:pPr>
        <w:jc w:val="center"/>
        <w:rPr>
          <w:rFonts w:ascii="黑体" w:eastAsia="黑体"/>
          <w:sz w:val="72"/>
          <w:szCs w:val="72"/>
        </w:rPr>
      </w:pPr>
      <w:r>
        <w:rPr>
          <w:rFonts w:hint="eastAsia" w:ascii="黑体" w:eastAsia="黑体"/>
          <w:sz w:val="72"/>
          <w:szCs w:val="72"/>
        </w:rPr>
        <w:t>2024年度部门决算（公开</w:t>
      </w:r>
      <w:r>
        <w:rPr>
          <w:rFonts w:ascii="黑体" w:eastAsia="黑体"/>
          <w:sz w:val="72"/>
          <w:szCs w:val="72"/>
        </w:rPr>
        <w:t>）</w:t>
      </w:r>
    </w:p>
    <w:p w14:paraId="4FED76EA">
      <w:pPr>
        <w:jc w:val="center"/>
        <w:rPr>
          <w:rFonts w:ascii="黑体" w:eastAsia="黑体"/>
          <w:sz w:val="52"/>
          <w:szCs w:val="52"/>
        </w:rPr>
      </w:pPr>
    </w:p>
    <w:p w14:paraId="76051CDE">
      <w:pPr>
        <w:jc w:val="center"/>
        <w:rPr>
          <w:rFonts w:ascii="黑体" w:eastAsia="黑体"/>
          <w:sz w:val="52"/>
          <w:szCs w:val="52"/>
        </w:rPr>
      </w:pPr>
    </w:p>
    <w:p w14:paraId="19478E1D">
      <w:pPr>
        <w:jc w:val="center"/>
        <w:rPr>
          <w:rFonts w:ascii="黑体" w:eastAsia="黑体"/>
          <w:sz w:val="52"/>
          <w:szCs w:val="52"/>
        </w:rPr>
      </w:pPr>
    </w:p>
    <w:p w14:paraId="4B8100A3">
      <w:pPr>
        <w:jc w:val="center"/>
        <w:rPr>
          <w:rFonts w:ascii="黑体" w:eastAsia="黑体"/>
          <w:sz w:val="52"/>
          <w:szCs w:val="52"/>
        </w:rPr>
      </w:pPr>
    </w:p>
    <w:p w14:paraId="3F1B2A48">
      <w:pPr>
        <w:jc w:val="center"/>
        <w:rPr>
          <w:rFonts w:ascii="黑体" w:eastAsia="黑体"/>
          <w:sz w:val="32"/>
          <w:szCs w:val="32"/>
        </w:rPr>
      </w:pPr>
    </w:p>
    <w:p w14:paraId="6187880F">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51D8F367">
      <w:pPr>
        <w:spacing w:line="500" w:lineRule="exact"/>
        <w:ind w:firstLine="645"/>
        <w:jc w:val="center"/>
        <w:rPr>
          <w:rFonts w:ascii="宋体" w:hAnsi="宋体" w:cs="宋体"/>
          <w:b/>
          <w:bCs/>
          <w:kern w:val="0"/>
          <w:sz w:val="36"/>
          <w:szCs w:val="36"/>
        </w:rPr>
      </w:pPr>
    </w:p>
    <w:p w14:paraId="2EBCB988">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2024年度部门决算报表</w:t>
      </w:r>
    </w:p>
    <w:p w14:paraId="4DD1D7D0">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65A52E4F">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554C14BE">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228D5F78">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580B37F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0118CF16">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5ABE51D2">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7D2B65D4">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2814BBD9">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九、国有资本经营预算财政拨款支出决算表</w:t>
      </w:r>
    </w:p>
    <w:p w14:paraId="587C79F2">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5D383CC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6485A56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十二、政府购买服务决算公开情况表</w:t>
      </w:r>
    </w:p>
    <w:p w14:paraId="126B0312">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2024年度部门决算说明</w:t>
      </w:r>
    </w:p>
    <w:p w14:paraId="7C1C7061">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2024年度</w:t>
      </w:r>
      <w:r>
        <w:rPr>
          <w:rFonts w:hint="eastAsia" w:ascii="宋体" w:hAnsi="宋体" w:cs="宋体"/>
          <w:spacing w:val="40"/>
          <w:kern w:val="0"/>
          <w:sz w:val="32"/>
          <w:szCs w:val="32"/>
        </w:rPr>
        <w:t>其他重要事项的情况说明</w:t>
      </w:r>
    </w:p>
    <w:p w14:paraId="77523D3A">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2024年度部门绩效评价情况</w:t>
      </w:r>
    </w:p>
    <w:p w14:paraId="2FAA6974">
      <w:pPr>
        <w:tabs>
          <w:tab w:val="center" w:pos="6979"/>
        </w:tabs>
        <w:spacing w:before="156" w:beforeLines="50" w:after="156" w:afterLines="50"/>
        <w:jc w:val="center"/>
        <w:rPr>
          <w:rFonts w:ascii="宋体" w:hAnsi="宋体" w:cs="宋体"/>
          <w:b/>
          <w:bCs/>
          <w:spacing w:val="40"/>
          <w:kern w:val="0"/>
          <w:sz w:val="32"/>
          <w:szCs w:val="32"/>
        </w:rPr>
      </w:pPr>
    </w:p>
    <w:p w14:paraId="1432DDDA">
      <w:pPr>
        <w:tabs>
          <w:tab w:val="center" w:pos="6979"/>
        </w:tabs>
        <w:spacing w:before="156" w:beforeLines="50" w:after="156" w:afterLines="50"/>
        <w:jc w:val="center"/>
        <w:rPr>
          <w:rFonts w:ascii="宋体" w:hAnsi="宋体" w:cs="宋体"/>
          <w:b/>
          <w:bCs/>
          <w:spacing w:val="40"/>
          <w:kern w:val="0"/>
          <w:sz w:val="32"/>
          <w:szCs w:val="32"/>
        </w:rPr>
      </w:pPr>
    </w:p>
    <w:p w14:paraId="17808B19">
      <w:pPr>
        <w:tabs>
          <w:tab w:val="center" w:pos="6979"/>
        </w:tabs>
        <w:spacing w:before="156" w:beforeLines="50" w:after="156" w:afterLines="50"/>
        <w:jc w:val="center"/>
        <w:rPr>
          <w:rFonts w:ascii="宋体" w:hAnsi="宋体" w:cs="宋体"/>
          <w:b/>
          <w:bCs/>
          <w:spacing w:val="40"/>
          <w:kern w:val="0"/>
          <w:sz w:val="32"/>
          <w:szCs w:val="32"/>
        </w:rPr>
      </w:pPr>
    </w:p>
    <w:p w14:paraId="1CC5D26F">
      <w:pPr>
        <w:tabs>
          <w:tab w:val="center" w:pos="6979"/>
        </w:tabs>
        <w:spacing w:before="156" w:beforeLines="50" w:after="156" w:afterLines="50"/>
        <w:jc w:val="center"/>
        <w:rPr>
          <w:rFonts w:ascii="宋体" w:hAnsi="宋体" w:cs="宋体"/>
          <w:b/>
          <w:bCs/>
          <w:spacing w:val="40"/>
          <w:kern w:val="0"/>
          <w:sz w:val="32"/>
          <w:szCs w:val="32"/>
        </w:rPr>
      </w:pPr>
    </w:p>
    <w:p w14:paraId="6AD8B930">
      <w:pPr>
        <w:tabs>
          <w:tab w:val="center" w:pos="6979"/>
        </w:tabs>
        <w:spacing w:before="156" w:beforeLines="50" w:after="156" w:afterLines="50"/>
        <w:jc w:val="center"/>
        <w:rPr>
          <w:rFonts w:ascii="宋体" w:hAnsi="宋体" w:cs="宋体"/>
          <w:b/>
          <w:bCs/>
          <w:spacing w:val="40"/>
          <w:kern w:val="0"/>
          <w:sz w:val="32"/>
          <w:szCs w:val="32"/>
        </w:rPr>
      </w:pPr>
    </w:p>
    <w:p w14:paraId="63AF2927">
      <w:pPr>
        <w:tabs>
          <w:tab w:val="center" w:pos="6979"/>
        </w:tabs>
        <w:spacing w:before="156" w:beforeLines="50" w:after="156" w:afterLines="50"/>
        <w:jc w:val="center"/>
        <w:rPr>
          <w:rFonts w:ascii="宋体" w:hAnsi="宋体" w:cs="宋体"/>
          <w:b/>
          <w:bCs/>
          <w:spacing w:val="40"/>
          <w:kern w:val="0"/>
          <w:sz w:val="22"/>
          <w:szCs w:val="32"/>
        </w:rPr>
      </w:pPr>
      <w:r>
        <w:rPr>
          <w:rFonts w:hint="eastAsia" w:ascii="宋体" w:hAnsi="宋体" w:cs="宋体"/>
          <w:b/>
          <w:bCs/>
          <w:spacing w:val="40"/>
          <w:kern w:val="0"/>
          <w:sz w:val="32"/>
          <w:szCs w:val="44"/>
        </w:rPr>
        <w:t>第一部分 2024年度部门决算报表</w:t>
      </w:r>
    </w:p>
    <w:p w14:paraId="42315B95">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77B54DED">
      <w:pPr>
        <w:tabs>
          <w:tab w:val="center" w:pos="6979"/>
        </w:tabs>
        <w:spacing w:before="156" w:beforeLines="50" w:after="156"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2024年度部门决算说明</w:t>
      </w:r>
    </w:p>
    <w:p w14:paraId="39B06CF2">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一、单位基本情况</w:t>
      </w:r>
    </w:p>
    <w:p w14:paraId="2AF22E59">
      <w:pPr>
        <w:ind w:firstLine="560" w:firstLineChars="200"/>
        <w:jc w:val="left"/>
        <w:rPr>
          <w:rFonts w:ascii="仿宋" w:hAnsi="仿宋" w:eastAsia="仿宋" w:cs="宋体"/>
          <w:bCs/>
          <w:color w:val="000000"/>
          <w:sz w:val="28"/>
          <w:szCs w:val="28"/>
        </w:rPr>
      </w:pPr>
      <w:r>
        <w:rPr>
          <w:rFonts w:hint="eastAsia" w:ascii="仿宋" w:hAnsi="仿宋" w:eastAsia="仿宋"/>
          <w:bCs/>
          <w:color w:val="000000"/>
          <w:sz w:val="28"/>
          <w:szCs w:val="28"/>
        </w:rPr>
        <w:t>1</w:t>
      </w:r>
      <w:r>
        <w:rPr>
          <w:rFonts w:hint="eastAsia" w:ascii="仿宋" w:hAnsi="仿宋" w:eastAsia="仿宋" w:cs="宋体"/>
          <w:bCs/>
          <w:color w:val="000000"/>
          <w:sz w:val="28"/>
          <w:szCs w:val="28"/>
        </w:rPr>
        <w:t>.单位职责</w:t>
      </w:r>
    </w:p>
    <w:p w14:paraId="20D37D28">
      <w:pPr>
        <w:jc w:val="left"/>
        <w:rPr>
          <w:rFonts w:ascii="仿宋" w:hAnsi="仿宋" w:eastAsia="仿宋" w:cs="仿宋"/>
          <w:bCs/>
          <w:color w:val="000000"/>
          <w:sz w:val="28"/>
          <w:szCs w:val="28"/>
        </w:rPr>
      </w:pPr>
      <w:r>
        <w:rPr>
          <w:rFonts w:hint="eastAsia" w:ascii="宋体" w:hAnsi="宋体" w:cs="宋体"/>
          <w:bCs/>
          <w:color w:val="000000"/>
          <w:sz w:val="28"/>
          <w:szCs w:val="28"/>
        </w:rPr>
        <w:t xml:space="preserve">    </w:t>
      </w:r>
      <w:r>
        <w:rPr>
          <w:rFonts w:hint="eastAsia" w:ascii="仿宋" w:hAnsi="仿宋" w:eastAsia="仿宋" w:cs="仿宋"/>
          <w:bCs/>
          <w:color w:val="000000"/>
          <w:sz w:val="28"/>
          <w:szCs w:val="28"/>
        </w:rPr>
        <w:t>为本地学龄前儿童提供优质的保育教育服务。</w:t>
      </w:r>
    </w:p>
    <w:p w14:paraId="6BA2BB48">
      <w:pPr>
        <w:jc w:val="left"/>
        <w:rPr>
          <w:rFonts w:ascii="仿宋" w:hAnsi="仿宋" w:eastAsia="仿宋" w:cs="仿宋"/>
          <w:bCs/>
          <w:color w:val="000000"/>
          <w:sz w:val="28"/>
          <w:szCs w:val="28"/>
        </w:rPr>
      </w:pPr>
      <w:r>
        <w:rPr>
          <w:rFonts w:hint="eastAsia" w:ascii="仿宋" w:hAnsi="仿宋" w:eastAsia="仿宋" w:cs="仿宋"/>
          <w:bCs/>
          <w:color w:val="000000"/>
          <w:sz w:val="28"/>
          <w:szCs w:val="28"/>
        </w:rPr>
        <w:t xml:space="preserve">    2.机构情况</w:t>
      </w:r>
    </w:p>
    <w:p w14:paraId="35B1F9F1">
      <w:pPr>
        <w:ind w:firstLine="576"/>
        <w:jc w:val="left"/>
        <w:rPr>
          <w:rFonts w:ascii="仿宋" w:hAnsi="仿宋" w:eastAsia="仿宋" w:cs="仿宋"/>
          <w:bCs/>
          <w:sz w:val="28"/>
          <w:szCs w:val="28"/>
        </w:rPr>
      </w:pPr>
      <w:r>
        <w:rPr>
          <w:rFonts w:hint="eastAsia" w:ascii="仿宋" w:hAnsi="仿宋" w:eastAsia="仿宋" w:cs="仿宋"/>
          <w:bCs/>
          <w:sz w:val="28"/>
          <w:szCs w:val="28"/>
        </w:rPr>
        <w:t>单位内部设有园长室、副园长室、主任室、总务室、财务室、保健室等部门。</w:t>
      </w:r>
    </w:p>
    <w:p w14:paraId="4FDA07B3">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6A0F8BE2">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2678.75</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减少3.57万元，下降0.13%。</w:t>
      </w:r>
    </w:p>
    <w:p w14:paraId="080621CB">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14:paraId="031C9F63">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2024年度本年收入合计</w:t>
      </w:r>
      <w:r>
        <w:rPr>
          <w:rFonts w:ascii="仿宋_GB2312" w:eastAsia="仿宋_GB2312"/>
          <w:sz w:val="28"/>
          <w:szCs w:val="28"/>
        </w:rPr>
        <w:t>2496.43</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减少123.05万元，下降4.7%。</w:t>
      </w:r>
    </w:p>
    <w:p w14:paraId="5CF49A1E">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1.财政拨款收入</w:t>
      </w:r>
      <w:bookmarkStart w:id="0" w:name="OLE_LINK4"/>
      <w:bookmarkStart w:id="1" w:name="OLE_LINK3"/>
      <w:r>
        <w:rPr>
          <w:rFonts w:ascii="仿宋_GB2312" w:eastAsia="仿宋_GB2312"/>
          <w:sz w:val="28"/>
          <w:szCs w:val="28"/>
        </w:rPr>
        <w:t>2496.43</w:t>
      </w:r>
      <w:bookmarkEnd w:id="0"/>
      <w:bookmarkEnd w:id="1"/>
      <w:r>
        <w:rPr>
          <w:rFonts w:hint="eastAsia" w:ascii="仿宋_GB2312" w:eastAsia="仿宋_GB2312"/>
          <w:sz w:val="28"/>
          <w:szCs w:val="28"/>
        </w:rPr>
        <w:t>万元，占收入合计的</w:t>
      </w:r>
      <w:r>
        <w:rPr>
          <w:rFonts w:ascii="仿宋_GB2312" w:eastAsia="仿宋_GB2312"/>
          <w:sz w:val="28"/>
          <w:szCs w:val="28"/>
        </w:rPr>
        <w:t>100</w:t>
      </w:r>
      <w:r>
        <w:rPr>
          <w:rFonts w:hint="eastAsia" w:ascii="仿宋_GB2312" w:eastAsia="仿宋_GB2312"/>
          <w:sz w:val="28"/>
          <w:szCs w:val="28"/>
        </w:rPr>
        <w:t>%。其中：一般公共预算财政拨款收入</w:t>
      </w:r>
      <w:r>
        <w:rPr>
          <w:rFonts w:ascii="仿宋_GB2312" w:eastAsia="仿宋_GB2312"/>
          <w:sz w:val="28"/>
          <w:szCs w:val="28"/>
        </w:rPr>
        <w:t>2496.43</w:t>
      </w:r>
      <w:r>
        <w:rPr>
          <w:rFonts w:hint="eastAsia" w:ascii="仿宋_GB2312" w:eastAsia="仿宋_GB2312"/>
          <w:sz w:val="28"/>
          <w:szCs w:val="28"/>
        </w:rPr>
        <w:t>万元，占收入合计的</w:t>
      </w:r>
      <w:r>
        <w:rPr>
          <w:rFonts w:ascii="仿宋_GB2312" w:eastAsia="仿宋_GB2312"/>
          <w:sz w:val="28"/>
          <w:szCs w:val="28"/>
        </w:rPr>
        <w:t>100</w:t>
      </w:r>
      <w:r>
        <w:rPr>
          <w:rFonts w:hint="eastAsia" w:ascii="仿宋_GB2312" w:eastAsia="仿宋_GB2312"/>
          <w:sz w:val="28"/>
          <w:szCs w:val="28"/>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14:paraId="29EC6F93">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万元，占收入合计的0%；</w:t>
      </w:r>
    </w:p>
    <w:p w14:paraId="5FD8FE31">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万元，占收入合计的0%；</w:t>
      </w:r>
    </w:p>
    <w:p w14:paraId="0FEF3BC8">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万元，占收入合计的0%；</w:t>
      </w:r>
    </w:p>
    <w:p w14:paraId="4F3B34DE">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万元，占收入合计的0%；</w:t>
      </w:r>
    </w:p>
    <w:p w14:paraId="0A50AC74">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万元，占收入合计的0%。</w:t>
      </w:r>
    </w:p>
    <w:p w14:paraId="2003D371">
      <w:pPr>
        <w:pStyle w:val="2"/>
        <w:jc w:val="center"/>
      </w:pPr>
      <w:r>
        <w:rPr>
          <w:rFonts w:hint="eastAsia" w:ascii="仿宋_GB2312" w:eastAsia="仿宋_GB2312"/>
          <w:color w:val="000000"/>
          <w:sz w:val="32"/>
        </w:rPr>
        <w:t>图1：收入决算</w:t>
      </w:r>
    </w:p>
    <w:p w14:paraId="6DB1ED67">
      <w:pPr>
        <w:pStyle w:val="4"/>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624CF60C">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19DA5839">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2024年度本年支出合计</w:t>
      </w:r>
      <w:r>
        <w:rPr>
          <w:rFonts w:ascii="仿宋_GB2312" w:eastAsia="仿宋_GB2312"/>
          <w:sz w:val="28"/>
          <w:szCs w:val="28"/>
        </w:rPr>
        <w:t>2678.75</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减少3</w:t>
      </w:r>
      <w:r>
        <w:rPr>
          <w:rFonts w:ascii="仿宋_GB2312" w:eastAsia="仿宋_GB2312"/>
          <w:sz w:val="28"/>
          <w:szCs w:val="28"/>
        </w:rPr>
        <w:t>.57</w:t>
      </w:r>
      <w:r>
        <w:rPr>
          <w:rFonts w:hint="eastAsia" w:ascii="仿宋_GB2312" w:eastAsia="仿宋_GB2312"/>
          <w:sz w:val="28"/>
          <w:szCs w:val="28"/>
        </w:rPr>
        <w:t>万元，下降0</w:t>
      </w:r>
      <w:r>
        <w:rPr>
          <w:rFonts w:ascii="仿宋_GB2312" w:eastAsia="仿宋_GB2312"/>
          <w:sz w:val="28"/>
          <w:szCs w:val="28"/>
        </w:rPr>
        <w:t>.13</w:t>
      </w:r>
      <w:r>
        <w:rPr>
          <w:rFonts w:hint="eastAsia" w:ascii="仿宋_GB2312" w:eastAsia="仿宋_GB2312"/>
          <w:sz w:val="28"/>
          <w:szCs w:val="28"/>
        </w:rPr>
        <w:t>%，其中：基本支出</w:t>
      </w:r>
      <w:r>
        <w:rPr>
          <w:rFonts w:ascii="仿宋_GB2312" w:eastAsia="仿宋_GB2312"/>
          <w:sz w:val="28"/>
          <w:szCs w:val="28"/>
        </w:rPr>
        <w:t>2288.59</w:t>
      </w:r>
      <w:r>
        <w:rPr>
          <w:rFonts w:hint="eastAsia" w:ascii="仿宋_GB2312" w:eastAsia="仿宋_GB2312"/>
          <w:sz w:val="28"/>
          <w:szCs w:val="28"/>
        </w:rPr>
        <w:t>万元，占支出合计的85.43%；项目支出</w:t>
      </w:r>
      <w:r>
        <w:rPr>
          <w:rFonts w:ascii="仿宋_GB2312" w:eastAsia="仿宋_GB2312"/>
          <w:sz w:val="28"/>
          <w:szCs w:val="28"/>
        </w:rPr>
        <w:t>390.16</w:t>
      </w:r>
      <w:r>
        <w:rPr>
          <w:rFonts w:hint="eastAsia" w:ascii="仿宋_GB2312" w:eastAsia="仿宋_GB2312"/>
          <w:sz w:val="28"/>
          <w:szCs w:val="28"/>
        </w:rPr>
        <w:t>万元，占支出合计的14.57%;上缴上级支出</w:t>
      </w:r>
      <w:r>
        <w:rPr>
          <w:rFonts w:ascii="仿宋_GB2312" w:eastAsia="仿宋_GB2312"/>
          <w:sz w:val="28"/>
          <w:szCs w:val="28"/>
        </w:rPr>
        <w:t>0</w:t>
      </w:r>
      <w:r>
        <w:rPr>
          <w:rFonts w:hint="eastAsia" w:ascii="仿宋_GB2312" w:eastAsia="仿宋_GB2312"/>
          <w:sz w:val="28"/>
          <w:szCs w:val="28"/>
        </w:rPr>
        <w:t>万元，占支出合计的0%；经营支出</w:t>
      </w:r>
      <w:r>
        <w:rPr>
          <w:rFonts w:ascii="仿宋_GB2312" w:eastAsia="仿宋_GB2312"/>
          <w:sz w:val="28"/>
          <w:szCs w:val="28"/>
        </w:rPr>
        <w:t>0</w:t>
      </w:r>
      <w:r>
        <w:rPr>
          <w:rFonts w:hint="eastAsia" w:ascii="仿宋_GB2312" w:eastAsia="仿宋_GB2312"/>
          <w:sz w:val="28"/>
          <w:szCs w:val="28"/>
        </w:rPr>
        <w:t>万元，占支出合计的0%；对附属单位补助支出</w:t>
      </w:r>
      <w:r>
        <w:rPr>
          <w:rFonts w:ascii="仿宋_GB2312" w:eastAsia="仿宋_GB2312"/>
          <w:sz w:val="28"/>
          <w:szCs w:val="28"/>
        </w:rPr>
        <w:t>0</w:t>
      </w:r>
      <w:r>
        <w:rPr>
          <w:rFonts w:hint="eastAsia" w:ascii="仿宋_GB2312" w:eastAsia="仿宋_GB2312"/>
          <w:sz w:val="28"/>
          <w:szCs w:val="28"/>
        </w:rPr>
        <w:t>万元，占支出合计的0%。</w:t>
      </w:r>
    </w:p>
    <w:p w14:paraId="369F5394">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71C82E7A">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6FE5C586">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5CCDA6AB">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2678.75</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减少3.57万元，下降0.13%。主要原因：</w:t>
      </w:r>
      <w:bookmarkStart w:id="2" w:name="OLE_LINK7"/>
      <w:r>
        <w:rPr>
          <w:rFonts w:hint="eastAsia" w:ascii="仿宋_GB2312" w:eastAsia="仿宋_GB2312"/>
          <w:sz w:val="28"/>
          <w:szCs w:val="28"/>
        </w:rPr>
        <w:t>教职工指标数减少，临时辅助用工人数减少，项目经费减少；幼儿数减少，生均公用经费减少。</w:t>
      </w:r>
      <w:bookmarkEnd w:id="2"/>
    </w:p>
    <w:p w14:paraId="6960A806">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14:paraId="02747C28">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14:paraId="7D6D6441">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2024年度一般公共预算财政拨款支出</w:t>
      </w:r>
      <w:r>
        <w:rPr>
          <w:rFonts w:ascii="仿宋_GB2312" w:eastAsia="仿宋_GB2312"/>
          <w:sz w:val="28"/>
          <w:szCs w:val="28"/>
        </w:rPr>
        <w:t>2678.75</w:t>
      </w:r>
      <w:r>
        <w:rPr>
          <w:rFonts w:hint="eastAsia" w:ascii="仿宋_GB2312" w:eastAsia="仿宋_GB2312"/>
          <w:sz w:val="28"/>
          <w:szCs w:val="28"/>
        </w:rPr>
        <w:t>万元，主要用于以下方面：教育支出</w:t>
      </w:r>
      <w:r>
        <w:rPr>
          <w:rFonts w:ascii="仿宋_GB2312" w:eastAsia="仿宋_GB2312"/>
          <w:sz w:val="28"/>
          <w:szCs w:val="28"/>
        </w:rPr>
        <w:t>2083.41</w:t>
      </w:r>
      <w:r>
        <w:rPr>
          <w:rFonts w:hint="eastAsia" w:ascii="仿宋_GB2312" w:eastAsia="仿宋_GB2312"/>
          <w:sz w:val="28"/>
          <w:szCs w:val="28"/>
        </w:rPr>
        <w:t>万元，占支出合计的</w:t>
      </w:r>
      <w:r>
        <w:rPr>
          <w:rFonts w:ascii="仿宋_GB2312" w:eastAsia="仿宋_GB2312"/>
          <w:sz w:val="28"/>
          <w:szCs w:val="28"/>
        </w:rPr>
        <w:t>77.78</w:t>
      </w:r>
      <w:r>
        <w:rPr>
          <w:rFonts w:hint="eastAsia" w:ascii="仿宋_GB2312" w:eastAsia="仿宋_GB2312"/>
          <w:sz w:val="28"/>
          <w:szCs w:val="28"/>
        </w:rPr>
        <w:t>%；社会保障和就业支出</w:t>
      </w:r>
      <w:r>
        <w:rPr>
          <w:rFonts w:ascii="仿宋_GB2312" w:eastAsia="仿宋_GB2312"/>
          <w:sz w:val="28"/>
          <w:szCs w:val="28"/>
        </w:rPr>
        <w:t>239.34</w:t>
      </w:r>
      <w:r>
        <w:rPr>
          <w:rFonts w:hint="eastAsia" w:ascii="仿宋_GB2312" w:eastAsia="仿宋_GB2312"/>
          <w:sz w:val="28"/>
          <w:szCs w:val="28"/>
        </w:rPr>
        <w:t>万元，占支出合计的</w:t>
      </w:r>
      <w:r>
        <w:rPr>
          <w:rFonts w:ascii="仿宋_GB2312" w:eastAsia="仿宋_GB2312"/>
          <w:sz w:val="28"/>
          <w:szCs w:val="28"/>
        </w:rPr>
        <w:t>8.93</w:t>
      </w:r>
      <w:r>
        <w:rPr>
          <w:rFonts w:hint="eastAsia" w:ascii="仿宋_GB2312" w:eastAsia="仿宋_GB2312"/>
          <w:sz w:val="28"/>
          <w:szCs w:val="28"/>
        </w:rPr>
        <w:t>%;卫生健康支出</w:t>
      </w:r>
      <w:r>
        <w:rPr>
          <w:rFonts w:ascii="仿宋_GB2312" w:eastAsia="仿宋_GB2312"/>
          <w:sz w:val="28"/>
          <w:szCs w:val="28"/>
        </w:rPr>
        <w:t>173.69</w:t>
      </w:r>
      <w:r>
        <w:rPr>
          <w:rFonts w:hint="eastAsia" w:ascii="仿宋_GB2312" w:eastAsia="仿宋_GB2312"/>
          <w:sz w:val="28"/>
          <w:szCs w:val="28"/>
        </w:rPr>
        <w:t>万元，占支出合计的</w:t>
      </w:r>
      <w:r>
        <w:rPr>
          <w:rFonts w:ascii="仿宋_GB2312" w:eastAsia="仿宋_GB2312"/>
          <w:sz w:val="28"/>
          <w:szCs w:val="28"/>
        </w:rPr>
        <w:t>6</w:t>
      </w:r>
      <w:r>
        <w:rPr>
          <w:rFonts w:hint="eastAsia" w:ascii="仿宋_GB2312" w:eastAsia="仿宋_GB2312"/>
          <w:sz w:val="28"/>
          <w:szCs w:val="28"/>
        </w:rPr>
        <w:t>.4</w:t>
      </w:r>
      <w:r>
        <w:rPr>
          <w:rFonts w:ascii="仿宋_GB2312" w:eastAsia="仿宋_GB2312"/>
          <w:sz w:val="28"/>
          <w:szCs w:val="28"/>
        </w:rPr>
        <w:t>8</w:t>
      </w:r>
      <w:r>
        <w:rPr>
          <w:rFonts w:hint="eastAsia" w:ascii="仿宋_GB2312" w:eastAsia="仿宋_GB2312"/>
          <w:sz w:val="28"/>
          <w:szCs w:val="28"/>
        </w:rPr>
        <w:t>%；住房保障支出</w:t>
      </w:r>
      <w:r>
        <w:rPr>
          <w:rFonts w:ascii="仿宋_GB2312" w:eastAsia="仿宋_GB2312"/>
          <w:sz w:val="28"/>
          <w:szCs w:val="28"/>
        </w:rPr>
        <w:t>182.32</w:t>
      </w:r>
      <w:r>
        <w:rPr>
          <w:rFonts w:hint="eastAsia" w:ascii="仿宋_GB2312" w:eastAsia="仿宋_GB2312"/>
          <w:sz w:val="28"/>
          <w:szCs w:val="28"/>
        </w:rPr>
        <w:t>万元，占本年财政拨款支出</w:t>
      </w:r>
      <w:r>
        <w:rPr>
          <w:rFonts w:ascii="仿宋_GB2312" w:eastAsia="仿宋_GB2312"/>
          <w:sz w:val="28"/>
          <w:szCs w:val="28"/>
        </w:rPr>
        <w:t>6.81</w:t>
      </w:r>
      <w:r>
        <w:rPr>
          <w:rFonts w:hint="eastAsia" w:ascii="仿宋_GB2312" w:eastAsia="仿宋_GB2312"/>
          <w:sz w:val="28"/>
          <w:szCs w:val="28"/>
        </w:rPr>
        <w:t>%。城乡社区支出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w:t>
      </w:r>
    </w:p>
    <w:p w14:paraId="3ED3AA2A">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（二）一般公共预算财政拨款支出决算具体情况</w:t>
      </w:r>
    </w:p>
    <w:p w14:paraId="3C11D5E2">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1、“教育支出”（类）2024年度年初预算2059.78万元，2024年度决算</w:t>
      </w:r>
      <w:r>
        <w:rPr>
          <w:rFonts w:ascii="仿宋_GB2312" w:eastAsia="仿宋_GB2312"/>
          <w:sz w:val="28"/>
          <w:szCs w:val="28"/>
        </w:rPr>
        <w:t>2083.41</w:t>
      </w:r>
      <w:r>
        <w:rPr>
          <w:rFonts w:hint="eastAsia" w:ascii="仿宋_GB2312" w:eastAsia="仿宋_GB2312"/>
          <w:sz w:val="28"/>
          <w:szCs w:val="28"/>
        </w:rPr>
        <w:t>万元，完成年初预算的101.15%。</w:t>
      </w:r>
    </w:p>
    <w:p w14:paraId="1D10AD0E">
      <w:pPr>
        <w:autoSpaceDE w:val="0"/>
        <w:autoSpaceDN w:val="0"/>
        <w:adjustRightInd w:val="0"/>
        <w:spacing w:line="580" w:lineRule="exact"/>
        <w:jc w:val="left"/>
        <w:rPr>
          <w:rFonts w:ascii="仿宋_GB2312" w:eastAsia="仿宋_GB2312"/>
          <w:sz w:val="28"/>
          <w:szCs w:val="28"/>
        </w:rPr>
      </w:pPr>
      <w:r>
        <w:rPr>
          <w:rFonts w:hint="eastAsia" w:ascii="仿宋_GB2312" w:eastAsia="仿宋_GB2312"/>
          <w:sz w:val="28"/>
          <w:szCs w:val="28"/>
        </w:rPr>
        <w:t>其中：</w:t>
      </w:r>
    </w:p>
    <w:p w14:paraId="7BD6CD18">
      <w:pPr>
        <w:spacing w:line="580" w:lineRule="exact"/>
        <w:ind w:firstLine="560" w:firstLineChars="200"/>
        <w:rPr>
          <w:rFonts w:ascii="仿宋_GB2312" w:eastAsia="仿宋_GB2312"/>
          <w:sz w:val="28"/>
          <w:szCs w:val="28"/>
        </w:rPr>
      </w:pPr>
      <w:r>
        <w:rPr>
          <w:rFonts w:hint="eastAsia" w:ascii="仿宋_GB2312" w:eastAsia="仿宋_GB2312"/>
          <w:sz w:val="28"/>
          <w:szCs w:val="28"/>
        </w:rPr>
        <w:t>“普通教育”（款）2024年度年初预算2059.78万元，2024年度决算</w:t>
      </w:r>
      <w:r>
        <w:rPr>
          <w:rFonts w:ascii="仿宋_GB2312" w:eastAsia="仿宋_GB2312"/>
          <w:sz w:val="28"/>
          <w:szCs w:val="28"/>
        </w:rPr>
        <w:t>2083.41</w:t>
      </w:r>
      <w:r>
        <w:rPr>
          <w:rFonts w:hint="eastAsia" w:ascii="仿宋_GB2312" w:eastAsia="仿宋_GB2312"/>
          <w:sz w:val="28"/>
          <w:szCs w:val="28"/>
        </w:rPr>
        <w:t>万元，完成年初预算的101.15%。主要原因：社保基数和公积金基数调整增加，残保金增加。</w:t>
      </w:r>
    </w:p>
    <w:p w14:paraId="38D41A73">
      <w:pPr>
        <w:spacing w:line="580" w:lineRule="exact"/>
        <w:ind w:firstLine="560" w:firstLineChars="200"/>
        <w:rPr>
          <w:rFonts w:ascii="仿宋_GB2312" w:eastAsia="仿宋_GB2312"/>
          <w:sz w:val="28"/>
          <w:szCs w:val="28"/>
        </w:rPr>
      </w:pPr>
      <w:r>
        <w:rPr>
          <w:rFonts w:hint="eastAsia" w:ascii="仿宋_GB2312" w:eastAsia="仿宋_GB2312"/>
          <w:sz w:val="28"/>
          <w:szCs w:val="28"/>
        </w:rPr>
        <w:t>2、“社会保障和就业支出”(类) 2024年度年初预算210.27万元，2024年度决算</w:t>
      </w:r>
      <w:r>
        <w:rPr>
          <w:rFonts w:ascii="仿宋_GB2312" w:eastAsia="仿宋_GB2312"/>
          <w:sz w:val="28"/>
          <w:szCs w:val="28"/>
        </w:rPr>
        <w:t>239.34</w:t>
      </w:r>
      <w:r>
        <w:rPr>
          <w:rFonts w:hint="eastAsia" w:ascii="仿宋_GB2312" w:eastAsia="仿宋_GB2312"/>
          <w:sz w:val="28"/>
          <w:szCs w:val="28"/>
        </w:rPr>
        <w:t>万元，完成年初预算的113.83%。其中：</w:t>
      </w:r>
    </w:p>
    <w:p w14:paraId="52FA8DEB">
      <w:pPr>
        <w:spacing w:line="580" w:lineRule="exact"/>
        <w:ind w:firstLine="560" w:firstLineChars="200"/>
        <w:rPr>
          <w:rFonts w:ascii="仿宋_GB2312" w:eastAsia="仿宋_GB2312"/>
          <w:sz w:val="28"/>
          <w:szCs w:val="28"/>
        </w:rPr>
      </w:pPr>
      <w:r>
        <w:rPr>
          <w:rFonts w:hint="eastAsia" w:ascii="仿宋_GB2312" w:eastAsia="仿宋_GB2312"/>
          <w:sz w:val="28"/>
          <w:szCs w:val="28"/>
        </w:rPr>
        <w:t>“行政事业单位养老支出”（款）2024年度年初预算210.27万元，2024年度决算</w:t>
      </w:r>
      <w:r>
        <w:rPr>
          <w:rFonts w:ascii="仿宋_GB2312" w:eastAsia="仿宋_GB2312"/>
          <w:sz w:val="28"/>
          <w:szCs w:val="28"/>
        </w:rPr>
        <w:t>239.34</w:t>
      </w:r>
      <w:r>
        <w:rPr>
          <w:rFonts w:hint="eastAsia" w:ascii="仿宋_GB2312" w:eastAsia="仿宋_GB2312"/>
          <w:sz w:val="28"/>
          <w:szCs w:val="28"/>
        </w:rPr>
        <w:t>万元，完成年初预算的113.83%。主要原因：养老保险基数调整增加，机关事业单位基本养老保险缴费支出及机关事业单位职业年金缴费支出增加。</w:t>
      </w:r>
    </w:p>
    <w:p w14:paraId="0A0B26D5">
      <w:pPr>
        <w:spacing w:line="580" w:lineRule="exact"/>
        <w:ind w:firstLine="560" w:firstLineChars="200"/>
        <w:rPr>
          <w:rFonts w:ascii="仿宋_GB2312" w:eastAsia="仿宋_GB2312"/>
          <w:sz w:val="28"/>
          <w:szCs w:val="28"/>
        </w:rPr>
      </w:pPr>
      <w:r>
        <w:rPr>
          <w:rFonts w:hint="eastAsia" w:ascii="仿宋_GB2312" w:eastAsia="仿宋_GB2312"/>
          <w:sz w:val="28"/>
          <w:szCs w:val="28"/>
        </w:rPr>
        <w:t>3</w:t>
      </w:r>
      <w:r>
        <w:rPr>
          <w:rFonts w:ascii="仿宋_GB2312" w:eastAsia="仿宋_GB2312"/>
          <w:sz w:val="28"/>
          <w:szCs w:val="28"/>
        </w:rPr>
        <w:t>.</w:t>
      </w:r>
      <w:r>
        <w:rPr>
          <w:rFonts w:hint="eastAsia" w:ascii="仿宋_GB2312" w:eastAsia="仿宋_GB2312"/>
          <w:sz w:val="28"/>
          <w:szCs w:val="28"/>
        </w:rPr>
        <w:t xml:space="preserve"> “卫生健康支出”(类) 2024年度年初预算162.70万元，2024年度决算</w:t>
      </w:r>
      <w:r>
        <w:rPr>
          <w:rFonts w:ascii="仿宋_GB2312" w:eastAsia="仿宋_GB2312"/>
          <w:sz w:val="28"/>
          <w:szCs w:val="28"/>
        </w:rPr>
        <w:t>173.69</w:t>
      </w:r>
      <w:r>
        <w:rPr>
          <w:rFonts w:hint="eastAsia" w:ascii="仿宋_GB2312" w:eastAsia="仿宋_GB2312"/>
          <w:sz w:val="28"/>
          <w:szCs w:val="28"/>
        </w:rPr>
        <w:t>万元，完成年初预算的106.75%。其中：</w:t>
      </w:r>
    </w:p>
    <w:p w14:paraId="3CD250A7">
      <w:pPr>
        <w:spacing w:line="580" w:lineRule="exact"/>
        <w:ind w:firstLine="560" w:firstLineChars="200"/>
        <w:rPr>
          <w:rFonts w:ascii="仿宋_GB2312" w:eastAsia="仿宋_GB2312"/>
          <w:sz w:val="28"/>
          <w:szCs w:val="28"/>
        </w:rPr>
      </w:pPr>
      <w:r>
        <w:rPr>
          <w:rFonts w:hint="eastAsia" w:ascii="仿宋_GB2312" w:eastAsia="仿宋_GB2312"/>
          <w:sz w:val="28"/>
          <w:szCs w:val="28"/>
        </w:rPr>
        <w:t>“行政事业单位医疗”（款）2024年度年初预算162.70万元，2024年度决算</w:t>
      </w:r>
      <w:r>
        <w:rPr>
          <w:rFonts w:ascii="仿宋_GB2312" w:eastAsia="仿宋_GB2312"/>
          <w:sz w:val="28"/>
          <w:szCs w:val="28"/>
        </w:rPr>
        <w:t>173.69</w:t>
      </w:r>
      <w:r>
        <w:rPr>
          <w:rFonts w:hint="eastAsia" w:ascii="仿宋_GB2312" w:eastAsia="仿宋_GB2312"/>
          <w:sz w:val="28"/>
          <w:szCs w:val="28"/>
        </w:rPr>
        <w:t>万元，完成年初预算的106.75%。主要原因：医疗保险基数增加，导致缴费增加。</w:t>
      </w:r>
    </w:p>
    <w:p w14:paraId="1AE6CA46">
      <w:pPr>
        <w:spacing w:line="580" w:lineRule="exact"/>
        <w:ind w:firstLine="560" w:firstLineChars="200"/>
        <w:rPr>
          <w:rFonts w:ascii="仿宋_GB2312"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“住房保障支出”(类) 2024年度年初预算0万元，2024年度决算</w:t>
      </w:r>
      <w:r>
        <w:rPr>
          <w:rFonts w:ascii="仿宋_GB2312" w:eastAsia="仿宋_GB2312"/>
          <w:sz w:val="28"/>
          <w:szCs w:val="28"/>
        </w:rPr>
        <w:t>182.32</w:t>
      </w:r>
      <w:r>
        <w:rPr>
          <w:rFonts w:hint="eastAsia" w:ascii="仿宋_GB2312" w:eastAsia="仿宋_GB2312"/>
          <w:sz w:val="28"/>
          <w:szCs w:val="28"/>
        </w:rPr>
        <w:t>万元，年初无预算。其中：</w:t>
      </w:r>
    </w:p>
    <w:p w14:paraId="090AE009">
      <w:pPr>
        <w:spacing w:line="580" w:lineRule="exact"/>
        <w:ind w:firstLine="560" w:firstLineChars="200"/>
        <w:rPr>
          <w:rFonts w:ascii="仿宋_GB2312" w:eastAsia="仿宋_GB2312"/>
          <w:sz w:val="28"/>
          <w:szCs w:val="28"/>
        </w:rPr>
      </w:pPr>
      <w:r>
        <w:rPr>
          <w:rFonts w:hint="eastAsia" w:ascii="仿宋_GB2312" w:eastAsia="仿宋_GB2312"/>
          <w:sz w:val="28"/>
          <w:szCs w:val="28"/>
        </w:rPr>
        <w:t>“住房改革支出”（款）2024年度年初预算0万元，2024年度决算</w:t>
      </w:r>
      <w:r>
        <w:rPr>
          <w:rFonts w:ascii="仿宋_GB2312" w:eastAsia="仿宋_GB2312"/>
          <w:sz w:val="28"/>
          <w:szCs w:val="28"/>
        </w:rPr>
        <w:t>182.32</w:t>
      </w:r>
      <w:r>
        <w:rPr>
          <w:rFonts w:hint="eastAsia" w:ascii="仿宋_GB2312" w:eastAsia="仿宋_GB2312"/>
          <w:sz w:val="28"/>
          <w:szCs w:val="28"/>
        </w:rPr>
        <w:t>万元，年初无预算。主要原因：补发往年度住房补贴。</w:t>
      </w:r>
    </w:p>
    <w:p w14:paraId="29D4A0F5">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14:paraId="37BF5913">
      <w:pPr>
        <w:spacing w:line="560" w:lineRule="exact"/>
        <w:ind w:firstLine="560" w:firstLineChars="200"/>
        <w:rPr>
          <w:rFonts w:ascii="仿宋_GB2312" w:eastAsia="仿宋_GB2312"/>
          <w:sz w:val="28"/>
          <w:szCs w:val="28"/>
        </w:rPr>
      </w:pPr>
      <w:r>
        <w:rPr>
          <w:rFonts w:hint="eastAsia" w:ascii="仿宋_GB2312" w:eastAsia="仿宋_GB2312"/>
          <w:sz w:val="28"/>
          <w:szCs w:val="28"/>
        </w:rPr>
        <w:t>本单位2024年度无政府性基金预算财政拨款安排的支出。</w:t>
      </w:r>
    </w:p>
    <w:p w14:paraId="45566334">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27C1338C">
      <w:pPr>
        <w:ind w:firstLine="560" w:firstLineChars="200"/>
        <w:rPr>
          <w:rFonts w:ascii="仿宋_GB2312" w:eastAsia="仿宋_GB2312"/>
          <w:sz w:val="28"/>
          <w:szCs w:val="28"/>
        </w:rPr>
      </w:pPr>
      <w:r>
        <w:rPr>
          <w:rFonts w:hint="eastAsia" w:ascii="仿宋_GB2312" w:eastAsia="仿宋_GB2312"/>
          <w:sz w:val="28"/>
          <w:szCs w:val="28"/>
        </w:rPr>
        <w:t>本单位2024年度无国有资本经营预算财政</w:t>
      </w:r>
      <w:r>
        <w:rPr>
          <w:rFonts w:ascii="仿宋_GB2312" w:eastAsia="仿宋_GB2312"/>
          <w:sz w:val="28"/>
          <w:szCs w:val="28"/>
        </w:rPr>
        <w:t>拨款</w:t>
      </w:r>
      <w:r>
        <w:rPr>
          <w:rFonts w:hint="eastAsia" w:ascii="仿宋_GB2312" w:eastAsia="仿宋_GB2312"/>
          <w:sz w:val="28"/>
          <w:szCs w:val="28"/>
        </w:rPr>
        <w:t>安排的支出。</w:t>
      </w:r>
    </w:p>
    <w:p w14:paraId="21A2425B">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14:paraId="43180463">
      <w:pPr>
        <w:tabs>
          <w:tab w:val="center" w:pos="6979"/>
        </w:tabs>
        <w:spacing w:line="580" w:lineRule="exact"/>
        <w:ind w:left="569" w:leftChars="266" w:hanging="11" w:hangingChars="4"/>
        <w:rPr>
          <w:rFonts w:ascii="仿宋_GB2312" w:eastAsia="仿宋_GB2312"/>
          <w:sz w:val="28"/>
          <w:szCs w:val="28"/>
          <w:highlight w:val="none"/>
        </w:rPr>
      </w:pPr>
      <w:r>
        <w:rPr>
          <w:rFonts w:hint="eastAsia" w:ascii="仿宋_GB2312" w:eastAsia="仿宋_GB2312"/>
          <w:sz w:val="28"/>
          <w:szCs w:val="28"/>
          <w:highlight w:val="none"/>
        </w:rPr>
        <w:t>2024年度使用一般公共预算财政拨款安排基本支出</w:t>
      </w:r>
      <w:r>
        <w:rPr>
          <w:rFonts w:ascii="仿宋_GB2312" w:eastAsia="仿宋_GB2312"/>
          <w:sz w:val="28"/>
          <w:szCs w:val="28"/>
          <w:highlight w:val="none"/>
        </w:rPr>
        <w:t>2288.59</w:t>
      </w:r>
      <w:r>
        <w:rPr>
          <w:rFonts w:hint="eastAsia" w:ascii="仿宋_GB2312" w:eastAsia="仿宋_GB2312"/>
          <w:sz w:val="28"/>
          <w:szCs w:val="28"/>
          <w:highlight w:val="none"/>
        </w:rPr>
        <w:t>万元，使用政府性基金财政拨款安排基本支出</w:t>
      </w:r>
      <w:r>
        <w:rPr>
          <w:rFonts w:ascii="仿宋_GB2312" w:eastAsia="仿宋_GB2312"/>
          <w:sz w:val="28"/>
          <w:szCs w:val="28"/>
          <w:highlight w:val="none"/>
        </w:rPr>
        <w:t>0</w:t>
      </w:r>
      <w:r>
        <w:rPr>
          <w:rFonts w:hint="eastAsia" w:ascii="仿宋_GB2312" w:eastAsia="仿宋_GB2312"/>
          <w:sz w:val="28"/>
          <w:szCs w:val="28"/>
          <w:highlight w:val="none"/>
        </w:rPr>
        <w:t>万元。其中：</w:t>
      </w:r>
    </w:p>
    <w:p w14:paraId="2120D6F7">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（1）工资福利支出</w:t>
      </w:r>
      <w:r>
        <w:rPr>
          <w:rFonts w:hint="eastAsia" w:ascii="仿宋_GB2312" w:eastAsia="仿宋_GB2312"/>
          <w:sz w:val="28"/>
          <w:szCs w:val="28"/>
          <w:highlight w:val="none"/>
        </w:rPr>
        <w:t>2</w:t>
      </w:r>
      <w:r>
        <w:rPr>
          <w:rFonts w:ascii="仿宋_GB2312" w:eastAsia="仿宋_GB2312"/>
          <w:sz w:val="28"/>
          <w:szCs w:val="28"/>
          <w:highlight w:val="none"/>
        </w:rPr>
        <w:t>117.04</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包括基本工资</w:t>
      </w:r>
      <w:r>
        <w:rPr>
          <w:rFonts w:ascii="仿宋_GB2312" w:eastAsia="仿宋_GB2312"/>
          <w:sz w:val="28"/>
          <w:szCs w:val="28"/>
          <w:highlight w:val="none"/>
        </w:rPr>
        <w:t>、津贴补贴、奖金、伙食补助费、绩效工资、</w:t>
      </w:r>
      <w:r>
        <w:rPr>
          <w:rFonts w:hint="eastAsia" w:ascii="仿宋_GB2312" w:eastAsia="仿宋_GB2312"/>
          <w:sz w:val="28"/>
          <w:szCs w:val="28"/>
          <w:highlight w:val="none"/>
        </w:rPr>
        <w:t>其他</w:t>
      </w:r>
      <w:r>
        <w:rPr>
          <w:rFonts w:ascii="仿宋_GB2312" w:eastAsia="仿宋_GB2312"/>
          <w:sz w:val="28"/>
          <w:szCs w:val="28"/>
          <w:highlight w:val="none"/>
        </w:rPr>
        <w:t>社会保障缴费、其他工资福利</w:t>
      </w:r>
      <w:r>
        <w:rPr>
          <w:rFonts w:hint="eastAsia" w:ascii="仿宋_GB2312" w:eastAsia="仿宋_GB2312"/>
          <w:sz w:val="28"/>
          <w:szCs w:val="28"/>
          <w:highlight w:val="none"/>
        </w:rPr>
        <w:t>等</w:t>
      </w:r>
      <w:r>
        <w:rPr>
          <w:rFonts w:ascii="仿宋_GB2312" w:eastAsia="仿宋_GB2312"/>
          <w:sz w:val="28"/>
          <w:szCs w:val="28"/>
          <w:highlight w:val="none"/>
        </w:rPr>
        <w:t>支出</w:t>
      </w:r>
      <w:r>
        <w:rPr>
          <w:rFonts w:hint="eastAsia" w:ascii="仿宋_GB2312" w:eastAsia="仿宋_GB2312"/>
          <w:sz w:val="28"/>
          <w:szCs w:val="28"/>
          <w:highlight w:val="none"/>
        </w:rPr>
        <w:t>；（2）商品和服务支出1</w:t>
      </w:r>
      <w:r>
        <w:rPr>
          <w:rFonts w:ascii="仿宋_GB2312" w:eastAsia="仿宋_GB2312"/>
          <w:sz w:val="28"/>
          <w:szCs w:val="28"/>
          <w:highlight w:val="none"/>
        </w:rPr>
        <w:t>61.14</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包括</w:t>
      </w:r>
      <w:r>
        <w:rPr>
          <w:rFonts w:ascii="仿宋_GB2312" w:eastAsia="仿宋_GB2312"/>
          <w:sz w:val="28"/>
          <w:szCs w:val="28"/>
          <w:highlight w:val="none"/>
        </w:rPr>
        <w:t>办公费、印刷费、咨询费、手续费、水费、电费、邮电费、取暖费、物业管理</w:t>
      </w:r>
      <w:bookmarkStart w:id="3" w:name="_GoBack"/>
      <w:bookmarkEnd w:id="3"/>
      <w:r>
        <w:rPr>
          <w:rFonts w:ascii="仿宋_GB2312" w:eastAsia="仿宋_GB2312"/>
          <w:sz w:val="28"/>
          <w:szCs w:val="28"/>
          <w:highlight w:val="none"/>
        </w:rPr>
        <w:t>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highlight w:val="none"/>
        </w:rPr>
        <w:t>等</w:t>
      </w:r>
      <w:r>
        <w:rPr>
          <w:rFonts w:ascii="仿宋_GB2312" w:eastAsia="仿宋_GB2312"/>
          <w:sz w:val="28"/>
          <w:szCs w:val="28"/>
          <w:highlight w:val="none"/>
        </w:rPr>
        <w:t>支出</w:t>
      </w:r>
      <w:r>
        <w:rPr>
          <w:rFonts w:hint="eastAsia" w:ascii="仿宋_GB2312" w:eastAsia="仿宋_GB2312"/>
          <w:sz w:val="28"/>
          <w:szCs w:val="28"/>
          <w:highlight w:val="none"/>
        </w:rPr>
        <w:t>；（3）对个人和家庭补助支出</w:t>
      </w:r>
      <w:r>
        <w:rPr>
          <w:rFonts w:ascii="仿宋_GB2312" w:eastAsia="仿宋_GB2312"/>
          <w:sz w:val="28"/>
          <w:szCs w:val="28"/>
          <w:highlight w:val="none"/>
        </w:rPr>
        <w:t>10.42</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包括</w:t>
      </w:r>
      <w:r>
        <w:rPr>
          <w:rFonts w:ascii="仿宋_GB2312" w:eastAsia="仿宋_GB2312"/>
          <w:sz w:val="28"/>
          <w:szCs w:val="28"/>
          <w:highlight w:val="none"/>
        </w:rPr>
        <w:t>离休费、退休费、</w:t>
      </w:r>
      <w:r>
        <w:rPr>
          <w:rFonts w:ascii="仿宋_GB2312" w:eastAsia="仿宋_GB2312"/>
          <w:sz w:val="28"/>
          <w:szCs w:val="28"/>
        </w:rPr>
        <w:t>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w:t>
      </w:r>
      <w:r>
        <w:rPr>
          <w:rFonts w:hint="eastAsia" w:ascii="仿宋_GB2312" w:eastAsia="仿宋_GB2312"/>
          <w:sz w:val="28"/>
          <w:szCs w:val="28"/>
          <w:lang w:val="en-US" w:eastAsia="zh-CN"/>
        </w:rPr>
        <w:t>0万元，</w:t>
      </w:r>
      <w:r>
        <w:rPr>
          <w:rFonts w:hint="eastAsia" w:ascii="仿宋_GB2312" w:eastAsia="仿宋_GB2312"/>
          <w:sz w:val="28"/>
          <w:szCs w:val="28"/>
        </w:rPr>
        <w:t>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1FD31FD9">
      <w:pPr>
        <w:ind w:firstLine="537" w:firstLineChars="192"/>
        <w:rPr>
          <w:rFonts w:ascii="仿宋_GB2312" w:eastAsia="仿宋_GB2312"/>
          <w:sz w:val="28"/>
          <w:szCs w:val="28"/>
        </w:rPr>
      </w:pPr>
    </w:p>
    <w:p w14:paraId="051F1A54">
      <w:pPr>
        <w:autoSpaceDE w:val="0"/>
        <w:autoSpaceDN w:val="0"/>
        <w:adjustRightInd w:val="0"/>
        <w:spacing w:line="580" w:lineRule="exact"/>
        <w:jc w:val="center"/>
        <w:rPr>
          <w:rFonts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2024年度</w:t>
      </w:r>
      <w:r>
        <w:rPr>
          <w:rFonts w:hint="eastAsia" w:ascii="宋体" w:hAnsi="宋体" w:cs="宋体"/>
          <w:b/>
          <w:spacing w:val="40"/>
          <w:kern w:val="0"/>
          <w:sz w:val="32"/>
          <w:szCs w:val="32"/>
        </w:rPr>
        <w:t>其他重要事项的情况说明</w:t>
      </w:r>
    </w:p>
    <w:p w14:paraId="7C16E043">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14:paraId="5D3ECDCC">
      <w:pPr>
        <w:spacing w:line="560" w:lineRule="exact"/>
        <w:ind w:firstLine="600"/>
        <w:rPr>
          <w:rFonts w:ascii="仿宋_GB2312" w:eastAsia="仿宋_GB2312"/>
          <w:sz w:val="28"/>
          <w:szCs w:val="28"/>
        </w:rPr>
      </w:pPr>
      <w:r>
        <w:rPr>
          <w:rFonts w:hint="eastAsia" w:ascii="仿宋_GB2312" w:eastAsia="仿宋_GB2312"/>
          <w:sz w:val="28"/>
          <w:szCs w:val="28"/>
        </w:rPr>
        <w:t>2024年度“三公”经费财政拨款决算数</w:t>
      </w:r>
      <w:r>
        <w:rPr>
          <w:rFonts w:ascii="仿宋_GB2312" w:eastAsia="仿宋_GB2312"/>
          <w:sz w:val="28"/>
          <w:szCs w:val="28"/>
        </w:rPr>
        <w:t>0.71</w:t>
      </w:r>
      <w:r>
        <w:rPr>
          <w:rFonts w:hint="eastAsia" w:ascii="仿宋_GB2312" w:eastAsia="仿宋_GB2312"/>
          <w:sz w:val="28"/>
          <w:szCs w:val="28"/>
        </w:rPr>
        <w:t>万元，比2024年度“三公”经费财政拨款年初预算</w:t>
      </w:r>
      <w:r>
        <w:rPr>
          <w:rFonts w:ascii="仿宋_GB2312" w:eastAsia="仿宋_GB2312"/>
          <w:sz w:val="28"/>
          <w:szCs w:val="28"/>
        </w:rPr>
        <w:t>2.8</w:t>
      </w:r>
      <w:r>
        <w:rPr>
          <w:rFonts w:hint="eastAsia" w:ascii="仿宋_GB2312" w:eastAsia="仿宋_GB2312"/>
          <w:sz w:val="28"/>
          <w:szCs w:val="28"/>
        </w:rPr>
        <w:t>万元减少</w:t>
      </w:r>
      <w:r>
        <w:rPr>
          <w:rFonts w:ascii="仿宋_GB2312" w:eastAsia="仿宋_GB2312"/>
          <w:sz w:val="28"/>
          <w:szCs w:val="28"/>
        </w:rPr>
        <w:t>2.09</w:t>
      </w:r>
      <w:r>
        <w:rPr>
          <w:rFonts w:hint="eastAsia" w:ascii="仿宋_GB2312" w:eastAsia="仿宋_GB2312"/>
          <w:sz w:val="28"/>
          <w:szCs w:val="28"/>
        </w:rPr>
        <w:t>万元。其中：</w:t>
      </w:r>
    </w:p>
    <w:p w14:paraId="0622EC19">
      <w:pPr>
        <w:spacing w:line="560" w:lineRule="exact"/>
        <w:ind w:firstLine="600"/>
        <w:rPr>
          <w:rFonts w:ascii="仿宋_GB2312" w:eastAsia="仿宋_GB2312"/>
          <w:sz w:val="28"/>
          <w:szCs w:val="28"/>
        </w:rPr>
      </w:pPr>
      <w:r>
        <w:rPr>
          <w:rFonts w:hint="eastAsia" w:ascii="仿宋_GB2312" w:eastAsia="仿宋_GB2312"/>
          <w:sz w:val="28"/>
          <w:szCs w:val="28"/>
        </w:rPr>
        <w:t>1.因公出国（境）费用。2024年度决算数0万元，比2024年度年初预算数0万元增减无变化，保持一致。主要原因：</w:t>
      </w:r>
      <w:r>
        <w:rPr>
          <w:rFonts w:hint="eastAsia" w:ascii="仿宋_GB2312" w:eastAsia="仿宋_GB2312"/>
          <w:color w:val="000000"/>
          <w:sz w:val="28"/>
          <w:szCs w:val="28"/>
        </w:rPr>
        <w:t>因公出国（境）费用根据年度出国审批情况作为追加项目管理，单位不做年初预算，本年也没有出国审批项目发生；</w:t>
      </w:r>
      <w:r>
        <w:rPr>
          <w:rFonts w:hint="eastAsia" w:ascii="仿宋_GB2312" w:eastAsia="仿宋_GB2312"/>
          <w:sz w:val="28"/>
          <w:szCs w:val="28"/>
        </w:rPr>
        <w:t>2024年度因公出国（境）费用主要用于</w:t>
      </w:r>
      <w:r>
        <w:rPr>
          <w:rFonts w:hint="eastAsia" w:ascii="仿宋_GB2312" w:eastAsia="仿宋_GB2312"/>
          <w:color w:val="000000"/>
          <w:sz w:val="28"/>
          <w:szCs w:val="28"/>
        </w:rPr>
        <w:t>出国（境）的会议、培训交流等事项</w:t>
      </w:r>
      <w:r>
        <w:rPr>
          <w:rFonts w:hint="eastAsia" w:ascii="仿宋_GB2312" w:eastAsia="仿宋_GB2312"/>
          <w:sz w:val="28"/>
          <w:szCs w:val="28"/>
        </w:rPr>
        <w:t>，2024年度组织因公出国（境）团组0个、0人次。</w:t>
      </w:r>
    </w:p>
    <w:p w14:paraId="4775C231">
      <w:pPr>
        <w:spacing w:line="560" w:lineRule="exact"/>
        <w:ind w:firstLine="600"/>
        <w:rPr>
          <w:rFonts w:ascii="仿宋_GB2312" w:eastAsia="仿宋_GB2312"/>
          <w:sz w:val="28"/>
          <w:szCs w:val="28"/>
        </w:rPr>
      </w:pPr>
      <w:r>
        <w:rPr>
          <w:rFonts w:hint="eastAsia" w:ascii="仿宋_GB2312" w:eastAsia="仿宋_GB2312"/>
          <w:sz w:val="28"/>
          <w:szCs w:val="28"/>
        </w:rPr>
        <w:t>2.公务接待费。2024年度决算数0万元，比2024年度年初预算数</w:t>
      </w:r>
      <w:r>
        <w:rPr>
          <w:rFonts w:hint="eastAsia" w:ascii="仿宋_GB2312" w:eastAsia="仿宋_GB2312"/>
          <w:color w:val="000000"/>
          <w:sz w:val="28"/>
          <w:szCs w:val="28"/>
        </w:rPr>
        <w:t xml:space="preserve"> </w:t>
      </w:r>
      <w:r>
        <w:rPr>
          <w:rFonts w:ascii="仿宋_GB2312" w:eastAsia="仿宋_GB2312"/>
          <w:color w:val="000000"/>
          <w:sz w:val="28"/>
          <w:szCs w:val="28"/>
        </w:rPr>
        <w:t>0.1</w:t>
      </w:r>
      <w:r>
        <w:rPr>
          <w:rFonts w:hint="eastAsia" w:ascii="仿宋_GB2312" w:eastAsia="仿宋_GB2312"/>
          <w:color w:val="000000"/>
          <w:sz w:val="28"/>
          <w:szCs w:val="28"/>
        </w:rPr>
        <w:t>万元减少</w:t>
      </w:r>
      <w:r>
        <w:rPr>
          <w:rFonts w:ascii="仿宋_GB2312" w:eastAsia="仿宋_GB2312"/>
          <w:color w:val="000000"/>
          <w:sz w:val="28"/>
          <w:szCs w:val="28"/>
        </w:rPr>
        <w:t>0.1</w:t>
      </w:r>
      <w:r>
        <w:rPr>
          <w:rFonts w:hint="eastAsia" w:ascii="仿宋_GB2312" w:eastAsia="仿宋_GB2312"/>
          <w:color w:val="000000"/>
          <w:sz w:val="28"/>
          <w:szCs w:val="28"/>
        </w:rPr>
        <w:t>万元</w:t>
      </w:r>
      <w:r>
        <w:rPr>
          <w:rFonts w:hint="eastAsia" w:ascii="仿宋_GB2312" w:eastAsia="仿宋_GB2312"/>
          <w:sz w:val="28"/>
          <w:szCs w:val="28"/>
        </w:rPr>
        <w:t>。主要原因：</w:t>
      </w:r>
      <w:r>
        <w:rPr>
          <w:rFonts w:hint="eastAsia" w:ascii="仿宋_GB2312" w:eastAsia="仿宋_GB2312"/>
          <w:color w:val="000000"/>
          <w:sz w:val="28"/>
          <w:szCs w:val="28"/>
        </w:rPr>
        <w:t>本年度无公务接待支出</w:t>
      </w:r>
      <w:r>
        <w:rPr>
          <w:rFonts w:hint="eastAsia" w:ascii="仿宋_GB2312" w:eastAsia="仿宋_GB2312"/>
          <w:sz w:val="28"/>
          <w:szCs w:val="28"/>
        </w:rPr>
        <w:t>。2024年度公务接待费主要用于</w:t>
      </w:r>
      <w:r>
        <w:rPr>
          <w:rFonts w:hint="eastAsia" w:ascii="仿宋_GB2312" w:eastAsia="仿宋_GB2312"/>
          <w:color w:val="000000"/>
          <w:sz w:val="28"/>
          <w:szCs w:val="28"/>
        </w:rPr>
        <w:t>公务接待事项</w:t>
      </w:r>
      <w:r>
        <w:rPr>
          <w:rFonts w:hint="eastAsia" w:ascii="仿宋_GB2312" w:eastAsia="仿宋_GB2312"/>
          <w:sz w:val="28"/>
          <w:szCs w:val="28"/>
        </w:rPr>
        <w:t>。公务接待0批次，公务接待0人次。</w:t>
      </w:r>
    </w:p>
    <w:p w14:paraId="256B69AC">
      <w:pPr>
        <w:spacing w:line="560" w:lineRule="exact"/>
        <w:ind w:firstLine="560" w:firstLineChars="200"/>
        <w:rPr>
          <w:rFonts w:ascii="仿宋_GB2312" w:eastAsia="仿宋_GB2312"/>
          <w:sz w:val="28"/>
          <w:szCs w:val="28"/>
        </w:rPr>
      </w:pPr>
      <w:r>
        <w:rPr>
          <w:rFonts w:hint="eastAsia" w:ascii="仿宋_GB2312" w:eastAsia="仿宋_GB2312"/>
          <w:sz w:val="28"/>
          <w:szCs w:val="28"/>
        </w:rPr>
        <w:t>3.公务用车购置及运行维护费。2024年度决算数0.71万元，比2024年度年初预算数2.70万元减少</w:t>
      </w:r>
      <w:r>
        <w:rPr>
          <w:rFonts w:ascii="仿宋_GB2312" w:eastAsia="仿宋_GB2312"/>
          <w:sz w:val="28"/>
          <w:szCs w:val="28"/>
        </w:rPr>
        <w:t>1.99</w:t>
      </w:r>
      <w:r>
        <w:rPr>
          <w:rFonts w:hint="eastAsia" w:ascii="仿宋_GB2312" w:eastAsia="仿宋_GB2312"/>
          <w:sz w:val="28"/>
          <w:szCs w:val="28"/>
        </w:rPr>
        <w:t>万元。其中，公务用车购置费2024年度决算数0万元，主要原因：</w:t>
      </w:r>
      <w:r>
        <w:rPr>
          <w:rFonts w:hint="eastAsia" w:ascii="仿宋_GB2312" w:eastAsia="仿宋_GB2312"/>
          <w:color w:val="000000"/>
          <w:sz w:val="28"/>
          <w:szCs w:val="28"/>
        </w:rPr>
        <w:t>本年度无此项业务</w:t>
      </w:r>
      <w:r>
        <w:rPr>
          <w:rFonts w:hint="eastAsia" w:ascii="仿宋_GB2312" w:eastAsia="仿宋_GB2312"/>
          <w:sz w:val="28"/>
          <w:szCs w:val="28"/>
        </w:rPr>
        <w:t>，2024年度购置（更新）0辆。公务用车运行维护费2024年度决算数</w:t>
      </w:r>
      <w:r>
        <w:rPr>
          <w:rFonts w:ascii="仿宋_GB2312" w:eastAsia="仿宋_GB2312"/>
          <w:sz w:val="28"/>
          <w:szCs w:val="28"/>
        </w:rPr>
        <w:t>0.71</w:t>
      </w:r>
      <w:r>
        <w:rPr>
          <w:rFonts w:hint="eastAsia" w:ascii="仿宋_GB2312" w:eastAsia="仿宋_GB2312"/>
          <w:sz w:val="28"/>
          <w:szCs w:val="28"/>
        </w:rPr>
        <w:t>万元，主要原因：</w:t>
      </w:r>
      <w:r>
        <w:rPr>
          <w:rFonts w:hint="eastAsia" w:ascii="仿宋_GB2312" w:eastAsia="仿宋_GB2312"/>
          <w:color w:val="000000"/>
          <w:sz w:val="28"/>
          <w:szCs w:val="28"/>
          <w:lang w:bidi="ar"/>
        </w:rPr>
        <w:t>严格落实公务用车使用规定，认真贯彻厉行节约反对浪费的有关要求，本着节俭高效的原则,进一步加强公务用车管理,减少费用支出</w:t>
      </w:r>
      <w:r>
        <w:rPr>
          <w:rFonts w:hint="eastAsia" w:ascii="仿宋_GB2312" w:eastAsia="仿宋_GB2312"/>
          <w:sz w:val="28"/>
          <w:szCs w:val="28"/>
        </w:rPr>
        <w:t>。2024年度公务用车保有量</w:t>
      </w:r>
      <w:r>
        <w:rPr>
          <w:rFonts w:ascii="仿宋_GB2312" w:eastAsia="仿宋_GB2312"/>
          <w:sz w:val="28"/>
          <w:szCs w:val="28"/>
        </w:rPr>
        <w:t>1</w:t>
      </w:r>
      <w:r>
        <w:rPr>
          <w:rFonts w:hint="eastAsia" w:ascii="仿宋_GB2312" w:eastAsia="仿宋_GB2312"/>
          <w:sz w:val="28"/>
          <w:szCs w:val="28"/>
        </w:rPr>
        <w:t>辆。</w:t>
      </w:r>
    </w:p>
    <w:p w14:paraId="57918D69">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14:paraId="39C10DFA">
      <w:pPr>
        <w:ind w:left="540"/>
        <w:rPr>
          <w:rFonts w:ascii="仿宋_GB2312" w:eastAsia="仿宋_GB2312"/>
          <w:bCs/>
          <w:color w:val="000000"/>
          <w:sz w:val="28"/>
          <w:szCs w:val="28"/>
        </w:rPr>
      </w:pPr>
      <w:r>
        <w:rPr>
          <w:rFonts w:hint="eastAsia" w:ascii="仿宋_GB2312" w:eastAsia="仿宋_GB2312"/>
          <w:bCs/>
          <w:color w:val="000000"/>
          <w:sz w:val="28"/>
          <w:szCs w:val="28"/>
        </w:rPr>
        <w:t>本单位不在机关运行经费统计范围之内。</w:t>
      </w:r>
    </w:p>
    <w:p w14:paraId="3EEBA68D">
      <w:pPr>
        <w:ind w:left="540"/>
        <w:rPr>
          <w:rFonts w:ascii="黑体" w:eastAsia="黑体"/>
          <w:sz w:val="28"/>
          <w:szCs w:val="28"/>
        </w:rPr>
      </w:pPr>
      <w:r>
        <w:rPr>
          <w:rFonts w:hint="eastAsia" w:ascii="黑体" w:eastAsia="黑体"/>
          <w:sz w:val="28"/>
          <w:szCs w:val="28"/>
        </w:rPr>
        <w:t>三、政府采购支出情况</w:t>
      </w:r>
    </w:p>
    <w:p w14:paraId="0152E7CE">
      <w:pPr>
        <w:ind w:firstLine="537" w:firstLineChars="192"/>
        <w:rPr>
          <w:rFonts w:ascii="仿宋_GB2312" w:eastAsia="仿宋_GB2312"/>
          <w:sz w:val="28"/>
          <w:szCs w:val="28"/>
        </w:rPr>
      </w:pPr>
      <w:r>
        <w:rPr>
          <w:rFonts w:hint="eastAsia" w:ascii="仿宋_GB2312" w:eastAsia="仿宋_GB2312"/>
          <w:sz w:val="28"/>
          <w:szCs w:val="28"/>
        </w:rPr>
        <w:t>202</w:t>
      </w:r>
      <w:r>
        <w:rPr>
          <w:rFonts w:ascii="仿宋_GB2312" w:eastAsia="仿宋_GB2312"/>
          <w:sz w:val="28"/>
          <w:szCs w:val="28"/>
        </w:rPr>
        <w:t>4</w:t>
      </w:r>
      <w:r>
        <w:rPr>
          <w:rFonts w:hint="eastAsia" w:ascii="仿宋_GB2312" w:eastAsia="仿宋_GB2312"/>
          <w:sz w:val="28"/>
          <w:szCs w:val="28"/>
        </w:rPr>
        <w:t>年度政府采购支出总额</w:t>
      </w:r>
      <w:r>
        <w:rPr>
          <w:rFonts w:ascii="仿宋_GB2312" w:eastAsia="仿宋_GB2312"/>
          <w:sz w:val="28"/>
          <w:szCs w:val="28"/>
        </w:rPr>
        <w:t>16.83</w:t>
      </w:r>
      <w:r>
        <w:rPr>
          <w:rFonts w:hint="eastAsia" w:ascii="仿宋_GB2312" w:eastAsia="仿宋_GB2312"/>
          <w:sz w:val="28"/>
          <w:szCs w:val="28"/>
        </w:rPr>
        <w:t>万元，其中：政府采购货物支出</w:t>
      </w:r>
      <w:r>
        <w:rPr>
          <w:rFonts w:ascii="仿宋_GB2312" w:eastAsia="仿宋_GB2312"/>
          <w:sz w:val="28"/>
          <w:szCs w:val="28"/>
        </w:rPr>
        <w:t>0.68</w:t>
      </w:r>
      <w:r>
        <w:rPr>
          <w:rFonts w:hint="eastAsia" w:ascii="仿宋_GB2312" w:eastAsia="仿宋_GB2312"/>
          <w:sz w:val="28"/>
          <w:szCs w:val="28"/>
        </w:rPr>
        <w:t>万元，政府采购工程支出0万元，政府采购服务支出</w:t>
      </w:r>
      <w:r>
        <w:rPr>
          <w:rFonts w:ascii="仿宋_GB2312" w:eastAsia="仿宋_GB2312"/>
          <w:sz w:val="28"/>
          <w:szCs w:val="28"/>
        </w:rPr>
        <w:t>16.15</w:t>
      </w:r>
      <w:r>
        <w:rPr>
          <w:rFonts w:hint="eastAsia" w:ascii="仿宋_GB2312" w:eastAsia="仿宋_GB2312"/>
          <w:sz w:val="28"/>
          <w:szCs w:val="28"/>
        </w:rPr>
        <w:t>万元。授予中小企业合同金额</w:t>
      </w:r>
      <w:r>
        <w:rPr>
          <w:rFonts w:ascii="仿宋_GB2312" w:eastAsia="仿宋_GB2312"/>
          <w:sz w:val="28"/>
          <w:szCs w:val="28"/>
        </w:rPr>
        <w:t>16.65</w:t>
      </w:r>
      <w:r>
        <w:rPr>
          <w:rFonts w:hint="eastAsia" w:ascii="仿宋_GB2312" w:eastAsia="仿宋_GB2312"/>
          <w:sz w:val="28"/>
          <w:szCs w:val="28"/>
        </w:rPr>
        <w:t>万元，占政府采购支出总额的</w:t>
      </w:r>
      <w:r>
        <w:rPr>
          <w:rFonts w:ascii="仿宋_GB2312" w:eastAsia="仿宋_GB2312"/>
          <w:sz w:val="28"/>
          <w:szCs w:val="28"/>
        </w:rPr>
        <w:t>98.93</w:t>
      </w:r>
      <w:r>
        <w:rPr>
          <w:rFonts w:hint="eastAsia" w:ascii="仿宋_GB2312" w:eastAsia="仿宋_GB2312"/>
          <w:sz w:val="28"/>
          <w:szCs w:val="28"/>
        </w:rPr>
        <w:t>%，其中：授予小微企业合同金额</w:t>
      </w:r>
      <w:r>
        <w:rPr>
          <w:rFonts w:ascii="仿宋_GB2312" w:eastAsia="仿宋_GB2312"/>
          <w:sz w:val="28"/>
          <w:szCs w:val="28"/>
        </w:rPr>
        <w:t>15.96</w:t>
      </w:r>
      <w:r>
        <w:rPr>
          <w:rFonts w:hint="eastAsia" w:ascii="仿宋_GB2312" w:eastAsia="仿宋_GB2312"/>
          <w:sz w:val="28"/>
          <w:szCs w:val="28"/>
        </w:rPr>
        <w:t>万元，占政府采购支出总额的</w:t>
      </w:r>
      <w:r>
        <w:rPr>
          <w:rFonts w:ascii="仿宋_GB2312" w:eastAsia="仿宋_GB2312"/>
          <w:sz w:val="28"/>
          <w:szCs w:val="28"/>
        </w:rPr>
        <w:t>94.83</w:t>
      </w:r>
      <w:r>
        <w:rPr>
          <w:rFonts w:hint="eastAsia" w:ascii="仿宋_GB2312" w:eastAsia="仿宋_GB2312"/>
          <w:sz w:val="28"/>
          <w:szCs w:val="28"/>
        </w:rPr>
        <w:t>%。</w:t>
      </w:r>
    </w:p>
    <w:p w14:paraId="57C1899C">
      <w:pPr>
        <w:ind w:firstLine="560" w:firstLineChars="200"/>
        <w:rPr>
          <w:rFonts w:ascii="黑体" w:eastAsia="黑体"/>
          <w:sz w:val="28"/>
          <w:szCs w:val="28"/>
          <w:highlight w:val="yellow"/>
        </w:rPr>
      </w:pPr>
      <w:r>
        <w:rPr>
          <w:rFonts w:hint="eastAsia" w:ascii="黑体" w:eastAsia="黑体"/>
          <w:sz w:val="28"/>
          <w:szCs w:val="28"/>
        </w:rPr>
        <w:t>四、国有资产占用情况</w:t>
      </w:r>
    </w:p>
    <w:p w14:paraId="78E128BD">
      <w:pPr>
        <w:ind w:firstLine="560" w:firstLineChars="200"/>
        <w:rPr>
          <w:rFonts w:ascii="仿宋_GB2312" w:eastAsia="仿宋_GB2312"/>
          <w:sz w:val="32"/>
          <w:szCs w:val="32"/>
        </w:rPr>
      </w:pPr>
      <w:r>
        <w:rPr>
          <w:rFonts w:hint="eastAsia" w:ascii="仿宋_GB2312" w:eastAsia="仿宋_GB2312"/>
          <w:sz w:val="28"/>
          <w:szCs w:val="28"/>
        </w:rPr>
        <w:t>截至12月31日，北京市大兴区第十二幼儿园共有车辆1台；单位价值100万元（含）以上的设备0台（套）。</w:t>
      </w:r>
    </w:p>
    <w:p w14:paraId="66A80794">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786F7477">
      <w:pPr>
        <w:ind w:firstLine="537" w:firstLineChars="192"/>
        <w:rPr>
          <w:rFonts w:ascii="仿宋_GB2312" w:eastAsia="仿宋_GB2312"/>
          <w:sz w:val="28"/>
          <w:szCs w:val="28"/>
        </w:rPr>
      </w:pPr>
      <w:r>
        <w:rPr>
          <w:rFonts w:hint="eastAsia" w:ascii="仿宋_GB2312" w:eastAsia="仿宋_GB2312"/>
          <w:sz w:val="28"/>
          <w:szCs w:val="28"/>
        </w:rPr>
        <w:t>2024年度</w:t>
      </w:r>
      <w:r>
        <w:rPr>
          <w:rFonts w:ascii="仿宋_GB2312" w:eastAsia="仿宋_GB2312"/>
          <w:sz w:val="28"/>
          <w:szCs w:val="28"/>
        </w:rPr>
        <w:t>政府购买服务决算0</w:t>
      </w:r>
      <w:r>
        <w:rPr>
          <w:rFonts w:hint="eastAsia" w:ascii="仿宋_GB2312" w:eastAsia="仿宋_GB2312"/>
          <w:sz w:val="28"/>
          <w:szCs w:val="28"/>
        </w:rPr>
        <w:t>万元。</w:t>
      </w:r>
    </w:p>
    <w:p w14:paraId="65786AF3">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0C8863DF">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0EE29EA5">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0A89BA68">
      <w:pPr>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7B349F77">
      <w:pPr>
        <w:ind w:firstLine="420" w:firstLineChars="150"/>
        <w:rPr>
          <w:rFonts w:ascii="仿宋_GB2312" w:hAnsi="宋体" w:eastAsia="仿宋_GB2312"/>
          <w:sz w:val="28"/>
          <w:szCs w:val="28"/>
        </w:rPr>
      </w:pPr>
      <w:r>
        <w:rPr>
          <w:rFonts w:hint="eastAsia" w:ascii="仿宋_GB2312" w:eastAsia="仿宋_GB2312"/>
          <w:sz w:val="28"/>
          <w:szCs w:val="28"/>
        </w:rPr>
        <w:t xml:space="preserve"> 4</w:t>
      </w:r>
      <w:r>
        <w:rPr>
          <w:rFonts w:ascii="仿宋_GB2312" w:eastAsia="仿宋_GB2312"/>
          <w:sz w:val="28"/>
          <w:szCs w:val="28"/>
        </w:rPr>
        <w:t>.</w:t>
      </w:r>
      <w:r>
        <w:rPr>
          <w:rFonts w:hint="eastAsia" w:ascii="仿宋_GB2312" w:eastAsia="仿宋_GB2312"/>
          <w:sz w:val="28"/>
          <w:szCs w:val="28"/>
        </w:rPr>
        <w:t>教育支出（类）普通教育（款）学前教育（项）：反映各部门举办的学期教育支出。政府各部门对社会组织等举办的幼儿园的资助，如捐赠、补贴等，也在本科目中反映。</w:t>
      </w:r>
    </w:p>
    <w:p w14:paraId="70D054FA">
      <w:pPr>
        <w:ind w:firstLine="560" w:firstLineChars="20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4F4FD62A">
      <w:pPr>
        <w:ind w:firstLine="560" w:firstLineChars="200"/>
        <w:rPr>
          <w:rFonts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20ED7F4A">
      <w:pPr>
        <w:tabs>
          <w:tab w:val="center" w:pos="6979"/>
        </w:tabs>
        <w:ind w:firstLine="425" w:firstLineChars="152"/>
        <w:rPr>
          <w:rFonts w:ascii="仿宋_GB2312" w:eastAsia="仿宋_GB2312"/>
          <w:sz w:val="28"/>
          <w:szCs w:val="28"/>
        </w:rPr>
      </w:pPr>
      <w:r>
        <w:rPr>
          <w:rFonts w:hint="eastAsia" w:ascii="仿宋_GB2312" w:eastAsia="仿宋_GB2312"/>
          <w:sz w:val="28"/>
          <w:szCs w:val="28"/>
        </w:rPr>
        <w:t>7.卫生健康支出（类）行政事业单位医疗（款）事业单位医疗（项）：反映财政部门安排的事业单位基本医疗保险缴费经费，未参加医疗保险的事业单位的公费医疗经费，按国家规定享受离休人员待遇的医疗经费。</w:t>
      </w:r>
    </w:p>
    <w:p w14:paraId="7CB9B318">
      <w:pPr>
        <w:tabs>
          <w:tab w:val="center" w:pos="6979"/>
        </w:tabs>
        <w:ind w:firstLine="425" w:firstLineChars="152"/>
        <w:rPr>
          <w:rFonts w:ascii="仿宋_GB2312" w:eastAsia="仿宋_GB2312"/>
          <w:sz w:val="28"/>
          <w:szCs w:val="28"/>
        </w:rPr>
      </w:pPr>
      <w:r>
        <w:rPr>
          <w:rFonts w:hint="eastAsia" w:ascii="仿宋_GB2312" w:eastAsia="仿宋_GB2312"/>
          <w:sz w:val="28"/>
          <w:szCs w:val="28"/>
        </w:rPr>
        <w:t>8.卫生健康支出（类）行政事业单位医疗（款）公务员医疗补助（项）：反映财政部门安排的公务员医疗补助经费。</w:t>
      </w:r>
    </w:p>
    <w:p w14:paraId="6C4DAF5C">
      <w:pPr>
        <w:tabs>
          <w:tab w:val="center" w:pos="6979"/>
        </w:tabs>
        <w:ind w:firstLine="425" w:firstLineChars="152"/>
        <w:rPr>
          <w:rFonts w:ascii="仿宋_GB2312" w:eastAsia="仿宋_GB2312"/>
          <w:sz w:val="28"/>
          <w:szCs w:val="28"/>
        </w:rPr>
      </w:pPr>
      <w:r>
        <w:rPr>
          <w:rFonts w:hint="eastAsia" w:ascii="仿宋_GB2312" w:eastAsia="仿宋_GB2312"/>
          <w:sz w:val="28"/>
          <w:szCs w:val="28"/>
        </w:rPr>
        <w:t>9.社会保障和就业支出（类）行政事业单位养老支出（款）机关事业单位基本养老保险缴费支出（项）：反映机关事业单位实施养老保险制度由单位缴纳的基本养老保险支出。</w:t>
      </w:r>
    </w:p>
    <w:p w14:paraId="21BED6D7">
      <w:pPr>
        <w:tabs>
          <w:tab w:val="center" w:pos="6979"/>
        </w:tabs>
        <w:ind w:firstLine="425" w:firstLineChars="152"/>
        <w:rPr>
          <w:rFonts w:ascii="仿宋_GB2312" w:eastAsia="仿宋_GB2312"/>
          <w:sz w:val="28"/>
          <w:szCs w:val="28"/>
        </w:rPr>
      </w:pPr>
      <w:r>
        <w:rPr>
          <w:rFonts w:hint="eastAsia" w:ascii="仿宋_GB2312" w:eastAsia="仿宋_GB2312"/>
          <w:sz w:val="28"/>
          <w:szCs w:val="28"/>
        </w:rPr>
        <w:t>10.社会保障和就业支出（类）行政事业单位养老支出（款）机关事业单位职业年金缴费支出（项）：反映机关事业单位实施养老保险制度由单位实际缴纳的职业年金支出。</w:t>
      </w:r>
    </w:p>
    <w:p w14:paraId="5C7640CF">
      <w:pPr>
        <w:tabs>
          <w:tab w:val="center" w:pos="6979"/>
        </w:tabs>
        <w:ind w:firstLine="425" w:firstLineChars="152"/>
        <w:rPr>
          <w:rFonts w:ascii="仿宋_GB2312" w:eastAsia="仿宋_GB2312"/>
          <w:sz w:val="28"/>
          <w:szCs w:val="28"/>
        </w:rPr>
      </w:pPr>
      <w:r>
        <w:rPr>
          <w:rFonts w:hint="eastAsia" w:ascii="仿宋_GB2312" w:eastAsia="仿宋_GB2312"/>
          <w:sz w:val="28"/>
          <w:szCs w:val="28"/>
        </w:rPr>
        <w:t>11.城乡社区支出（类）其他城乡社区支出（款）其他城乡社区支出（项）：反映除上述项目以外其他用于城乡社区方面的支出。</w:t>
      </w:r>
    </w:p>
    <w:p w14:paraId="45746BB4">
      <w:pPr>
        <w:ind w:firstLine="420" w:firstLineChars="150"/>
        <w:rPr>
          <w:rFonts w:ascii="仿宋_GB2312" w:eastAsia="仿宋_GB2312"/>
          <w:sz w:val="28"/>
          <w:szCs w:val="28"/>
        </w:rPr>
      </w:pPr>
      <w:r>
        <w:rPr>
          <w:rFonts w:hint="eastAsia" w:ascii="仿宋_GB2312" w:eastAsia="仿宋_GB2312"/>
          <w:sz w:val="28"/>
          <w:szCs w:val="28"/>
        </w:rPr>
        <w:t>12.教育支出（类）教育费附加安排的支出（款）其他教育费附加安排的支出（项）：反映除上述项目以外的教育费附加支出。</w:t>
      </w:r>
    </w:p>
    <w:p w14:paraId="37834119">
      <w:pPr>
        <w:ind w:firstLine="420" w:firstLineChars="150"/>
        <w:rPr>
          <w:rFonts w:ascii="仿宋_GB2312" w:eastAsia="仿宋_GB2312"/>
          <w:sz w:val="28"/>
          <w:szCs w:val="28"/>
        </w:rPr>
      </w:pPr>
      <w:r>
        <w:rPr>
          <w:rFonts w:hint="eastAsia" w:ascii="仿宋_GB2312" w:eastAsia="仿宋_GB2312"/>
          <w:sz w:val="28"/>
          <w:szCs w:val="28"/>
        </w:rPr>
        <w:t>13.社会保障和就业支出（类）行政事业单位养老支出（款）事业单位离退休（项）：反映事业单位开支的离退休经费。</w:t>
      </w:r>
    </w:p>
    <w:p w14:paraId="79C777FF">
      <w:pPr>
        <w:ind w:firstLine="420" w:firstLineChars="150"/>
        <w:rPr>
          <w:rFonts w:ascii="仿宋_GB2312" w:eastAsia="仿宋_GB2312"/>
          <w:sz w:val="28"/>
          <w:szCs w:val="28"/>
        </w:rPr>
      </w:pPr>
      <w:r>
        <w:rPr>
          <w:rFonts w:ascii="仿宋_GB2312" w:eastAsia="仿宋_GB2312"/>
          <w:sz w:val="28"/>
          <w:szCs w:val="28"/>
        </w:rPr>
        <w:t>14.</w:t>
      </w:r>
      <w:r>
        <w:rPr>
          <w:rFonts w:hint="eastAsia" w:ascii="仿宋_GB2312" w:eastAsia="仿宋_GB2312"/>
          <w:sz w:val="28"/>
          <w:szCs w:val="28"/>
        </w:rPr>
        <w:t>住房保障支出（类）集中反映政府用于住房方面的支出“住房改革支出”（款）反应行政事业单位用财政拨款资金和其他资金等安排的住房改革支出。</w:t>
      </w:r>
    </w:p>
    <w:p w14:paraId="392982A9">
      <w:pPr>
        <w:rPr>
          <w:rFonts w:ascii="黑体" w:eastAsia="黑体"/>
          <w:sz w:val="32"/>
          <w:szCs w:val="32"/>
        </w:rPr>
      </w:pPr>
    </w:p>
    <w:p w14:paraId="18FE0370">
      <w:pPr>
        <w:rPr>
          <w:rFonts w:ascii="黑体" w:eastAsia="黑体"/>
          <w:sz w:val="32"/>
          <w:szCs w:val="32"/>
        </w:rPr>
      </w:pPr>
    </w:p>
    <w:p w14:paraId="2E29C8B3">
      <w:pPr>
        <w:jc w:val="center"/>
        <w:rPr>
          <w:b/>
          <w:bCs/>
          <w:sz w:val="32"/>
          <w:szCs w:val="40"/>
        </w:rPr>
      </w:pPr>
      <w:r>
        <w:rPr>
          <w:rFonts w:hint="eastAsia" w:asciiTheme="majorEastAsia" w:hAnsiTheme="majorEastAsia" w:eastAsiaTheme="majorEastAsia" w:cstheme="majorEastAsia"/>
          <w:b/>
          <w:bCs/>
          <w:sz w:val="32"/>
          <w:szCs w:val="40"/>
        </w:rPr>
        <w:t>第四部分  2024年度部门绩效评价情况</w:t>
      </w:r>
    </w:p>
    <w:p w14:paraId="65916FE9">
      <w:pPr>
        <w:jc w:val="center"/>
        <w:rPr>
          <w:rFonts w:ascii="黑体" w:hAnsi="黑体" w:eastAsia="黑体" w:cs="仿宋"/>
          <w:bCs/>
          <w:kern w:val="0"/>
          <w:sz w:val="28"/>
          <w:szCs w:val="28"/>
        </w:rPr>
      </w:pPr>
    </w:p>
    <w:p w14:paraId="49694EAF">
      <w:pPr>
        <w:jc w:val="center"/>
        <w:rPr>
          <w:rFonts w:ascii="黑体" w:hAnsi="黑体" w:eastAsia="黑体" w:cs="仿宋"/>
          <w:bCs/>
          <w:kern w:val="0"/>
          <w:sz w:val="28"/>
          <w:szCs w:val="28"/>
        </w:rPr>
      </w:pPr>
      <w:r>
        <w:rPr>
          <w:rFonts w:hint="eastAsia" w:ascii="黑体" w:hAnsi="黑体" w:eastAsia="黑体" w:cs="仿宋"/>
          <w:bCs/>
          <w:kern w:val="0"/>
          <w:sz w:val="28"/>
          <w:szCs w:val="28"/>
        </w:rPr>
        <w:t>项目支出绩效自评表（详见附件）</w:t>
      </w: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0916B7">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3</w:t>
    </w:r>
    <w:r>
      <w:fldChar w:fldCharType="end"/>
    </w:r>
  </w:p>
  <w:p w14:paraId="6CB631D2">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364CE9">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9</w:t>
    </w:r>
    <w:r>
      <w:fldChar w:fldCharType="end"/>
    </w:r>
  </w:p>
  <w:p w14:paraId="7EAC2F08">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C3D416">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15</w:t>
    </w:r>
    <w:r>
      <w:fldChar w:fldCharType="end"/>
    </w:r>
  </w:p>
  <w:p w14:paraId="3C1ACD94">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3E98"/>
    <w:rsid w:val="00095948"/>
    <w:rsid w:val="00095C26"/>
    <w:rsid w:val="00096504"/>
    <w:rsid w:val="00096B86"/>
    <w:rsid w:val="000A0FDA"/>
    <w:rsid w:val="000A1770"/>
    <w:rsid w:val="000A283C"/>
    <w:rsid w:val="000A535A"/>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685C"/>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169E"/>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2F16"/>
    <w:rsid w:val="0028458C"/>
    <w:rsid w:val="002911BD"/>
    <w:rsid w:val="00291C98"/>
    <w:rsid w:val="00294DE9"/>
    <w:rsid w:val="002A1488"/>
    <w:rsid w:val="002A4C2B"/>
    <w:rsid w:val="002B19D0"/>
    <w:rsid w:val="002B3682"/>
    <w:rsid w:val="002B5464"/>
    <w:rsid w:val="002B72DF"/>
    <w:rsid w:val="002C0443"/>
    <w:rsid w:val="002C12FB"/>
    <w:rsid w:val="002C1BED"/>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2974"/>
    <w:rsid w:val="003B4437"/>
    <w:rsid w:val="003B48C4"/>
    <w:rsid w:val="003B5E20"/>
    <w:rsid w:val="003B63E8"/>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5D59"/>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6592F"/>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C7EC2"/>
    <w:rsid w:val="005D10B9"/>
    <w:rsid w:val="005D18DA"/>
    <w:rsid w:val="005E00DC"/>
    <w:rsid w:val="005E3BBC"/>
    <w:rsid w:val="005E3EC6"/>
    <w:rsid w:val="005E4E07"/>
    <w:rsid w:val="005E4E46"/>
    <w:rsid w:val="005E5275"/>
    <w:rsid w:val="005E7DC8"/>
    <w:rsid w:val="005E7EC9"/>
    <w:rsid w:val="005F3F01"/>
    <w:rsid w:val="005F7087"/>
    <w:rsid w:val="00611BE4"/>
    <w:rsid w:val="0061219B"/>
    <w:rsid w:val="00613B2F"/>
    <w:rsid w:val="00621419"/>
    <w:rsid w:val="00626446"/>
    <w:rsid w:val="00626BE8"/>
    <w:rsid w:val="00631827"/>
    <w:rsid w:val="00632804"/>
    <w:rsid w:val="00633A98"/>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4C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528"/>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43AE"/>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058B"/>
    <w:rsid w:val="008F1528"/>
    <w:rsid w:val="008F1AE5"/>
    <w:rsid w:val="008F4E7F"/>
    <w:rsid w:val="008F55D9"/>
    <w:rsid w:val="009057DE"/>
    <w:rsid w:val="00905F97"/>
    <w:rsid w:val="00906FA3"/>
    <w:rsid w:val="0091239D"/>
    <w:rsid w:val="00912825"/>
    <w:rsid w:val="009129B8"/>
    <w:rsid w:val="00912B99"/>
    <w:rsid w:val="00912C78"/>
    <w:rsid w:val="009160AE"/>
    <w:rsid w:val="00927892"/>
    <w:rsid w:val="009319B9"/>
    <w:rsid w:val="009351E9"/>
    <w:rsid w:val="009369E4"/>
    <w:rsid w:val="00937862"/>
    <w:rsid w:val="00942279"/>
    <w:rsid w:val="009524EB"/>
    <w:rsid w:val="00962013"/>
    <w:rsid w:val="00963942"/>
    <w:rsid w:val="0096716C"/>
    <w:rsid w:val="009672B2"/>
    <w:rsid w:val="00971C66"/>
    <w:rsid w:val="00972363"/>
    <w:rsid w:val="00975D66"/>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5EC"/>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0736"/>
    <w:rsid w:val="00A773FF"/>
    <w:rsid w:val="00A83AA1"/>
    <w:rsid w:val="00A906F4"/>
    <w:rsid w:val="00A9343A"/>
    <w:rsid w:val="00A966EB"/>
    <w:rsid w:val="00A96D20"/>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2C2B"/>
    <w:rsid w:val="00BD3531"/>
    <w:rsid w:val="00BD4E35"/>
    <w:rsid w:val="00BE34CA"/>
    <w:rsid w:val="00BF116A"/>
    <w:rsid w:val="00C0623C"/>
    <w:rsid w:val="00C06A07"/>
    <w:rsid w:val="00C132B6"/>
    <w:rsid w:val="00C16812"/>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699B"/>
    <w:rsid w:val="00C77210"/>
    <w:rsid w:val="00C777FA"/>
    <w:rsid w:val="00C77989"/>
    <w:rsid w:val="00C811F4"/>
    <w:rsid w:val="00C81E51"/>
    <w:rsid w:val="00C87B73"/>
    <w:rsid w:val="00C92444"/>
    <w:rsid w:val="00C92FBB"/>
    <w:rsid w:val="00C93327"/>
    <w:rsid w:val="00C94595"/>
    <w:rsid w:val="00C97B4D"/>
    <w:rsid w:val="00CA5602"/>
    <w:rsid w:val="00CA5CA9"/>
    <w:rsid w:val="00CA78E2"/>
    <w:rsid w:val="00CB1BBE"/>
    <w:rsid w:val="00CB65DB"/>
    <w:rsid w:val="00CB6BD9"/>
    <w:rsid w:val="00CC293A"/>
    <w:rsid w:val="00CC7A68"/>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2EA3"/>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67B06"/>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59D1"/>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B24C1D"/>
    <w:rsid w:val="02F120AB"/>
    <w:rsid w:val="02FA2C43"/>
    <w:rsid w:val="032B5196"/>
    <w:rsid w:val="03675AE6"/>
    <w:rsid w:val="03B15E27"/>
    <w:rsid w:val="041575B8"/>
    <w:rsid w:val="04C3537C"/>
    <w:rsid w:val="079004AC"/>
    <w:rsid w:val="0895702F"/>
    <w:rsid w:val="0B21121D"/>
    <w:rsid w:val="0BA148CA"/>
    <w:rsid w:val="0C1165C4"/>
    <w:rsid w:val="0C6B399B"/>
    <w:rsid w:val="0D6D544B"/>
    <w:rsid w:val="0DD136FE"/>
    <w:rsid w:val="0F542F2C"/>
    <w:rsid w:val="0F8E2C57"/>
    <w:rsid w:val="1059665E"/>
    <w:rsid w:val="10AC13BA"/>
    <w:rsid w:val="114E046B"/>
    <w:rsid w:val="11ED07B9"/>
    <w:rsid w:val="145A6C1B"/>
    <w:rsid w:val="14B73493"/>
    <w:rsid w:val="14D715B2"/>
    <w:rsid w:val="14FB7D1D"/>
    <w:rsid w:val="167A2FF9"/>
    <w:rsid w:val="1764587C"/>
    <w:rsid w:val="18581C69"/>
    <w:rsid w:val="18E5190D"/>
    <w:rsid w:val="19035B12"/>
    <w:rsid w:val="190D0B94"/>
    <w:rsid w:val="198033E4"/>
    <w:rsid w:val="1AEC0734"/>
    <w:rsid w:val="1CD37CCF"/>
    <w:rsid w:val="1DEF20B0"/>
    <w:rsid w:val="1FF7AB17"/>
    <w:rsid w:val="213A656E"/>
    <w:rsid w:val="214243FA"/>
    <w:rsid w:val="21AD613C"/>
    <w:rsid w:val="22467189"/>
    <w:rsid w:val="24A53360"/>
    <w:rsid w:val="24A953A6"/>
    <w:rsid w:val="257A14F5"/>
    <w:rsid w:val="27196C26"/>
    <w:rsid w:val="28C17A07"/>
    <w:rsid w:val="29EF086F"/>
    <w:rsid w:val="2BC34C59"/>
    <w:rsid w:val="2EFFE297"/>
    <w:rsid w:val="301437CA"/>
    <w:rsid w:val="32720C33"/>
    <w:rsid w:val="349D1F0A"/>
    <w:rsid w:val="34DD0473"/>
    <w:rsid w:val="36151CDB"/>
    <w:rsid w:val="37015756"/>
    <w:rsid w:val="38B80461"/>
    <w:rsid w:val="3A8E35DC"/>
    <w:rsid w:val="3B0371E4"/>
    <w:rsid w:val="3B1B4A08"/>
    <w:rsid w:val="3C684897"/>
    <w:rsid w:val="3D50701F"/>
    <w:rsid w:val="3F191BE0"/>
    <w:rsid w:val="414703E1"/>
    <w:rsid w:val="41FE4556"/>
    <w:rsid w:val="433E495C"/>
    <w:rsid w:val="489F2FD7"/>
    <w:rsid w:val="4A2A67FD"/>
    <w:rsid w:val="4AC27CB3"/>
    <w:rsid w:val="4BF72BEF"/>
    <w:rsid w:val="4C8F6EBF"/>
    <w:rsid w:val="4C9444D5"/>
    <w:rsid w:val="4CF87C3E"/>
    <w:rsid w:val="4DBB7868"/>
    <w:rsid w:val="4F9C201E"/>
    <w:rsid w:val="4FA90297"/>
    <w:rsid w:val="4FC41A43"/>
    <w:rsid w:val="51DB3C59"/>
    <w:rsid w:val="52A928AB"/>
    <w:rsid w:val="54D61DED"/>
    <w:rsid w:val="550C0952"/>
    <w:rsid w:val="55762E42"/>
    <w:rsid w:val="568C0876"/>
    <w:rsid w:val="57A7B272"/>
    <w:rsid w:val="58470068"/>
    <w:rsid w:val="58747CAC"/>
    <w:rsid w:val="5A1720F9"/>
    <w:rsid w:val="5B7B3430"/>
    <w:rsid w:val="5B9C37C2"/>
    <w:rsid w:val="5BA7C654"/>
    <w:rsid w:val="5DF716AE"/>
    <w:rsid w:val="5E2B2110"/>
    <w:rsid w:val="5F9F507E"/>
    <w:rsid w:val="60A54109"/>
    <w:rsid w:val="61D01CDF"/>
    <w:rsid w:val="63A82E9D"/>
    <w:rsid w:val="63E03DFE"/>
    <w:rsid w:val="64C0607C"/>
    <w:rsid w:val="65756C86"/>
    <w:rsid w:val="674D385B"/>
    <w:rsid w:val="676F09E1"/>
    <w:rsid w:val="67D449A3"/>
    <w:rsid w:val="6F6535B7"/>
    <w:rsid w:val="6FC15B74"/>
    <w:rsid w:val="706B6199"/>
    <w:rsid w:val="71691990"/>
    <w:rsid w:val="71793A80"/>
    <w:rsid w:val="72F64878"/>
    <w:rsid w:val="7357290B"/>
    <w:rsid w:val="75144B86"/>
    <w:rsid w:val="756E3DEA"/>
    <w:rsid w:val="769732C7"/>
    <w:rsid w:val="76FB1693"/>
    <w:rsid w:val="798524E4"/>
    <w:rsid w:val="7A7F1C49"/>
    <w:rsid w:val="7B5B7AE6"/>
    <w:rsid w:val="7B7B6628"/>
    <w:rsid w:val="7BA7071E"/>
    <w:rsid w:val="7BDF6DA8"/>
    <w:rsid w:val="7C7EDC1A"/>
    <w:rsid w:val="7CCED98D"/>
    <w:rsid w:val="7D08410F"/>
    <w:rsid w:val="7DB96DED"/>
    <w:rsid w:val="7DD3AD81"/>
    <w:rsid w:val="7DEF3448"/>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paragraph" w:styleId="3">
    <w:name w:val="heading 3"/>
    <w:basedOn w:val="1"/>
    <w:next w:val="1"/>
    <w:unhideWhenUsed/>
    <w:qFormat/>
    <w:uiPriority w:val="0"/>
    <w:pPr>
      <w:keepNext/>
      <w:keepLines/>
      <w:spacing w:before="260" w:after="260" w:line="413" w:lineRule="auto"/>
      <w:outlineLvl w:val="2"/>
    </w:pPr>
    <w:rPr>
      <w:b/>
      <w:sz w:val="32"/>
    </w:rPr>
  </w:style>
  <w:style w:type="character" w:default="1" w:styleId="12">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4">
    <w:name w:val="Normal Indent"/>
    <w:basedOn w:val="1"/>
    <w:qFormat/>
    <w:uiPriority w:val="0"/>
    <w:pPr>
      <w:ind w:firstLine="200" w:firstLineChars="200"/>
    </w:pPr>
  </w:style>
  <w:style w:type="paragraph" w:styleId="5">
    <w:name w:val="Body Text Indent"/>
    <w:basedOn w:val="1"/>
    <w:qFormat/>
    <w:uiPriority w:val="0"/>
    <w:pPr>
      <w:ind w:firstLine="645"/>
    </w:pPr>
    <w:rPr>
      <w:rFonts w:ascii="仿宋_GB2312" w:hAnsi="Calibri" w:eastAsia="仿宋_GB2312"/>
      <w:sz w:val="32"/>
      <w:szCs w:val="32"/>
    </w:rPr>
  </w:style>
  <w:style w:type="paragraph" w:styleId="6">
    <w:name w:val="Date"/>
    <w:basedOn w:val="1"/>
    <w:next w:val="1"/>
    <w:qFormat/>
    <w:uiPriority w:val="0"/>
    <w:pPr>
      <w:ind w:left="100" w:leftChars="2500"/>
    </w:pPr>
  </w:style>
  <w:style w:type="paragraph" w:styleId="7">
    <w:name w:val="Balloon Text"/>
    <w:basedOn w:val="1"/>
    <w:semiHidden/>
    <w:qFormat/>
    <w:uiPriority w:val="0"/>
    <w:rPr>
      <w:sz w:val="18"/>
      <w:szCs w:val="18"/>
    </w:rPr>
  </w:style>
  <w:style w:type="paragraph" w:styleId="8">
    <w:name w:val="footer"/>
    <w:basedOn w:val="1"/>
    <w:link w:val="15"/>
    <w:qFormat/>
    <w:uiPriority w:val="0"/>
    <w:pPr>
      <w:tabs>
        <w:tab w:val="center" w:pos="4153"/>
        <w:tab w:val="right" w:pos="8306"/>
      </w:tabs>
      <w:snapToGrid w:val="0"/>
      <w:jc w:val="left"/>
    </w:pPr>
    <w:rPr>
      <w:sz w:val="18"/>
      <w:szCs w:val="18"/>
    </w:rPr>
  </w:style>
  <w:style w:type="paragraph" w:styleId="9">
    <w:name w:val="header"/>
    <w:basedOn w:val="1"/>
    <w:link w:val="16"/>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0">
    <w:name w:val="Normal (Web)"/>
    <w:basedOn w:val="1"/>
    <w:unhideWhenUsed/>
    <w:qFormat/>
    <w:uiPriority w:val="0"/>
    <w:pPr>
      <w:spacing w:before="100" w:beforeAutospacing="1" w:after="100" w:afterAutospacing="1"/>
      <w:ind w:right="238"/>
      <w:jc w:val="left"/>
    </w:pPr>
    <w:rPr>
      <w:b/>
      <w:kern w:val="0"/>
      <w:sz w:val="24"/>
      <w:szCs w:val="20"/>
    </w:rPr>
  </w:style>
  <w:style w:type="character" w:styleId="13">
    <w:name w:val="Strong"/>
    <w:qFormat/>
    <w:uiPriority w:val="0"/>
    <w:rPr>
      <w:b/>
    </w:rPr>
  </w:style>
  <w:style w:type="character" w:styleId="14">
    <w:name w:val="page number"/>
    <w:qFormat/>
    <w:uiPriority w:val="0"/>
  </w:style>
  <w:style w:type="character" w:customStyle="1" w:styleId="15">
    <w:name w:val="页脚 字符"/>
    <w:link w:val="8"/>
    <w:qFormat/>
    <w:uiPriority w:val="0"/>
    <w:rPr>
      <w:rFonts w:eastAsia="宋体"/>
      <w:kern w:val="2"/>
      <w:sz w:val="18"/>
      <w:szCs w:val="18"/>
      <w:lang w:val="en-US" w:eastAsia="zh-CN" w:bidi="ar-SA"/>
    </w:rPr>
  </w:style>
  <w:style w:type="character" w:customStyle="1" w:styleId="16">
    <w:name w:val="页眉 字符"/>
    <w:link w:val="9"/>
    <w:qFormat/>
    <w:uiPriority w:val="0"/>
    <w:rPr>
      <w:rFonts w:ascii="Calibri" w:hAnsi="Calibri" w:eastAsia="宋体"/>
      <w:kern w:val="2"/>
      <w:sz w:val="18"/>
      <w:szCs w:val="18"/>
      <w:lang w:val="en-US" w:eastAsia="zh-CN" w:bidi="ar-SA"/>
    </w:rPr>
  </w:style>
  <w:style w:type="paragraph" w:customStyle="1" w:styleId="17">
    <w:name w:val="Char Char Char Char Char Char Char"/>
    <w:basedOn w:val="1"/>
    <w:qFormat/>
    <w:uiPriority w:val="0"/>
    <w:rPr>
      <w:rFonts w:ascii="Tahoma" w:hAnsi="Tahoma"/>
      <w:sz w:val="24"/>
      <w:szCs w:val="20"/>
    </w:rPr>
  </w:style>
  <w:style w:type="paragraph" w:customStyle="1" w:styleId="18">
    <w:name w:val="Char1 Char Char Char"/>
    <w:basedOn w:val="1"/>
    <w:qFormat/>
    <w:uiPriority w:val="0"/>
    <w:pPr>
      <w:widowControl/>
      <w:spacing w:after="160" w:line="240" w:lineRule="exact"/>
      <w:jc w:val="left"/>
    </w:pPr>
    <w:rPr>
      <w:szCs w:val="20"/>
    </w:rPr>
  </w:style>
  <w:style w:type="paragraph" w:customStyle="1" w:styleId="19">
    <w:name w:val="Char"/>
    <w:basedOn w:val="1"/>
    <w:qFormat/>
    <w:uiPriority w:val="0"/>
    <w:rPr>
      <w:rFonts w:ascii="Tahoma" w:hAnsi="Tahoma"/>
      <w:sz w:val="24"/>
      <w:szCs w:val="20"/>
    </w:rPr>
  </w:style>
  <w:style w:type="paragraph" w:customStyle="1" w:styleId="20">
    <w:name w:val="Char Char3 Char Char"/>
    <w:basedOn w:val="1"/>
    <w:qFormat/>
    <w:uiPriority w:val="0"/>
    <w:rPr>
      <w:szCs w:val="21"/>
    </w:rPr>
  </w:style>
  <w:style w:type="character" w:customStyle="1" w:styleId="21">
    <w:name w:val="font21"/>
    <w:basedOn w:val="12"/>
    <w:qFormat/>
    <w:uiPriority w:val="0"/>
    <w:rPr>
      <w:rFonts w:hint="eastAsia" w:ascii="宋体" w:hAnsi="宋体" w:eastAsia="宋体" w:cs="宋体"/>
      <w:color w:val="000000"/>
      <w:sz w:val="18"/>
      <w:szCs w:val="18"/>
      <w:u w:val="none"/>
    </w:rPr>
  </w:style>
  <w:style w:type="character" w:customStyle="1" w:styleId="22">
    <w:name w:val="font61"/>
    <w:basedOn w:val="12"/>
    <w:qFormat/>
    <w:uiPriority w:val="0"/>
    <w:rPr>
      <w:rFonts w:hint="eastAsia" w:ascii="宋体" w:hAnsi="宋体" w:eastAsia="宋体" w:cs="宋体"/>
      <w:color w:val="000000"/>
      <w:sz w:val="13"/>
      <w:szCs w:val="13"/>
      <w:u w:val="none"/>
    </w:rPr>
  </w:style>
  <w:style w:type="character" w:customStyle="1" w:styleId="23">
    <w:name w:val="font51"/>
    <w:basedOn w:val="12"/>
    <w:qFormat/>
    <w:uiPriority w:val="0"/>
    <w:rPr>
      <w:rFonts w:hint="eastAsia" w:ascii="宋体" w:hAnsi="宋体" w:eastAsia="宋体" w:cs="宋体"/>
      <w:color w:val="000000"/>
      <w:sz w:val="13"/>
      <w:szCs w:val="13"/>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2496.43</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ea31a22d-92a3-4dc5-a9a5-5bf3a0305c21}"/>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2288.59</c:v>
                </c:pt>
                <c:pt idx="1">
                  <c:v>390.16</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bb105a3c-d236-418c-9227-6b384e4e1d5a}"/>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3700</Words>
  <Characters>4219</Characters>
  <Lines>30</Lines>
  <Paragraphs>8</Paragraphs>
  <TotalTime>3</TotalTime>
  <ScaleCrop>false</ScaleCrop>
  <LinksUpToDate>false</LinksUpToDate>
  <CharactersWithSpaces>4251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icefish 小于</cp:lastModifiedBy>
  <cp:lastPrinted>2020-08-09T03:39:00Z</cp:lastPrinted>
  <dcterms:modified xsi:type="dcterms:W3CDTF">2025-09-29T03:26:03Z</dcterms:modified>
  <dc:title>北京市财政局关于做好向市人大常委会报送2015年度市级部门决算（草案）</dc:title>
  <cp:revision>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A7F78878FB63AC2F75B4B7682BD79272</vt:lpwstr>
  </property>
  <property fmtid="{D5CDD505-2E9C-101B-9397-08002B2CF9AE}" pid="4" name="KSOTemplateDocerSaveRecord">
    <vt:lpwstr>eyJoZGlkIjoiNWY4YzVkYzc1YTMwYjUyZjg5ZGM3YzVmMjc0ZjMzN2YiLCJ1c2VySWQiOiIxMTY0ODUzNzAyIn0=</vt:lpwstr>
  </property>
</Properties>
</file>