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charts/chart1.xml" ContentType="application/vnd.openxmlformats-officedocument.drawingml.chart+xml"/>
  <Override PartName="/word/charts/chart2.xml" ContentType="application/vnd.openxmlformats-officedocument.drawingml.chart+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33A8F" w:rsidRDefault="00033A8F">
      <w:pPr>
        <w:jc w:val="center"/>
        <w:rPr>
          <w:rFonts w:ascii="仿宋_GB2312" w:eastAsia="仿宋_GB2312"/>
          <w:b/>
          <w:sz w:val="32"/>
          <w:szCs w:val="32"/>
        </w:rPr>
      </w:pPr>
    </w:p>
    <w:p w:rsidR="00033A8F" w:rsidRDefault="00033A8F">
      <w:pPr>
        <w:jc w:val="center"/>
        <w:rPr>
          <w:rFonts w:ascii="黑体" w:eastAsia="黑体"/>
          <w:sz w:val="72"/>
          <w:szCs w:val="72"/>
        </w:rPr>
      </w:pPr>
    </w:p>
    <w:p w:rsidR="00033A8F" w:rsidRDefault="00033A8F">
      <w:pPr>
        <w:jc w:val="center"/>
        <w:rPr>
          <w:rFonts w:ascii="黑体" w:eastAsia="黑体"/>
          <w:sz w:val="72"/>
          <w:szCs w:val="72"/>
        </w:rPr>
      </w:pPr>
    </w:p>
    <w:p w:rsidR="00033A8F" w:rsidRDefault="00033A8F">
      <w:pPr>
        <w:jc w:val="center"/>
        <w:rPr>
          <w:rFonts w:ascii="黑体" w:eastAsia="黑体"/>
          <w:sz w:val="72"/>
          <w:szCs w:val="72"/>
        </w:rPr>
      </w:pPr>
    </w:p>
    <w:p w:rsidR="00033A8F" w:rsidRDefault="00033A8F">
      <w:pPr>
        <w:jc w:val="center"/>
        <w:rPr>
          <w:rFonts w:ascii="黑体" w:eastAsia="黑体"/>
          <w:sz w:val="72"/>
          <w:szCs w:val="72"/>
        </w:rPr>
      </w:pPr>
    </w:p>
    <w:p w:rsidR="00033A8F" w:rsidRDefault="00351AC5">
      <w:pPr>
        <w:jc w:val="center"/>
        <w:rPr>
          <w:rFonts w:ascii="黑体" w:eastAsia="黑体"/>
          <w:sz w:val="72"/>
          <w:szCs w:val="72"/>
        </w:rPr>
      </w:pPr>
      <w:r>
        <w:rPr>
          <w:rFonts w:ascii="黑体" w:eastAsia="黑体" w:hint="eastAsia"/>
          <w:sz w:val="72"/>
          <w:szCs w:val="72"/>
        </w:rPr>
        <w:t>2024年度部门决算（公开</w:t>
      </w:r>
      <w:r>
        <w:rPr>
          <w:rFonts w:ascii="黑体" w:eastAsia="黑体"/>
          <w:sz w:val="72"/>
          <w:szCs w:val="72"/>
        </w:rPr>
        <w:t>）</w:t>
      </w:r>
    </w:p>
    <w:p w:rsidR="00033A8F" w:rsidRDefault="00033A8F">
      <w:pPr>
        <w:jc w:val="center"/>
        <w:rPr>
          <w:rFonts w:ascii="黑体" w:eastAsia="黑体"/>
          <w:sz w:val="52"/>
          <w:szCs w:val="52"/>
        </w:rPr>
      </w:pPr>
    </w:p>
    <w:p w:rsidR="00033A8F" w:rsidRDefault="00033A8F">
      <w:pPr>
        <w:jc w:val="center"/>
        <w:rPr>
          <w:rFonts w:ascii="黑体" w:eastAsia="黑体"/>
          <w:sz w:val="52"/>
          <w:szCs w:val="52"/>
        </w:rPr>
      </w:pPr>
    </w:p>
    <w:p w:rsidR="00033A8F" w:rsidRDefault="00033A8F">
      <w:pPr>
        <w:jc w:val="center"/>
        <w:rPr>
          <w:rFonts w:ascii="黑体" w:eastAsia="黑体"/>
          <w:sz w:val="52"/>
          <w:szCs w:val="52"/>
        </w:rPr>
      </w:pPr>
    </w:p>
    <w:p w:rsidR="00033A8F" w:rsidRDefault="00033A8F">
      <w:pPr>
        <w:jc w:val="center"/>
        <w:rPr>
          <w:rFonts w:ascii="黑体" w:eastAsia="黑体"/>
          <w:sz w:val="52"/>
          <w:szCs w:val="52"/>
        </w:rPr>
      </w:pPr>
    </w:p>
    <w:p w:rsidR="00033A8F" w:rsidRDefault="00033A8F">
      <w:pPr>
        <w:jc w:val="center"/>
        <w:rPr>
          <w:rFonts w:ascii="黑体" w:eastAsia="黑体"/>
          <w:sz w:val="32"/>
          <w:szCs w:val="32"/>
        </w:rPr>
      </w:pPr>
    </w:p>
    <w:p w:rsidR="00033A8F" w:rsidRDefault="00351AC5">
      <w:pPr>
        <w:spacing w:line="500" w:lineRule="exact"/>
        <w:ind w:firstLine="645"/>
        <w:jc w:val="center"/>
        <w:rPr>
          <w:rFonts w:ascii="宋体" w:hAnsi="宋体" w:cs="宋体"/>
          <w:b/>
          <w:bCs/>
          <w:kern w:val="0"/>
          <w:sz w:val="44"/>
          <w:szCs w:val="36"/>
        </w:rPr>
      </w:pPr>
      <w:r>
        <w:rPr>
          <w:rFonts w:ascii="宋体" w:hAnsi="宋体" w:cs="宋体" w:hint="eastAsia"/>
          <w:b/>
          <w:bCs/>
          <w:kern w:val="0"/>
          <w:sz w:val="44"/>
          <w:szCs w:val="36"/>
        </w:rPr>
        <w:lastRenderedPageBreak/>
        <w:t>目    录</w:t>
      </w:r>
    </w:p>
    <w:p w:rsidR="00033A8F" w:rsidRDefault="00033A8F">
      <w:pPr>
        <w:spacing w:line="500" w:lineRule="exact"/>
        <w:ind w:firstLine="645"/>
        <w:jc w:val="center"/>
        <w:rPr>
          <w:rFonts w:ascii="宋体" w:hAnsi="宋体" w:cs="宋体"/>
          <w:b/>
          <w:bCs/>
          <w:kern w:val="0"/>
          <w:sz w:val="36"/>
          <w:szCs w:val="36"/>
        </w:rPr>
      </w:pPr>
    </w:p>
    <w:p w:rsidR="00033A8F" w:rsidRDefault="00351AC5">
      <w:pPr>
        <w:tabs>
          <w:tab w:val="center" w:pos="6979"/>
        </w:tabs>
        <w:spacing w:line="500" w:lineRule="exact"/>
        <w:ind w:firstLineChars="400" w:firstLine="1600"/>
        <w:jc w:val="left"/>
        <w:rPr>
          <w:rFonts w:ascii="宋体" w:hAnsi="宋体" w:cs="宋体"/>
          <w:bCs/>
          <w:spacing w:val="40"/>
          <w:kern w:val="0"/>
          <w:sz w:val="32"/>
          <w:szCs w:val="32"/>
        </w:rPr>
      </w:pPr>
      <w:r>
        <w:rPr>
          <w:rFonts w:ascii="宋体" w:hAnsi="宋体" w:cs="宋体" w:hint="eastAsia"/>
          <w:bCs/>
          <w:spacing w:val="40"/>
          <w:kern w:val="0"/>
          <w:sz w:val="32"/>
          <w:szCs w:val="32"/>
        </w:rPr>
        <w:t>第一部分 2024年度部门决算报表</w:t>
      </w:r>
    </w:p>
    <w:p w:rsidR="00033A8F" w:rsidRDefault="00351AC5">
      <w:pPr>
        <w:tabs>
          <w:tab w:val="center" w:pos="6979"/>
        </w:tabs>
        <w:spacing w:line="500" w:lineRule="exact"/>
        <w:ind w:firstLineChars="600" w:firstLine="2400"/>
        <w:jc w:val="left"/>
        <w:rPr>
          <w:rFonts w:ascii="仿宋_GB2312" w:eastAsia="仿宋_GB2312" w:hAnsi="仿宋"/>
          <w:spacing w:val="40"/>
          <w:sz w:val="32"/>
          <w:szCs w:val="32"/>
        </w:rPr>
      </w:pPr>
      <w:r>
        <w:rPr>
          <w:rFonts w:ascii="仿宋_GB2312" w:eastAsia="仿宋_GB2312" w:hAnsi="仿宋" w:cs="宋体" w:hint="eastAsia"/>
          <w:bCs/>
          <w:spacing w:val="40"/>
          <w:kern w:val="0"/>
          <w:sz w:val="32"/>
          <w:szCs w:val="32"/>
        </w:rPr>
        <w:t>一、收入支出决算总表</w:t>
      </w:r>
    </w:p>
    <w:p w:rsidR="00033A8F" w:rsidRDefault="00351AC5">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二、收入决算表</w:t>
      </w:r>
    </w:p>
    <w:p w:rsidR="00033A8F" w:rsidRDefault="00351AC5">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三、支出决算表</w:t>
      </w:r>
    </w:p>
    <w:p w:rsidR="00033A8F" w:rsidRDefault="00351AC5">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四、财政拨款收入支出决算总表</w:t>
      </w:r>
    </w:p>
    <w:p w:rsidR="00033A8F" w:rsidRDefault="00351AC5">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五、一般公共预算财政拨款支出决算表</w:t>
      </w:r>
    </w:p>
    <w:p w:rsidR="00033A8F" w:rsidRDefault="00351AC5">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六、一般公共预算财政拨款</w:t>
      </w:r>
      <w:r>
        <w:rPr>
          <w:rFonts w:ascii="仿宋_GB2312" w:eastAsia="仿宋_GB2312" w:hAnsi="仿宋" w:cs="宋体"/>
          <w:bCs/>
          <w:spacing w:val="40"/>
          <w:kern w:val="0"/>
          <w:sz w:val="32"/>
          <w:szCs w:val="32"/>
        </w:rPr>
        <w:t>基本支出决算表</w:t>
      </w:r>
    </w:p>
    <w:p w:rsidR="00033A8F" w:rsidRDefault="00351AC5">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七</w:t>
      </w:r>
      <w:r>
        <w:rPr>
          <w:rFonts w:ascii="仿宋_GB2312" w:eastAsia="仿宋_GB2312" w:hAnsi="仿宋" w:cs="宋体"/>
          <w:bCs/>
          <w:spacing w:val="40"/>
          <w:kern w:val="0"/>
          <w:sz w:val="32"/>
          <w:szCs w:val="32"/>
        </w:rPr>
        <w:t>、</w:t>
      </w:r>
      <w:r>
        <w:rPr>
          <w:rFonts w:ascii="仿宋_GB2312" w:eastAsia="仿宋_GB2312" w:hAnsi="仿宋" w:cs="宋体" w:hint="eastAsia"/>
          <w:bCs/>
          <w:spacing w:val="40"/>
          <w:kern w:val="0"/>
          <w:sz w:val="32"/>
          <w:szCs w:val="32"/>
        </w:rPr>
        <w:t>政府性基金预算财政拨款收入支出决算表</w:t>
      </w:r>
    </w:p>
    <w:p w:rsidR="00033A8F" w:rsidRDefault="00351AC5">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八、</w:t>
      </w:r>
      <w:r>
        <w:rPr>
          <w:rFonts w:ascii="仿宋_GB2312" w:eastAsia="仿宋_GB2312" w:hAnsi="仿宋" w:cs="宋体"/>
          <w:bCs/>
          <w:spacing w:val="40"/>
          <w:kern w:val="0"/>
          <w:sz w:val="32"/>
          <w:szCs w:val="32"/>
        </w:rPr>
        <w:t>政府性基金</w:t>
      </w:r>
      <w:r>
        <w:rPr>
          <w:rFonts w:ascii="仿宋_GB2312" w:eastAsia="仿宋_GB2312" w:hAnsi="仿宋" w:cs="宋体" w:hint="eastAsia"/>
          <w:bCs/>
          <w:spacing w:val="40"/>
          <w:kern w:val="0"/>
          <w:sz w:val="32"/>
          <w:szCs w:val="32"/>
        </w:rPr>
        <w:t>预算</w:t>
      </w:r>
      <w:r>
        <w:rPr>
          <w:rFonts w:ascii="仿宋_GB2312" w:eastAsia="仿宋_GB2312" w:hAnsi="仿宋" w:cs="宋体"/>
          <w:bCs/>
          <w:spacing w:val="40"/>
          <w:kern w:val="0"/>
          <w:sz w:val="32"/>
          <w:szCs w:val="32"/>
        </w:rPr>
        <w:t>财政拨款基本支出决算表</w:t>
      </w:r>
    </w:p>
    <w:p w:rsidR="00033A8F" w:rsidRDefault="00351AC5">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九、国有资本经营预算财政拨款支出决算表</w:t>
      </w:r>
    </w:p>
    <w:p w:rsidR="00033A8F" w:rsidRDefault="00351AC5">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十、财政拨款“三公”经费支出决算表</w:t>
      </w:r>
    </w:p>
    <w:p w:rsidR="00033A8F" w:rsidRDefault="00351AC5">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十一、政府采购情况表</w:t>
      </w:r>
    </w:p>
    <w:p w:rsidR="00033A8F" w:rsidRDefault="00351AC5">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十二、政府购买服务决算公开情况表</w:t>
      </w:r>
    </w:p>
    <w:p w:rsidR="00033A8F" w:rsidRDefault="00351AC5">
      <w:pPr>
        <w:tabs>
          <w:tab w:val="center" w:pos="6979"/>
        </w:tabs>
        <w:spacing w:line="500" w:lineRule="exact"/>
        <w:ind w:firstLineChars="400" w:firstLine="1600"/>
        <w:jc w:val="left"/>
        <w:rPr>
          <w:rFonts w:ascii="宋体" w:hAnsi="宋体" w:cs="宋体"/>
          <w:bCs/>
          <w:spacing w:val="40"/>
          <w:kern w:val="0"/>
          <w:sz w:val="32"/>
          <w:szCs w:val="32"/>
        </w:rPr>
      </w:pPr>
      <w:r>
        <w:rPr>
          <w:rFonts w:ascii="宋体" w:hAnsi="宋体" w:cs="宋体" w:hint="eastAsia"/>
          <w:bCs/>
          <w:spacing w:val="40"/>
          <w:kern w:val="0"/>
          <w:sz w:val="32"/>
          <w:szCs w:val="32"/>
        </w:rPr>
        <w:t xml:space="preserve">第二部分 </w:t>
      </w:r>
      <w:r>
        <w:rPr>
          <w:rFonts w:ascii="宋体" w:hAnsi="宋体" w:hint="eastAsia"/>
          <w:spacing w:val="40"/>
          <w:sz w:val="32"/>
          <w:szCs w:val="32"/>
        </w:rPr>
        <w:t>2024年度部门决算说明</w:t>
      </w:r>
    </w:p>
    <w:p w:rsidR="00033A8F" w:rsidRDefault="00351AC5">
      <w:pPr>
        <w:tabs>
          <w:tab w:val="center" w:pos="6979"/>
        </w:tabs>
        <w:spacing w:line="500" w:lineRule="exact"/>
        <w:ind w:firstLineChars="400" w:firstLine="1600"/>
        <w:jc w:val="left"/>
        <w:rPr>
          <w:rFonts w:ascii="宋体" w:hAnsi="宋体" w:cs="宋体"/>
          <w:spacing w:val="40"/>
          <w:kern w:val="0"/>
          <w:sz w:val="32"/>
          <w:szCs w:val="32"/>
        </w:rPr>
      </w:pPr>
      <w:r>
        <w:rPr>
          <w:rFonts w:ascii="宋体" w:hAnsi="宋体" w:cs="宋体" w:hint="eastAsia"/>
          <w:bCs/>
          <w:spacing w:val="40"/>
          <w:kern w:val="0"/>
          <w:sz w:val="32"/>
          <w:szCs w:val="32"/>
        </w:rPr>
        <w:t xml:space="preserve">第三部分 </w:t>
      </w:r>
      <w:r>
        <w:rPr>
          <w:rFonts w:ascii="宋体" w:hAnsi="宋体" w:hint="eastAsia"/>
          <w:spacing w:val="40"/>
          <w:sz w:val="32"/>
          <w:szCs w:val="32"/>
        </w:rPr>
        <w:t>2024年度</w:t>
      </w:r>
      <w:r>
        <w:rPr>
          <w:rFonts w:ascii="宋体" w:hAnsi="宋体" w:cs="宋体" w:hint="eastAsia"/>
          <w:spacing w:val="40"/>
          <w:kern w:val="0"/>
          <w:sz w:val="32"/>
          <w:szCs w:val="32"/>
        </w:rPr>
        <w:t>其他重要事项的情况说明</w:t>
      </w:r>
    </w:p>
    <w:p w:rsidR="00033A8F" w:rsidRDefault="00351AC5">
      <w:pPr>
        <w:tabs>
          <w:tab w:val="center" w:pos="6979"/>
        </w:tabs>
        <w:spacing w:line="500" w:lineRule="exact"/>
        <w:ind w:firstLineChars="400" w:firstLine="1600"/>
        <w:jc w:val="left"/>
        <w:rPr>
          <w:rFonts w:ascii="宋体" w:hAnsi="宋体" w:cs="宋体"/>
          <w:spacing w:val="40"/>
          <w:kern w:val="0"/>
          <w:sz w:val="36"/>
          <w:szCs w:val="32"/>
        </w:rPr>
      </w:pPr>
      <w:r>
        <w:rPr>
          <w:rFonts w:ascii="宋体" w:hAnsi="宋体" w:cs="宋体" w:hint="eastAsia"/>
          <w:spacing w:val="40"/>
          <w:kern w:val="0"/>
          <w:sz w:val="32"/>
          <w:szCs w:val="32"/>
        </w:rPr>
        <w:t>第四部分 2024年度部门绩效评价情况</w:t>
      </w:r>
    </w:p>
    <w:p w:rsidR="00033A8F" w:rsidRDefault="00033A8F">
      <w:pPr>
        <w:tabs>
          <w:tab w:val="center" w:pos="6979"/>
        </w:tabs>
        <w:spacing w:beforeLines="50" w:before="156" w:afterLines="50" w:after="156"/>
        <w:jc w:val="center"/>
        <w:rPr>
          <w:rFonts w:ascii="宋体" w:hAnsi="宋体" w:cs="宋体"/>
          <w:b/>
          <w:bCs/>
          <w:spacing w:val="40"/>
          <w:kern w:val="0"/>
          <w:sz w:val="32"/>
          <w:szCs w:val="32"/>
        </w:rPr>
      </w:pPr>
    </w:p>
    <w:p w:rsidR="00033A8F" w:rsidRDefault="00033A8F">
      <w:pPr>
        <w:tabs>
          <w:tab w:val="center" w:pos="6979"/>
        </w:tabs>
        <w:spacing w:beforeLines="50" w:before="156" w:afterLines="50" w:after="156"/>
        <w:jc w:val="center"/>
        <w:rPr>
          <w:rFonts w:ascii="宋体" w:hAnsi="宋体" w:cs="宋体"/>
          <w:b/>
          <w:bCs/>
          <w:spacing w:val="40"/>
          <w:kern w:val="0"/>
          <w:sz w:val="32"/>
          <w:szCs w:val="32"/>
        </w:rPr>
      </w:pPr>
    </w:p>
    <w:p w:rsidR="00033A8F" w:rsidRDefault="00033A8F">
      <w:pPr>
        <w:tabs>
          <w:tab w:val="center" w:pos="6979"/>
        </w:tabs>
        <w:spacing w:beforeLines="50" w:before="156" w:afterLines="50" w:after="156"/>
        <w:jc w:val="center"/>
        <w:rPr>
          <w:rFonts w:ascii="宋体" w:hAnsi="宋体" w:cs="宋体"/>
          <w:b/>
          <w:bCs/>
          <w:spacing w:val="40"/>
          <w:kern w:val="0"/>
          <w:sz w:val="32"/>
          <w:szCs w:val="32"/>
        </w:rPr>
      </w:pPr>
    </w:p>
    <w:p w:rsidR="00033A8F" w:rsidRDefault="00033A8F">
      <w:pPr>
        <w:tabs>
          <w:tab w:val="center" w:pos="6979"/>
        </w:tabs>
        <w:spacing w:beforeLines="50" w:before="156" w:afterLines="50" w:after="156"/>
        <w:jc w:val="center"/>
        <w:rPr>
          <w:rFonts w:ascii="宋体" w:hAnsi="宋体" w:cs="宋体"/>
          <w:b/>
          <w:bCs/>
          <w:spacing w:val="40"/>
          <w:kern w:val="0"/>
          <w:sz w:val="32"/>
          <w:szCs w:val="32"/>
        </w:rPr>
      </w:pPr>
    </w:p>
    <w:p w:rsidR="00033A8F" w:rsidRDefault="00033A8F">
      <w:pPr>
        <w:tabs>
          <w:tab w:val="center" w:pos="6979"/>
        </w:tabs>
        <w:spacing w:beforeLines="50" w:before="156" w:afterLines="50" w:after="156"/>
        <w:jc w:val="center"/>
        <w:rPr>
          <w:rFonts w:ascii="宋体" w:hAnsi="宋体" w:cs="宋体"/>
          <w:b/>
          <w:bCs/>
          <w:spacing w:val="40"/>
          <w:kern w:val="0"/>
          <w:sz w:val="32"/>
          <w:szCs w:val="32"/>
        </w:rPr>
      </w:pPr>
    </w:p>
    <w:p w:rsidR="00033A8F" w:rsidRDefault="00351AC5">
      <w:pPr>
        <w:tabs>
          <w:tab w:val="center" w:pos="6979"/>
        </w:tabs>
        <w:spacing w:beforeLines="50" w:before="156" w:afterLines="50" w:after="156"/>
        <w:jc w:val="center"/>
        <w:rPr>
          <w:rFonts w:ascii="宋体" w:hAnsi="宋体" w:cs="宋体"/>
          <w:b/>
          <w:bCs/>
          <w:spacing w:val="40"/>
          <w:kern w:val="0"/>
          <w:sz w:val="32"/>
          <w:szCs w:val="32"/>
        </w:rPr>
      </w:pPr>
      <w:r>
        <w:rPr>
          <w:rFonts w:ascii="宋体" w:hAnsi="宋体" w:cs="宋体" w:hint="eastAsia"/>
          <w:b/>
          <w:bCs/>
          <w:spacing w:val="40"/>
          <w:kern w:val="0"/>
          <w:sz w:val="44"/>
          <w:szCs w:val="44"/>
        </w:rPr>
        <w:t>第一部分 2024年度部门决算报表</w:t>
      </w:r>
    </w:p>
    <w:p w:rsidR="00033A8F" w:rsidRDefault="00351AC5">
      <w:pPr>
        <w:pStyle w:val="2"/>
        <w:rPr>
          <w:b w:val="0"/>
          <w:bCs w:val="0"/>
        </w:rPr>
        <w:sectPr w:rsidR="00033A8F">
          <w:footerReference w:type="default" r:id="rId8"/>
          <w:pgSz w:w="16838" w:h="11906" w:orient="landscape"/>
          <w:pgMar w:top="1134" w:right="1134" w:bottom="1134" w:left="1134" w:header="851" w:footer="992" w:gutter="0"/>
          <w:cols w:space="720"/>
          <w:docGrid w:type="linesAndChars" w:linePitch="312"/>
        </w:sectPr>
      </w:pPr>
      <w:r>
        <w:rPr>
          <w:rFonts w:ascii="仿宋_GB2312" w:eastAsia="仿宋_GB2312" w:hint="eastAsia"/>
          <w:sz w:val="28"/>
          <w:szCs w:val="28"/>
        </w:rPr>
        <w:t xml:space="preserve">   </w:t>
      </w:r>
      <w:r>
        <w:rPr>
          <w:rFonts w:ascii="仿宋_GB2312" w:eastAsia="仿宋_GB2312" w:hint="eastAsia"/>
          <w:b w:val="0"/>
          <w:bCs w:val="0"/>
          <w:sz w:val="28"/>
          <w:szCs w:val="28"/>
        </w:rPr>
        <w:t>报表详见附件。</w:t>
      </w:r>
    </w:p>
    <w:p w:rsidR="00033A8F" w:rsidRDefault="00351AC5">
      <w:pPr>
        <w:tabs>
          <w:tab w:val="center" w:pos="6979"/>
        </w:tabs>
        <w:spacing w:beforeLines="50" w:before="156" w:afterLines="50" w:after="156"/>
        <w:jc w:val="center"/>
        <w:rPr>
          <w:rFonts w:ascii="宋体" w:hAnsi="宋体"/>
          <w:b/>
          <w:sz w:val="32"/>
          <w:szCs w:val="32"/>
        </w:rPr>
      </w:pPr>
      <w:r>
        <w:rPr>
          <w:rFonts w:ascii="宋体" w:hAnsi="宋体" w:cs="宋体" w:hint="eastAsia"/>
          <w:b/>
          <w:bCs/>
          <w:spacing w:val="40"/>
          <w:kern w:val="0"/>
          <w:sz w:val="32"/>
          <w:szCs w:val="32"/>
        </w:rPr>
        <w:lastRenderedPageBreak/>
        <w:t xml:space="preserve">第二部分 </w:t>
      </w:r>
      <w:r>
        <w:rPr>
          <w:rFonts w:ascii="宋体" w:hAnsi="宋体" w:hint="eastAsia"/>
          <w:b/>
          <w:spacing w:val="40"/>
          <w:sz w:val="32"/>
          <w:szCs w:val="32"/>
        </w:rPr>
        <w:t>2024年度部门决算说明</w:t>
      </w:r>
    </w:p>
    <w:p w:rsidR="00033A8F" w:rsidRPr="000F4DC0" w:rsidRDefault="00351AC5" w:rsidP="000F4DC0">
      <w:pPr>
        <w:tabs>
          <w:tab w:val="center" w:pos="6979"/>
        </w:tabs>
        <w:spacing w:line="580" w:lineRule="exact"/>
        <w:ind w:firstLineChars="196" w:firstLine="551"/>
        <w:rPr>
          <w:rFonts w:ascii="黑体" w:eastAsia="黑体"/>
          <w:b/>
          <w:sz w:val="28"/>
          <w:szCs w:val="28"/>
        </w:rPr>
      </w:pPr>
      <w:r w:rsidRPr="000F4DC0">
        <w:rPr>
          <w:rFonts w:ascii="黑体" w:eastAsia="黑体" w:hint="eastAsia"/>
          <w:b/>
          <w:sz w:val="28"/>
          <w:szCs w:val="28"/>
        </w:rPr>
        <w:t>一、单位基本情况</w:t>
      </w:r>
    </w:p>
    <w:p w:rsidR="00033A8F" w:rsidRDefault="00351AC5">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（一）学校主要职责</w:t>
      </w:r>
    </w:p>
    <w:p w:rsidR="00033A8F" w:rsidRDefault="00351AC5">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1.全面贯彻国家教育方针，培养学生的创新精神与实践能力，使之成为社会主义事业的建设者和接班人。</w:t>
      </w:r>
    </w:p>
    <w:p w:rsidR="00033A8F" w:rsidRDefault="00351AC5">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 xml:space="preserve">2．负责所属服务片学生义务教育阶段小学教育教学工作。 </w:t>
      </w:r>
    </w:p>
    <w:p w:rsidR="00033A8F" w:rsidRDefault="00351AC5">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（二）机构设置情况</w:t>
      </w:r>
    </w:p>
    <w:p w:rsidR="00033A8F" w:rsidRDefault="00351AC5">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内设机构：校长室、党支部、工会、办公室、总务处、德育处、教导处等部门，各部门分工明确，团结合作。</w:t>
      </w:r>
    </w:p>
    <w:p w:rsidR="00033A8F" w:rsidRDefault="00351AC5">
      <w:pPr>
        <w:tabs>
          <w:tab w:val="center" w:pos="6979"/>
        </w:tabs>
        <w:spacing w:line="580" w:lineRule="exact"/>
        <w:rPr>
          <w:rFonts w:ascii="黑体" w:eastAsia="黑体"/>
          <w:b/>
          <w:sz w:val="28"/>
          <w:szCs w:val="28"/>
        </w:rPr>
      </w:pPr>
      <w:r>
        <w:rPr>
          <w:rFonts w:ascii="仿宋_GB2312" w:eastAsia="仿宋_GB2312" w:hint="eastAsia"/>
          <w:b/>
          <w:sz w:val="32"/>
          <w:szCs w:val="32"/>
        </w:rPr>
        <w:t xml:space="preserve">   </w:t>
      </w:r>
      <w:r>
        <w:rPr>
          <w:rFonts w:ascii="黑体" w:eastAsia="黑体" w:hint="eastAsia"/>
          <w:b/>
          <w:sz w:val="28"/>
          <w:szCs w:val="28"/>
        </w:rPr>
        <w:t>二、收入支出决算总体情况说明</w:t>
      </w:r>
    </w:p>
    <w:p w:rsidR="00033A8F" w:rsidRDefault="00351AC5">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2024年度收、</w:t>
      </w:r>
      <w:r>
        <w:rPr>
          <w:rFonts w:ascii="仿宋_GB2312" w:eastAsia="仿宋_GB2312"/>
          <w:sz w:val="28"/>
          <w:szCs w:val="28"/>
        </w:rPr>
        <w:t>支</w:t>
      </w:r>
      <w:r>
        <w:rPr>
          <w:rFonts w:ascii="仿宋_GB2312" w:eastAsia="仿宋_GB2312" w:hint="eastAsia"/>
          <w:sz w:val="28"/>
          <w:szCs w:val="28"/>
        </w:rPr>
        <w:t>总计</w:t>
      </w:r>
      <w:r>
        <w:rPr>
          <w:rFonts w:ascii="仿宋_GB2312" w:eastAsia="仿宋_GB2312"/>
          <w:sz w:val="28"/>
          <w:szCs w:val="28"/>
        </w:rPr>
        <w:t>4083.84</w:t>
      </w:r>
      <w:r>
        <w:rPr>
          <w:rFonts w:ascii="仿宋_GB2312" w:eastAsia="仿宋_GB2312" w:hint="eastAsia"/>
          <w:sz w:val="28"/>
          <w:szCs w:val="28"/>
        </w:rPr>
        <w:t>万元，</w:t>
      </w:r>
      <w:r>
        <w:rPr>
          <w:rFonts w:ascii="仿宋_GB2312" w:eastAsia="仿宋_GB2312"/>
          <w:sz w:val="28"/>
          <w:szCs w:val="28"/>
        </w:rPr>
        <w:t>比上年增加</w:t>
      </w:r>
      <w:r>
        <w:rPr>
          <w:rFonts w:ascii="仿宋_GB2312" w:eastAsia="仿宋_GB2312" w:hint="eastAsia"/>
          <w:sz w:val="28"/>
          <w:szCs w:val="28"/>
        </w:rPr>
        <w:t>318.75万元，增长8.47%。</w:t>
      </w:r>
    </w:p>
    <w:p w:rsidR="00033A8F" w:rsidRDefault="00351AC5">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（一</w:t>
      </w:r>
      <w:r>
        <w:rPr>
          <w:rFonts w:ascii="仿宋_GB2312" w:eastAsia="仿宋_GB2312"/>
          <w:sz w:val="28"/>
          <w:szCs w:val="28"/>
        </w:rPr>
        <w:t>）</w:t>
      </w:r>
      <w:r>
        <w:rPr>
          <w:rFonts w:ascii="仿宋_GB2312" w:eastAsia="仿宋_GB2312" w:hint="eastAsia"/>
          <w:sz w:val="28"/>
          <w:szCs w:val="28"/>
        </w:rPr>
        <w:t>收入决算</w:t>
      </w:r>
      <w:r>
        <w:rPr>
          <w:rFonts w:ascii="仿宋_GB2312" w:eastAsia="仿宋_GB2312"/>
          <w:sz w:val="28"/>
          <w:szCs w:val="28"/>
        </w:rPr>
        <w:t>说明</w:t>
      </w:r>
    </w:p>
    <w:p w:rsidR="00033A8F" w:rsidRDefault="00351AC5">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2024年度本年收入合计</w:t>
      </w:r>
      <w:r>
        <w:rPr>
          <w:rFonts w:ascii="仿宋_GB2312" w:eastAsia="仿宋_GB2312"/>
          <w:sz w:val="28"/>
          <w:szCs w:val="28"/>
        </w:rPr>
        <w:t>3892.14</w:t>
      </w:r>
      <w:r>
        <w:rPr>
          <w:rFonts w:ascii="仿宋_GB2312" w:eastAsia="仿宋_GB2312" w:hint="eastAsia"/>
          <w:sz w:val="28"/>
          <w:szCs w:val="28"/>
        </w:rPr>
        <w:t>万元，</w:t>
      </w:r>
      <w:r>
        <w:rPr>
          <w:rFonts w:ascii="仿宋_GB2312" w:eastAsia="仿宋_GB2312"/>
          <w:sz w:val="28"/>
          <w:szCs w:val="28"/>
        </w:rPr>
        <w:t>比上年增加</w:t>
      </w:r>
      <w:r>
        <w:rPr>
          <w:rFonts w:ascii="仿宋_GB2312" w:eastAsia="仿宋_GB2312" w:hint="eastAsia"/>
          <w:sz w:val="28"/>
          <w:szCs w:val="28"/>
          <w:lang w:bidi="ar"/>
        </w:rPr>
        <w:t>187.34</w:t>
      </w:r>
      <w:r>
        <w:rPr>
          <w:rFonts w:ascii="仿宋_GB2312" w:eastAsia="仿宋_GB2312" w:hint="eastAsia"/>
          <w:sz w:val="28"/>
          <w:szCs w:val="28"/>
        </w:rPr>
        <w:t>万元，增长5.06%。</w:t>
      </w:r>
    </w:p>
    <w:p w:rsidR="00033A8F" w:rsidRDefault="00351AC5">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1.财政拨款收入</w:t>
      </w:r>
      <w:r>
        <w:rPr>
          <w:rFonts w:ascii="仿宋_GB2312" w:eastAsia="仿宋_GB2312"/>
          <w:sz w:val="28"/>
          <w:szCs w:val="28"/>
        </w:rPr>
        <w:t>3892.14</w:t>
      </w:r>
      <w:r>
        <w:rPr>
          <w:rFonts w:ascii="仿宋_GB2312" w:eastAsia="仿宋_GB2312" w:hint="eastAsia"/>
          <w:sz w:val="28"/>
          <w:szCs w:val="28"/>
        </w:rPr>
        <w:t>万元，占收入合计的100%。其中：一般公共预算财政拨款收入</w:t>
      </w:r>
      <w:r>
        <w:rPr>
          <w:rFonts w:ascii="仿宋_GB2312" w:eastAsia="仿宋_GB2312"/>
          <w:sz w:val="28"/>
          <w:szCs w:val="28"/>
        </w:rPr>
        <w:t>3892.14</w:t>
      </w:r>
      <w:r>
        <w:rPr>
          <w:rFonts w:ascii="仿宋_GB2312" w:eastAsia="仿宋_GB2312" w:hint="eastAsia"/>
          <w:sz w:val="28"/>
          <w:szCs w:val="28"/>
        </w:rPr>
        <w:t>万元，占收入合计的100%；政府性基金预算财政拨款收入0万元，占收入合计的0%；国有资本经营预算财政拨款收入0万元，占收入合计的0%；</w:t>
      </w:r>
    </w:p>
    <w:p w:rsidR="00033A8F" w:rsidRDefault="00351AC5">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2.上级补助收入</w:t>
      </w:r>
      <w:r>
        <w:rPr>
          <w:rFonts w:ascii="仿宋_GB2312" w:eastAsia="仿宋_GB2312"/>
          <w:sz w:val="28"/>
          <w:szCs w:val="28"/>
        </w:rPr>
        <w:t>0</w:t>
      </w:r>
      <w:r>
        <w:rPr>
          <w:rFonts w:ascii="仿宋_GB2312" w:eastAsia="仿宋_GB2312" w:hint="eastAsia"/>
          <w:sz w:val="28"/>
          <w:szCs w:val="28"/>
        </w:rPr>
        <w:t>万元，占收入合计的0%；</w:t>
      </w:r>
    </w:p>
    <w:p w:rsidR="00033A8F" w:rsidRDefault="00351AC5">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3.事业收入</w:t>
      </w:r>
      <w:r>
        <w:rPr>
          <w:rFonts w:ascii="仿宋_GB2312" w:eastAsia="仿宋_GB2312"/>
          <w:sz w:val="28"/>
          <w:szCs w:val="28"/>
        </w:rPr>
        <w:t>0</w:t>
      </w:r>
      <w:r>
        <w:rPr>
          <w:rFonts w:ascii="仿宋_GB2312" w:eastAsia="仿宋_GB2312" w:hint="eastAsia"/>
          <w:sz w:val="28"/>
          <w:szCs w:val="28"/>
        </w:rPr>
        <w:t>万元，占收入合计的0%；</w:t>
      </w:r>
    </w:p>
    <w:p w:rsidR="00033A8F" w:rsidRDefault="00351AC5">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lastRenderedPageBreak/>
        <w:t>4.经营收入</w:t>
      </w:r>
      <w:r>
        <w:rPr>
          <w:rFonts w:ascii="仿宋_GB2312" w:eastAsia="仿宋_GB2312"/>
          <w:sz w:val="28"/>
          <w:szCs w:val="28"/>
        </w:rPr>
        <w:t>0</w:t>
      </w:r>
      <w:r>
        <w:rPr>
          <w:rFonts w:ascii="仿宋_GB2312" w:eastAsia="仿宋_GB2312" w:hint="eastAsia"/>
          <w:sz w:val="28"/>
          <w:szCs w:val="28"/>
        </w:rPr>
        <w:t>万元，占收入合计的0%；</w:t>
      </w:r>
    </w:p>
    <w:p w:rsidR="00033A8F" w:rsidRDefault="00351AC5">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5.附属单位上缴收入</w:t>
      </w:r>
      <w:r>
        <w:rPr>
          <w:rFonts w:ascii="仿宋_GB2312" w:eastAsia="仿宋_GB2312"/>
          <w:sz w:val="28"/>
          <w:szCs w:val="28"/>
        </w:rPr>
        <w:t>0</w:t>
      </w:r>
      <w:r>
        <w:rPr>
          <w:rFonts w:ascii="仿宋_GB2312" w:eastAsia="仿宋_GB2312" w:hint="eastAsia"/>
          <w:sz w:val="28"/>
          <w:szCs w:val="28"/>
        </w:rPr>
        <w:t>万元，占收入合计的0%；</w:t>
      </w:r>
    </w:p>
    <w:p w:rsidR="00033A8F" w:rsidRDefault="00351AC5">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6.其他收入</w:t>
      </w:r>
      <w:r>
        <w:rPr>
          <w:rFonts w:ascii="仿宋_GB2312" w:eastAsia="仿宋_GB2312"/>
          <w:sz w:val="28"/>
          <w:szCs w:val="28"/>
        </w:rPr>
        <w:t>0</w:t>
      </w:r>
      <w:r>
        <w:rPr>
          <w:rFonts w:ascii="仿宋_GB2312" w:eastAsia="仿宋_GB2312" w:hint="eastAsia"/>
          <w:sz w:val="28"/>
          <w:szCs w:val="28"/>
        </w:rPr>
        <w:t>万元，占收入合计的0%。</w:t>
      </w:r>
    </w:p>
    <w:p w:rsidR="00033A8F" w:rsidRDefault="00351AC5">
      <w:pPr>
        <w:pStyle w:val="2"/>
        <w:jc w:val="center"/>
      </w:pPr>
      <w:r>
        <w:rPr>
          <w:rFonts w:ascii="仿宋_GB2312" w:eastAsia="仿宋_GB2312" w:hint="eastAsia"/>
          <w:color w:val="000000"/>
          <w:sz w:val="32"/>
        </w:rPr>
        <w:t>图1：收入决算</w:t>
      </w:r>
    </w:p>
    <w:p w:rsidR="00033A8F" w:rsidRDefault="00351AC5">
      <w:pPr>
        <w:pStyle w:val="a3"/>
        <w:ind w:firstLine="420"/>
        <w:jc w:val="center"/>
      </w:pPr>
      <w:r>
        <w:rPr>
          <w:noProof/>
        </w:rPr>
        <w:drawing>
          <wp:inline distT="0" distB="0" distL="0" distR="0">
            <wp:extent cx="4036695" cy="2328545"/>
            <wp:effectExtent l="0" t="0" r="20955" b="14605"/>
            <wp:docPr id="3" name="图表 3" title="{{pieChart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033A8F" w:rsidRDefault="00351AC5">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（二</w:t>
      </w:r>
      <w:r>
        <w:rPr>
          <w:rFonts w:ascii="仿宋_GB2312" w:eastAsia="仿宋_GB2312"/>
          <w:sz w:val="28"/>
          <w:szCs w:val="28"/>
        </w:rPr>
        <w:t>）</w:t>
      </w:r>
      <w:r>
        <w:rPr>
          <w:rFonts w:ascii="仿宋_GB2312" w:eastAsia="仿宋_GB2312" w:hint="eastAsia"/>
          <w:sz w:val="28"/>
          <w:szCs w:val="28"/>
        </w:rPr>
        <w:t>支出决算</w:t>
      </w:r>
      <w:r>
        <w:rPr>
          <w:rFonts w:ascii="仿宋_GB2312" w:eastAsia="仿宋_GB2312"/>
          <w:sz w:val="28"/>
          <w:szCs w:val="28"/>
        </w:rPr>
        <w:t>说明</w:t>
      </w:r>
    </w:p>
    <w:p w:rsidR="00033A8F" w:rsidRDefault="00351AC5" w:rsidP="00B56DB1">
      <w:pPr>
        <w:tabs>
          <w:tab w:val="center" w:pos="6979"/>
        </w:tabs>
        <w:spacing w:line="580" w:lineRule="exact"/>
        <w:ind w:firstLineChars="250" w:firstLine="700"/>
        <w:rPr>
          <w:rFonts w:ascii="仿宋_GB2312" w:eastAsia="仿宋_GB2312"/>
          <w:sz w:val="28"/>
          <w:szCs w:val="28"/>
        </w:rPr>
      </w:pPr>
      <w:r>
        <w:rPr>
          <w:rFonts w:ascii="仿宋_GB2312" w:eastAsia="仿宋_GB2312" w:hint="eastAsia"/>
          <w:sz w:val="28"/>
          <w:szCs w:val="28"/>
        </w:rPr>
        <w:t>2024年度本年支出合计</w:t>
      </w:r>
      <w:r>
        <w:rPr>
          <w:rFonts w:ascii="仿宋_GB2312" w:eastAsia="仿宋_GB2312"/>
          <w:sz w:val="28"/>
          <w:szCs w:val="28"/>
        </w:rPr>
        <w:t>4083.84</w:t>
      </w:r>
      <w:r>
        <w:rPr>
          <w:rFonts w:ascii="仿宋_GB2312" w:eastAsia="仿宋_GB2312" w:hint="eastAsia"/>
          <w:sz w:val="28"/>
          <w:szCs w:val="28"/>
        </w:rPr>
        <w:t>万元，</w:t>
      </w:r>
      <w:r>
        <w:rPr>
          <w:rFonts w:ascii="仿宋_GB2312" w:eastAsia="仿宋_GB2312"/>
          <w:sz w:val="28"/>
          <w:szCs w:val="28"/>
        </w:rPr>
        <w:t>比上年增加</w:t>
      </w:r>
      <w:r>
        <w:rPr>
          <w:rFonts w:ascii="仿宋_GB2312" w:eastAsia="仿宋_GB2312" w:hint="eastAsia"/>
          <w:sz w:val="28"/>
          <w:szCs w:val="28"/>
          <w:lang w:bidi="ar"/>
        </w:rPr>
        <w:t>318.75</w:t>
      </w:r>
      <w:r>
        <w:rPr>
          <w:rFonts w:ascii="仿宋_GB2312" w:eastAsia="仿宋_GB2312" w:hint="eastAsia"/>
          <w:sz w:val="28"/>
          <w:szCs w:val="28"/>
        </w:rPr>
        <w:t>万元，增长</w:t>
      </w:r>
      <w:r>
        <w:rPr>
          <w:rFonts w:ascii="仿宋_GB2312" w:eastAsia="仿宋_GB2312" w:hint="eastAsia"/>
          <w:sz w:val="28"/>
          <w:szCs w:val="28"/>
          <w:lang w:bidi="ar"/>
        </w:rPr>
        <w:t>8.47</w:t>
      </w:r>
      <w:r>
        <w:rPr>
          <w:rFonts w:ascii="仿宋_GB2312" w:eastAsia="仿宋_GB2312" w:hint="eastAsia"/>
          <w:sz w:val="28"/>
          <w:szCs w:val="28"/>
        </w:rPr>
        <w:t>%，其中：基本支出</w:t>
      </w:r>
      <w:r>
        <w:rPr>
          <w:rFonts w:ascii="仿宋_GB2312" w:eastAsia="仿宋_GB2312"/>
          <w:sz w:val="28"/>
          <w:szCs w:val="28"/>
        </w:rPr>
        <w:t>3713.7</w:t>
      </w:r>
      <w:r>
        <w:rPr>
          <w:rFonts w:ascii="仿宋_GB2312" w:eastAsia="仿宋_GB2312" w:hint="eastAsia"/>
          <w:sz w:val="28"/>
          <w:szCs w:val="28"/>
        </w:rPr>
        <w:t>万元，占支出合计的90.94%；项目支出</w:t>
      </w:r>
      <w:r>
        <w:rPr>
          <w:rFonts w:ascii="仿宋_GB2312" w:eastAsia="仿宋_GB2312"/>
          <w:sz w:val="28"/>
          <w:szCs w:val="28"/>
        </w:rPr>
        <w:t>370.14</w:t>
      </w:r>
      <w:r>
        <w:rPr>
          <w:rFonts w:ascii="仿宋_GB2312" w:eastAsia="仿宋_GB2312" w:hint="eastAsia"/>
          <w:sz w:val="28"/>
          <w:szCs w:val="28"/>
        </w:rPr>
        <w:t>万元，占支出合计的9.06%;上缴上级支出</w:t>
      </w:r>
      <w:r>
        <w:rPr>
          <w:rFonts w:ascii="仿宋_GB2312" w:eastAsia="仿宋_GB2312"/>
          <w:sz w:val="28"/>
          <w:szCs w:val="28"/>
        </w:rPr>
        <w:t>0</w:t>
      </w:r>
      <w:r>
        <w:rPr>
          <w:rFonts w:ascii="仿宋_GB2312" w:eastAsia="仿宋_GB2312" w:hint="eastAsia"/>
          <w:sz w:val="28"/>
          <w:szCs w:val="28"/>
        </w:rPr>
        <w:t>万元，占支出合计的0%；经营支出</w:t>
      </w:r>
      <w:r>
        <w:rPr>
          <w:rFonts w:ascii="仿宋_GB2312" w:eastAsia="仿宋_GB2312"/>
          <w:sz w:val="28"/>
          <w:szCs w:val="28"/>
        </w:rPr>
        <w:t>0</w:t>
      </w:r>
      <w:r>
        <w:rPr>
          <w:rFonts w:ascii="仿宋_GB2312" w:eastAsia="仿宋_GB2312" w:hint="eastAsia"/>
          <w:sz w:val="28"/>
          <w:szCs w:val="28"/>
        </w:rPr>
        <w:t>万元，占支出合计的0%；对附属单位补助支出</w:t>
      </w:r>
      <w:r>
        <w:rPr>
          <w:rFonts w:ascii="仿宋_GB2312" w:eastAsia="仿宋_GB2312"/>
          <w:sz w:val="28"/>
          <w:szCs w:val="28"/>
        </w:rPr>
        <w:t>0</w:t>
      </w:r>
      <w:r>
        <w:rPr>
          <w:rFonts w:ascii="仿宋_GB2312" w:eastAsia="仿宋_GB2312" w:hint="eastAsia"/>
          <w:sz w:val="28"/>
          <w:szCs w:val="28"/>
        </w:rPr>
        <w:t>万元，占支出合计的0%。</w:t>
      </w:r>
    </w:p>
    <w:p w:rsidR="00033A8F" w:rsidRDefault="00351AC5">
      <w:pPr>
        <w:pStyle w:val="2"/>
        <w:ind w:firstLine="642"/>
        <w:jc w:val="center"/>
        <w:rPr>
          <w:rFonts w:ascii="仿宋_GB2312" w:eastAsia="仿宋_GB2312"/>
          <w:color w:val="000000"/>
          <w:sz w:val="32"/>
        </w:rPr>
      </w:pPr>
      <w:r>
        <w:rPr>
          <w:rFonts w:ascii="仿宋_GB2312" w:eastAsia="仿宋_GB2312" w:hint="eastAsia"/>
          <w:color w:val="000000"/>
          <w:sz w:val="32"/>
        </w:rPr>
        <w:lastRenderedPageBreak/>
        <w:t>图2：基本支出和项目支出情况</w:t>
      </w:r>
    </w:p>
    <w:p w:rsidR="00033A8F" w:rsidRDefault="00351AC5">
      <w:pPr>
        <w:jc w:val="center"/>
        <w:rPr>
          <w:rFonts w:ascii="黑体" w:eastAsia="黑体"/>
          <w:b/>
          <w:sz w:val="28"/>
          <w:szCs w:val="28"/>
        </w:rPr>
      </w:pPr>
      <w:r>
        <w:rPr>
          <w:noProof/>
        </w:rPr>
        <w:drawing>
          <wp:inline distT="0" distB="0" distL="114300" distR="114300">
            <wp:extent cx="4572000" cy="2743200"/>
            <wp:effectExtent l="4445" t="4445" r="14605" b="14605"/>
            <wp:docPr id="1" name="图表 3" title="{{pieChart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033A8F" w:rsidRDefault="00351AC5" w:rsidP="000F4DC0">
      <w:pPr>
        <w:tabs>
          <w:tab w:val="center" w:pos="6979"/>
        </w:tabs>
        <w:spacing w:line="580" w:lineRule="exact"/>
        <w:ind w:firstLineChars="196" w:firstLine="551"/>
        <w:rPr>
          <w:rFonts w:ascii="黑体" w:eastAsia="黑体"/>
          <w:b/>
          <w:sz w:val="28"/>
          <w:szCs w:val="28"/>
        </w:rPr>
      </w:pPr>
      <w:r>
        <w:rPr>
          <w:rFonts w:ascii="黑体" w:eastAsia="黑体" w:hint="eastAsia"/>
          <w:b/>
          <w:sz w:val="28"/>
          <w:szCs w:val="28"/>
        </w:rPr>
        <w:t>三</w:t>
      </w:r>
      <w:r>
        <w:rPr>
          <w:rFonts w:ascii="黑体" w:eastAsia="黑体"/>
          <w:b/>
          <w:sz w:val="28"/>
          <w:szCs w:val="28"/>
        </w:rPr>
        <w:t>、财政拨款</w:t>
      </w:r>
      <w:r>
        <w:rPr>
          <w:rFonts w:ascii="黑体" w:eastAsia="黑体" w:hint="eastAsia"/>
          <w:b/>
          <w:sz w:val="28"/>
          <w:szCs w:val="28"/>
        </w:rPr>
        <w:t>收入支出决算</w:t>
      </w:r>
      <w:r>
        <w:rPr>
          <w:rFonts w:ascii="黑体" w:eastAsia="黑体"/>
          <w:b/>
          <w:sz w:val="28"/>
          <w:szCs w:val="28"/>
        </w:rPr>
        <w:t>总体情况说明</w:t>
      </w:r>
    </w:p>
    <w:p w:rsidR="00033A8F" w:rsidRDefault="00351AC5">
      <w:pPr>
        <w:tabs>
          <w:tab w:val="center" w:pos="6979"/>
        </w:tabs>
        <w:spacing w:line="580" w:lineRule="exact"/>
        <w:ind w:firstLineChars="250" w:firstLine="700"/>
        <w:rPr>
          <w:rFonts w:ascii="仿宋_GB2312" w:eastAsia="仿宋_GB2312" w:cs="仿宋_GB2312"/>
          <w:sz w:val="28"/>
          <w:szCs w:val="28"/>
        </w:rPr>
      </w:pPr>
      <w:r>
        <w:rPr>
          <w:rFonts w:ascii="仿宋_GB2312" w:eastAsia="仿宋_GB2312" w:hint="eastAsia"/>
          <w:sz w:val="28"/>
          <w:szCs w:val="28"/>
        </w:rPr>
        <w:t>2024年度财政拨款收、</w:t>
      </w:r>
      <w:r>
        <w:rPr>
          <w:rFonts w:ascii="仿宋_GB2312" w:eastAsia="仿宋_GB2312"/>
          <w:sz w:val="28"/>
          <w:szCs w:val="28"/>
        </w:rPr>
        <w:t>支</w:t>
      </w:r>
      <w:r>
        <w:rPr>
          <w:rFonts w:ascii="仿宋_GB2312" w:eastAsia="仿宋_GB2312" w:hint="eastAsia"/>
          <w:sz w:val="28"/>
          <w:szCs w:val="28"/>
        </w:rPr>
        <w:t>总计</w:t>
      </w:r>
      <w:r>
        <w:rPr>
          <w:rFonts w:ascii="仿宋_GB2312" w:eastAsia="仿宋_GB2312"/>
          <w:sz w:val="28"/>
          <w:szCs w:val="28"/>
        </w:rPr>
        <w:t>4083.84</w:t>
      </w:r>
      <w:r>
        <w:rPr>
          <w:rFonts w:ascii="仿宋_GB2312" w:eastAsia="仿宋_GB2312" w:hint="eastAsia"/>
          <w:sz w:val="28"/>
          <w:szCs w:val="28"/>
        </w:rPr>
        <w:t>万元，</w:t>
      </w:r>
      <w:r>
        <w:rPr>
          <w:rFonts w:ascii="仿宋_GB2312" w:eastAsia="仿宋_GB2312" w:cs="仿宋_GB2312" w:hint="eastAsia"/>
          <w:sz w:val="28"/>
          <w:szCs w:val="28"/>
          <w:lang w:bidi="ar"/>
        </w:rPr>
        <w:t>比上年增加318.75万元，增长8.47%。主要原因：2024年的年初结转191.70万元，比上年的年初结转增加131.41万元，增长217.96%；除了年初结转部分，由于分配了2022年度区统筹绩效工资，7月进行了人员公积金及社保基数调标等原因，2024年度人员经费比2023年度增长106.06万元，增长3.45%；2024年度日常公用经费比2023年度增加14.61万元，增长4.46%；由于增加智慧校园建设项目49.84万元，慧</w:t>
      </w:r>
      <w:proofErr w:type="gramStart"/>
      <w:r>
        <w:rPr>
          <w:rFonts w:ascii="仿宋_GB2312" w:eastAsia="仿宋_GB2312" w:cs="仿宋_GB2312" w:hint="eastAsia"/>
          <w:sz w:val="28"/>
          <w:szCs w:val="28"/>
          <w:lang w:bidi="ar"/>
        </w:rPr>
        <w:t>知慧评项目</w:t>
      </w:r>
      <w:proofErr w:type="gramEnd"/>
      <w:r>
        <w:rPr>
          <w:rFonts w:ascii="仿宋_GB2312" w:eastAsia="仿宋_GB2312" w:cs="仿宋_GB2312" w:hint="eastAsia"/>
          <w:sz w:val="28"/>
          <w:szCs w:val="28"/>
          <w:lang w:bidi="ar"/>
        </w:rPr>
        <w:t xml:space="preserve">13.74万元等，导致2024年度项目经费比2023年度增加66.67万元，增长21.97%。 </w:t>
      </w:r>
    </w:p>
    <w:p w:rsidR="00033A8F" w:rsidRDefault="00351AC5" w:rsidP="000F4DC0">
      <w:pPr>
        <w:tabs>
          <w:tab w:val="center" w:pos="6979"/>
        </w:tabs>
        <w:spacing w:line="580" w:lineRule="exact"/>
        <w:ind w:firstLineChars="196" w:firstLine="551"/>
        <w:rPr>
          <w:rFonts w:ascii="黑体" w:eastAsia="黑体"/>
          <w:b/>
          <w:sz w:val="28"/>
          <w:szCs w:val="28"/>
        </w:rPr>
      </w:pPr>
      <w:r>
        <w:rPr>
          <w:rFonts w:ascii="黑体" w:eastAsia="黑体" w:hint="eastAsia"/>
          <w:b/>
          <w:sz w:val="28"/>
          <w:szCs w:val="28"/>
        </w:rPr>
        <w:t>四、一般公共预算财政拨款支出决算情况说明</w:t>
      </w:r>
    </w:p>
    <w:p w:rsidR="00033A8F" w:rsidRDefault="00351AC5">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lastRenderedPageBreak/>
        <w:t>（一）一般公共预算财政拨款支出决算总体情况</w:t>
      </w:r>
    </w:p>
    <w:p w:rsidR="00033A8F" w:rsidRDefault="00351AC5" w:rsidP="00B56DB1">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2024年度一般公共预算财政拨款支出</w:t>
      </w:r>
      <w:r>
        <w:rPr>
          <w:rFonts w:ascii="仿宋_GB2312" w:eastAsia="仿宋_GB2312"/>
          <w:sz w:val="28"/>
          <w:szCs w:val="28"/>
        </w:rPr>
        <w:t>4083.84</w:t>
      </w:r>
      <w:r>
        <w:rPr>
          <w:rFonts w:ascii="仿宋_GB2312" w:eastAsia="仿宋_GB2312" w:hint="eastAsia"/>
          <w:sz w:val="28"/>
          <w:szCs w:val="28"/>
        </w:rPr>
        <w:t>万元，主要用于以下方面（按大类）：</w:t>
      </w:r>
      <w:r>
        <w:rPr>
          <w:rFonts w:ascii="仿宋_GB2312" w:eastAsia="仿宋_GB2312" w:hint="eastAsia"/>
          <w:sz w:val="28"/>
          <w:szCs w:val="28"/>
          <w:lang w:bidi="ar"/>
        </w:rPr>
        <w:t>教育支出3183.57万元，占本年财政拨款支出77.96%；社会保障和就业支出416.56万元，占本年财政拨款支出10.20%；卫生健康支出292.0</w:t>
      </w:r>
      <w:r w:rsidR="006C046C">
        <w:rPr>
          <w:rFonts w:ascii="仿宋_GB2312" w:eastAsia="仿宋_GB2312" w:hint="eastAsia"/>
          <w:sz w:val="28"/>
          <w:szCs w:val="28"/>
          <w:lang w:bidi="ar"/>
        </w:rPr>
        <w:t>1</w:t>
      </w:r>
      <w:r>
        <w:rPr>
          <w:rFonts w:ascii="仿宋_GB2312" w:eastAsia="仿宋_GB2312" w:hint="eastAsia"/>
          <w:sz w:val="28"/>
          <w:szCs w:val="28"/>
          <w:lang w:bidi="ar"/>
        </w:rPr>
        <w:t>万元，占本年财政拨款支出7.15%。节能环保支出2万元，占本年财政拨款支出0.04%；住房保障支出189.70万元，占本年财政拨款支出4.65%。</w:t>
      </w:r>
    </w:p>
    <w:p w:rsidR="00033A8F" w:rsidRDefault="00351AC5">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（二）一般公共预算财政拨款支出决算具体情况</w:t>
      </w:r>
    </w:p>
    <w:p w:rsidR="00033A8F" w:rsidRDefault="00351AC5">
      <w:pPr>
        <w:autoSpaceDE w:val="0"/>
        <w:autoSpaceDN w:val="0"/>
        <w:adjustRightInd w:val="0"/>
        <w:spacing w:line="580" w:lineRule="exact"/>
        <w:ind w:firstLineChars="200" w:firstLine="560"/>
        <w:jc w:val="left"/>
        <w:rPr>
          <w:rFonts w:ascii="仿宋_GB2312" w:eastAsia="仿宋_GB2312" w:cs="仿宋_GB2312"/>
          <w:sz w:val="28"/>
          <w:szCs w:val="28"/>
        </w:rPr>
      </w:pPr>
      <w:r>
        <w:rPr>
          <w:rFonts w:ascii="仿宋_GB2312" w:eastAsia="仿宋_GB2312" w:cs="仿宋_GB2312" w:hint="eastAsia"/>
          <w:sz w:val="28"/>
          <w:szCs w:val="28"/>
          <w:lang w:bidi="ar"/>
        </w:rPr>
        <w:t>1.“教育支出”（类）</w:t>
      </w:r>
      <w:r>
        <w:rPr>
          <w:rFonts w:ascii="仿宋_GB2312" w:eastAsia="仿宋_GB2312" w:hint="eastAsia"/>
          <w:sz w:val="28"/>
          <w:szCs w:val="28"/>
        </w:rPr>
        <w:t>2024年度年初预算</w:t>
      </w:r>
      <w:r w:rsidR="009562CB">
        <w:rPr>
          <w:rFonts w:ascii="仿宋_GB2312" w:eastAsia="仿宋_GB2312" w:hint="eastAsia"/>
          <w:sz w:val="28"/>
          <w:szCs w:val="28"/>
        </w:rPr>
        <w:t>3216</w:t>
      </w:r>
      <w:r>
        <w:rPr>
          <w:rFonts w:ascii="仿宋_GB2312" w:eastAsia="仿宋_GB2312" w:hint="eastAsia"/>
          <w:sz w:val="28"/>
          <w:szCs w:val="28"/>
        </w:rPr>
        <w:t>.02万元，</w:t>
      </w:r>
      <w:r>
        <w:rPr>
          <w:rFonts w:ascii="仿宋_GB2312" w:eastAsia="仿宋_GB2312" w:cs="仿宋_GB2312" w:hint="eastAsia"/>
          <w:sz w:val="28"/>
          <w:szCs w:val="28"/>
          <w:lang w:bidi="ar"/>
        </w:rPr>
        <w:t>2024年度决算3183.57万元，</w:t>
      </w:r>
      <w:r>
        <w:rPr>
          <w:rFonts w:ascii="仿宋_GB2312" w:eastAsia="仿宋_GB2312" w:hint="eastAsia"/>
          <w:sz w:val="28"/>
          <w:szCs w:val="28"/>
        </w:rPr>
        <w:t>完成年初预算的</w:t>
      </w:r>
      <w:r w:rsidR="009562CB">
        <w:rPr>
          <w:rFonts w:ascii="仿宋_GB2312" w:eastAsia="仿宋_GB2312" w:hint="eastAsia"/>
          <w:sz w:val="28"/>
          <w:szCs w:val="28"/>
        </w:rPr>
        <w:t>98.99</w:t>
      </w:r>
      <w:r>
        <w:rPr>
          <w:rFonts w:ascii="仿宋_GB2312" w:eastAsia="仿宋_GB2312" w:hint="eastAsia"/>
          <w:sz w:val="28"/>
          <w:szCs w:val="28"/>
        </w:rPr>
        <w:t>%。其中：</w:t>
      </w:r>
    </w:p>
    <w:p w:rsidR="00033A8F" w:rsidRDefault="00351AC5">
      <w:pPr>
        <w:spacing w:line="580" w:lineRule="exact"/>
        <w:ind w:firstLineChars="200" w:firstLine="560"/>
        <w:rPr>
          <w:rFonts w:ascii="仿宋_GB2312" w:eastAsia="仿宋_GB2312" w:cs="仿宋_GB2312"/>
          <w:sz w:val="28"/>
          <w:szCs w:val="28"/>
        </w:rPr>
      </w:pPr>
      <w:r>
        <w:rPr>
          <w:rFonts w:ascii="仿宋_GB2312" w:eastAsia="仿宋_GB2312" w:cs="仿宋_GB2312" w:hint="eastAsia"/>
          <w:sz w:val="28"/>
          <w:szCs w:val="28"/>
          <w:lang w:bidi="ar"/>
        </w:rPr>
        <w:t>“普通教育”（款）</w:t>
      </w:r>
      <w:r>
        <w:rPr>
          <w:rFonts w:ascii="仿宋_GB2312" w:eastAsia="仿宋_GB2312" w:hint="eastAsia"/>
          <w:sz w:val="28"/>
          <w:szCs w:val="28"/>
        </w:rPr>
        <w:t>2024年度年初预算</w:t>
      </w:r>
      <w:r w:rsidR="009562CB">
        <w:rPr>
          <w:rFonts w:ascii="仿宋_GB2312" w:eastAsia="仿宋_GB2312" w:hint="eastAsia"/>
          <w:sz w:val="28"/>
          <w:szCs w:val="28"/>
        </w:rPr>
        <w:t>3216</w:t>
      </w:r>
      <w:r>
        <w:rPr>
          <w:rFonts w:ascii="仿宋_GB2312" w:eastAsia="仿宋_GB2312" w:hint="eastAsia"/>
          <w:sz w:val="28"/>
          <w:szCs w:val="28"/>
        </w:rPr>
        <w:t>.02万元，</w:t>
      </w:r>
      <w:r>
        <w:rPr>
          <w:rFonts w:ascii="仿宋_GB2312" w:eastAsia="仿宋_GB2312" w:cs="仿宋_GB2312" w:hint="eastAsia"/>
          <w:sz w:val="28"/>
          <w:szCs w:val="28"/>
          <w:lang w:bidi="ar"/>
        </w:rPr>
        <w:t>2024年度决算3183.57万元，</w:t>
      </w:r>
      <w:r>
        <w:rPr>
          <w:rFonts w:ascii="仿宋_GB2312" w:eastAsia="仿宋_GB2312" w:hint="eastAsia"/>
          <w:sz w:val="28"/>
          <w:szCs w:val="28"/>
        </w:rPr>
        <w:t>完成年初预算的</w:t>
      </w:r>
      <w:r w:rsidR="009562CB">
        <w:rPr>
          <w:rFonts w:ascii="仿宋_GB2312" w:eastAsia="仿宋_GB2312" w:hint="eastAsia"/>
          <w:sz w:val="28"/>
          <w:szCs w:val="28"/>
        </w:rPr>
        <w:t>98.99</w:t>
      </w:r>
      <w:r>
        <w:rPr>
          <w:rFonts w:ascii="仿宋_GB2312" w:eastAsia="仿宋_GB2312" w:hint="eastAsia"/>
          <w:sz w:val="28"/>
          <w:szCs w:val="28"/>
        </w:rPr>
        <w:t>%。</w:t>
      </w:r>
      <w:r>
        <w:rPr>
          <w:rFonts w:ascii="仿宋_GB2312" w:eastAsia="仿宋_GB2312" w:cs="仿宋_GB2312" w:hint="eastAsia"/>
          <w:sz w:val="28"/>
          <w:szCs w:val="28"/>
          <w:lang w:bidi="ar"/>
        </w:rPr>
        <w:t>主要原因： 2024年7月按规定调整了公积金基数，</w:t>
      </w:r>
      <w:r w:rsidR="00DE33D8">
        <w:rPr>
          <w:rFonts w:ascii="仿宋_GB2312" w:eastAsia="仿宋_GB2312" w:cs="仿宋_GB2312" w:hint="eastAsia"/>
          <w:sz w:val="28"/>
          <w:szCs w:val="28"/>
          <w:lang w:bidi="ar"/>
        </w:rPr>
        <w:t>2024年度5月我校退休1人，9月调出1人</w:t>
      </w:r>
      <w:r>
        <w:rPr>
          <w:rFonts w:ascii="仿宋_GB2312" w:eastAsia="仿宋_GB2312" w:cs="仿宋_GB2312" w:hint="eastAsia"/>
          <w:sz w:val="28"/>
          <w:szCs w:val="28"/>
          <w:lang w:bidi="ar"/>
        </w:rPr>
        <w:t>。</w:t>
      </w:r>
    </w:p>
    <w:p w:rsidR="00033A8F" w:rsidRDefault="004533D5">
      <w:pPr>
        <w:spacing w:line="580" w:lineRule="exact"/>
        <w:ind w:firstLineChars="200" w:firstLine="560"/>
        <w:rPr>
          <w:rFonts w:ascii="仿宋_GB2312" w:eastAsia="仿宋_GB2312" w:cs="仿宋_GB2312"/>
          <w:sz w:val="28"/>
          <w:szCs w:val="28"/>
        </w:rPr>
      </w:pPr>
      <w:r>
        <w:rPr>
          <w:rFonts w:ascii="仿宋_GB2312" w:eastAsia="仿宋_GB2312" w:cs="仿宋_GB2312" w:hint="eastAsia"/>
          <w:sz w:val="28"/>
          <w:szCs w:val="28"/>
          <w:lang w:bidi="ar"/>
        </w:rPr>
        <w:t>2.</w:t>
      </w:r>
      <w:r w:rsidR="00FB4F63">
        <w:rPr>
          <w:rFonts w:ascii="仿宋_GB2312" w:eastAsia="仿宋_GB2312" w:cs="仿宋_GB2312" w:hint="eastAsia"/>
          <w:sz w:val="28"/>
          <w:szCs w:val="28"/>
          <w:lang w:bidi="ar"/>
        </w:rPr>
        <w:t>“社会保障和就业支出”（类</w:t>
      </w:r>
      <w:r w:rsidR="00351AC5">
        <w:rPr>
          <w:rFonts w:ascii="仿宋_GB2312" w:eastAsia="仿宋_GB2312" w:cs="仿宋_GB2312" w:hint="eastAsia"/>
          <w:sz w:val="28"/>
          <w:szCs w:val="28"/>
          <w:lang w:bidi="ar"/>
        </w:rPr>
        <w:t>）</w:t>
      </w:r>
      <w:r w:rsidR="00351AC5">
        <w:rPr>
          <w:rFonts w:ascii="仿宋_GB2312" w:eastAsia="仿宋_GB2312" w:hint="eastAsia"/>
          <w:sz w:val="28"/>
          <w:szCs w:val="28"/>
        </w:rPr>
        <w:t>2024年度年初预算428.73万元，</w:t>
      </w:r>
      <w:r w:rsidR="00351AC5">
        <w:rPr>
          <w:rFonts w:ascii="仿宋_GB2312" w:eastAsia="仿宋_GB2312" w:cs="仿宋_GB2312" w:hint="eastAsia"/>
          <w:sz w:val="28"/>
          <w:szCs w:val="28"/>
          <w:lang w:bidi="ar"/>
        </w:rPr>
        <w:t>2024年度决算416.56万元，</w:t>
      </w:r>
      <w:r w:rsidR="00351AC5">
        <w:rPr>
          <w:rFonts w:ascii="仿宋_GB2312" w:eastAsia="仿宋_GB2312" w:hint="eastAsia"/>
          <w:sz w:val="28"/>
          <w:szCs w:val="28"/>
        </w:rPr>
        <w:t>完成年初预算的97.16%。</w:t>
      </w:r>
      <w:r w:rsidR="00351AC5">
        <w:rPr>
          <w:rFonts w:ascii="仿宋_GB2312" w:eastAsia="仿宋_GB2312" w:cs="仿宋_GB2312" w:hint="eastAsia"/>
          <w:sz w:val="28"/>
          <w:szCs w:val="28"/>
          <w:lang w:bidi="ar"/>
        </w:rPr>
        <w:t>其中：</w:t>
      </w:r>
    </w:p>
    <w:p w:rsidR="00033A8F" w:rsidRDefault="00351AC5">
      <w:pPr>
        <w:spacing w:line="580" w:lineRule="exact"/>
        <w:ind w:firstLineChars="200" w:firstLine="560"/>
        <w:rPr>
          <w:rFonts w:ascii="仿宋_GB2312" w:eastAsia="仿宋_GB2312" w:cs="仿宋_GB2312"/>
          <w:sz w:val="28"/>
          <w:szCs w:val="28"/>
        </w:rPr>
      </w:pPr>
      <w:r>
        <w:rPr>
          <w:rFonts w:ascii="仿宋_GB2312" w:eastAsia="仿宋_GB2312" w:cs="仿宋_GB2312" w:hint="eastAsia"/>
          <w:sz w:val="28"/>
          <w:szCs w:val="28"/>
          <w:lang w:bidi="ar"/>
        </w:rPr>
        <w:t>“行政事业单位养老支出”（款）</w:t>
      </w:r>
      <w:r>
        <w:rPr>
          <w:rFonts w:ascii="仿宋_GB2312" w:eastAsia="仿宋_GB2312" w:hint="eastAsia"/>
          <w:sz w:val="28"/>
          <w:szCs w:val="28"/>
        </w:rPr>
        <w:t>2024年度年初预算428.73万元，</w:t>
      </w:r>
      <w:r>
        <w:rPr>
          <w:rFonts w:ascii="仿宋_GB2312" w:eastAsia="仿宋_GB2312" w:cs="仿宋_GB2312" w:hint="eastAsia"/>
          <w:sz w:val="28"/>
          <w:szCs w:val="28"/>
          <w:lang w:bidi="ar"/>
        </w:rPr>
        <w:t>2024年度决算416.56万元，</w:t>
      </w:r>
      <w:r>
        <w:rPr>
          <w:rFonts w:ascii="仿宋_GB2312" w:eastAsia="仿宋_GB2312" w:hint="eastAsia"/>
          <w:sz w:val="28"/>
          <w:szCs w:val="28"/>
        </w:rPr>
        <w:t>完成年初预算的97.16%。</w:t>
      </w:r>
      <w:r>
        <w:rPr>
          <w:rFonts w:ascii="仿宋_GB2312" w:eastAsia="仿宋_GB2312" w:cs="仿宋_GB2312" w:hint="eastAsia"/>
          <w:sz w:val="28"/>
          <w:szCs w:val="28"/>
          <w:lang w:bidi="ar"/>
        </w:rPr>
        <w:t>主要原因：</w:t>
      </w:r>
      <w:bookmarkStart w:id="0" w:name="OLE_LINK7"/>
      <w:r>
        <w:rPr>
          <w:rFonts w:ascii="仿宋_GB2312" w:eastAsia="仿宋_GB2312" w:cs="仿宋_GB2312" w:hint="eastAsia"/>
          <w:sz w:val="28"/>
          <w:szCs w:val="28"/>
          <w:lang w:bidi="ar"/>
        </w:rPr>
        <w:t>2024年度5月我校退休1人，9月调出1人，</w:t>
      </w:r>
      <w:bookmarkEnd w:id="0"/>
      <w:r>
        <w:rPr>
          <w:rFonts w:ascii="仿宋_GB2312" w:eastAsia="仿宋_GB2312" w:cs="仿宋_GB2312" w:hint="eastAsia"/>
          <w:sz w:val="28"/>
          <w:szCs w:val="28"/>
          <w:lang w:bidi="ar"/>
        </w:rPr>
        <w:t>所有在编教职工的养老保险和职业年金基数于2024年7月进行了调整。</w:t>
      </w:r>
    </w:p>
    <w:p w:rsidR="00033A8F" w:rsidRDefault="00351AC5">
      <w:pPr>
        <w:spacing w:line="580" w:lineRule="exact"/>
        <w:ind w:firstLineChars="200" w:firstLine="560"/>
        <w:rPr>
          <w:rFonts w:ascii="仿宋_GB2312" w:eastAsia="仿宋_GB2312" w:cs="仿宋_GB2312"/>
          <w:sz w:val="28"/>
          <w:szCs w:val="28"/>
        </w:rPr>
      </w:pPr>
      <w:r>
        <w:rPr>
          <w:rFonts w:ascii="仿宋_GB2312" w:eastAsia="仿宋_GB2312" w:cs="仿宋_GB2312" w:hint="eastAsia"/>
          <w:sz w:val="28"/>
          <w:szCs w:val="28"/>
          <w:lang w:bidi="ar"/>
        </w:rPr>
        <w:t>3</w:t>
      </w:r>
      <w:r w:rsidR="00B56DB1">
        <w:rPr>
          <w:rFonts w:ascii="仿宋_GB2312" w:eastAsia="仿宋_GB2312" w:cs="仿宋_GB2312" w:hint="eastAsia"/>
          <w:sz w:val="28"/>
          <w:szCs w:val="28"/>
          <w:lang w:bidi="ar"/>
        </w:rPr>
        <w:t>.</w:t>
      </w:r>
      <w:r>
        <w:rPr>
          <w:rFonts w:ascii="仿宋_GB2312" w:eastAsia="仿宋_GB2312" w:cs="仿宋_GB2312" w:hint="eastAsia"/>
          <w:sz w:val="28"/>
          <w:szCs w:val="28"/>
          <w:lang w:bidi="ar"/>
        </w:rPr>
        <w:t>“卫生健康支出”（类）</w:t>
      </w:r>
      <w:r>
        <w:rPr>
          <w:rFonts w:ascii="仿宋_GB2312" w:eastAsia="仿宋_GB2312" w:hint="eastAsia"/>
          <w:sz w:val="28"/>
          <w:szCs w:val="28"/>
        </w:rPr>
        <w:t>2024年度年初预算307.3</w:t>
      </w:r>
      <w:r w:rsidR="00786088">
        <w:rPr>
          <w:rFonts w:ascii="仿宋_GB2312" w:eastAsia="仿宋_GB2312" w:hint="eastAsia"/>
          <w:sz w:val="28"/>
          <w:szCs w:val="28"/>
        </w:rPr>
        <w:t>4</w:t>
      </w:r>
      <w:r>
        <w:rPr>
          <w:rFonts w:ascii="仿宋_GB2312" w:eastAsia="仿宋_GB2312" w:hint="eastAsia"/>
          <w:sz w:val="28"/>
          <w:szCs w:val="28"/>
        </w:rPr>
        <w:t>万元，</w:t>
      </w:r>
      <w:r>
        <w:rPr>
          <w:rFonts w:ascii="仿宋_GB2312" w:eastAsia="仿宋_GB2312" w:cs="仿宋_GB2312" w:hint="eastAsia"/>
          <w:sz w:val="28"/>
          <w:szCs w:val="28"/>
          <w:lang w:bidi="ar"/>
        </w:rPr>
        <w:t>2024年度决算292.0</w:t>
      </w:r>
      <w:r w:rsidR="009974E0">
        <w:rPr>
          <w:rFonts w:ascii="仿宋_GB2312" w:eastAsia="仿宋_GB2312" w:cs="仿宋_GB2312" w:hint="eastAsia"/>
          <w:sz w:val="28"/>
          <w:szCs w:val="28"/>
          <w:lang w:bidi="ar"/>
        </w:rPr>
        <w:t>1</w:t>
      </w:r>
      <w:r>
        <w:rPr>
          <w:rFonts w:ascii="仿宋_GB2312" w:eastAsia="仿宋_GB2312" w:cs="仿宋_GB2312" w:hint="eastAsia"/>
          <w:sz w:val="28"/>
          <w:szCs w:val="28"/>
          <w:lang w:bidi="ar"/>
        </w:rPr>
        <w:t>万元，</w:t>
      </w:r>
      <w:bookmarkStart w:id="1" w:name="OLE_LINK1"/>
      <w:bookmarkStart w:id="2" w:name="OLE_LINK2"/>
      <w:r>
        <w:rPr>
          <w:rFonts w:ascii="仿宋_GB2312" w:eastAsia="仿宋_GB2312" w:hint="eastAsia"/>
          <w:sz w:val="28"/>
          <w:szCs w:val="28"/>
        </w:rPr>
        <w:t>完成年初预算的95.0</w:t>
      </w:r>
      <w:r w:rsidR="00786088">
        <w:rPr>
          <w:rFonts w:ascii="仿宋_GB2312" w:eastAsia="仿宋_GB2312" w:hint="eastAsia"/>
          <w:sz w:val="28"/>
          <w:szCs w:val="28"/>
        </w:rPr>
        <w:t>2</w:t>
      </w:r>
      <w:r>
        <w:rPr>
          <w:rFonts w:ascii="仿宋_GB2312" w:eastAsia="仿宋_GB2312" w:hint="eastAsia"/>
          <w:sz w:val="28"/>
          <w:szCs w:val="28"/>
        </w:rPr>
        <w:t>%。</w:t>
      </w:r>
      <w:bookmarkEnd w:id="1"/>
      <w:bookmarkEnd w:id="2"/>
      <w:r>
        <w:rPr>
          <w:rFonts w:ascii="仿宋_GB2312" w:eastAsia="仿宋_GB2312" w:cs="仿宋_GB2312" w:hint="eastAsia"/>
          <w:sz w:val="28"/>
          <w:szCs w:val="28"/>
          <w:lang w:bidi="ar"/>
        </w:rPr>
        <w:t>其中：</w:t>
      </w:r>
    </w:p>
    <w:p w:rsidR="00033A8F" w:rsidRDefault="00351AC5">
      <w:pPr>
        <w:widowControl/>
        <w:jc w:val="left"/>
        <w:rPr>
          <w:rFonts w:ascii="仿宋_GB2312" w:eastAsia="仿宋_GB2312"/>
          <w:sz w:val="28"/>
          <w:szCs w:val="28"/>
          <w:lang w:bidi="ar"/>
        </w:rPr>
      </w:pPr>
      <w:r>
        <w:rPr>
          <w:rFonts w:ascii="仿宋_GB2312" w:eastAsia="仿宋_GB2312" w:hint="eastAsia"/>
          <w:sz w:val="28"/>
          <w:szCs w:val="28"/>
          <w:lang w:bidi="ar"/>
        </w:rPr>
        <w:lastRenderedPageBreak/>
        <w:t>“行政事业单位医疗”（款）</w:t>
      </w:r>
      <w:r>
        <w:rPr>
          <w:rFonts w:ascii="仿宋_GB2312" w:eastAsia="仿宋_GB2312" w:hint="eastAsia"/>
          <w:sz w:val="28"/>
          <w:szCs w:val="28"/>
        </w:rPr>
        <w:t>2024年度年初预算307.3</w:t>
      </w:r>
      <w:r w:rsidR="00786088">
        <w:rPr>
          <w:rFonts w:ascii="仿宋_GB2312" w:eastAsia="仿宋_GB2312" w:hint="eastAsia"/>
          <w:sz w:val="28"/>
          <w:szCs w:val="28"/>
        </w:rPr>
        <w:t>4</w:t>
      </w:r>
      <w:r>
        <w:rPr>
          <w:rFonts w:ascii="仿宋_GB2312" w:eastAsia="仿宋_GB2312" w:hint="eastAsia"/>
          <w:sz w:val="28"/>
          <w:szCs w:val="28"/>
        </w:rPr>
        <w:t>万元，</w:t>
      </w:r>
      <w:r>
        <w:rPr>
          <w:rFonts w:ascii="仿宋_GB2312" w:eastAsia="仿宋_GB2312" w:hint="eastAsia"/>
          <w:sz w:val="28"/>
          <w:szCs w:val="28"/>
          <w:lang w:bidi="ar"/>
        </w:rPr>
        <w:t>2024年度决算292.</w:t>
      </w:r>
      <w:r w:rsidR="009974E0">
        <w:rPr>
          <w:rFonts w:ascii="仿宋_GB2312" w:eastAsia="仿宋_GB2312" w:hint="eastAsia"/>
          <w:sz w:val="28"/>
          <w:szCs w:val="28"/>
          <w:lang w:bidi="ar"/>
        </w:rPr>
        <w:t>01</w:t>
      </w:r>
      <w:r>
        <w:rPr>
          <w:rFonts w:ascii="仿宋_GB2312" w:eastAsia="仿宋_GB2312" w:hint="eastAsia"/>
          <w:sz w:val="28"/>
          <w:szCs w:val="28"/>
          <w:lang w:bidi="ar"/>
        </w:rPr>
        <w:t>万元，</w:t>
      </w:r>
      <w:r>
        <w:rPr>
          <w:rFonts w:ascii="仿宋_GB2312" w:eastAsia="仿宋_GB2312" w:hint="eastAsia"/>
          <w:sz w:val="28"/>
          <w:szCs w:val="28"/>
        </w:rPr>
        <w:t>完成年初预算的95.0</w:t>
      </w:r>
      <w:r w:rsidR="00786088">
        <w:rPr>
          <w:rFonts w:ascii="仿宋_GB2312" w:eastAsia="仿宋_GB2312" w:hint="eastAsia"/>
          <w:sz w:val="28"/>
          <w:szCs w:val="28"/>
        </w:rPr>
        <w:t>2</w:t>
      </w:r>
      <w:r>
        <w:rPr>
          <w:rFonts w:ascii="仿宋_GB2312" w:eastAsia="仿宋_GB2312" w:hint="eastAsia"/>
          <w:sz w:val="28"/>
          <w:szCs w:val="28"/>
        </w:rPr>
        <w:t>%。</w:t>
      </w:r>
      <w:r>
        <w:rPr>
          <w:rFonts w:ascii="仿宋_GB2312" w:eastAsia="仿宋_GB2312" w:hint="eastAsia"/>
          <w:sz w:val="28"/>
          <w:szCs w:val="28"/>
          <w:lang w:bidi="ar"/>
        </w:rPr>
        <w:t>主要原因：2024年度5月我校退休1人，9月调出1人，所有在编教职工的养老保险和职业年金基数于2024年7月进行了调整。</w:t>
      </w:r>
    </w:p>
    <w:p w:rsidR="006C046C" w:rsidRDefault="006C046C" w:rsidP="006C046C">
      <w:pPr>
        <w:widowControl/>
        <w:ind w:firstLineChars="150" w:firstLine="420"/>
        <w:jc w:val="left"/>
        <w:rPr>
          <w:rFonts w:ascii="仿宋_GB2312" w:eastAsia="仿宋_GB2312"/>
          <w:sz w:val="28"/>
          <w:szCs w:val="28"/>
          <w:lang w:bidi="ar"/>
        </w:rPr>
      </w:pPr>
      <w:r>
        <w:rPr>
          <w:rFonts w:ascii="仿宋_GB2312" w:eastAsia="仿宋_GB2312" w:hint="eastAsia"/>
          <w:sz w:val="28"/>
          <w:szCs w:val="28"/>
          <w:lang w:bidi="ar"/>
        </w:rPr>
        <w:t>4</w:t>
      </w:r>
      <w:r w:rsidR="00B56DB1">
        <w:rPr>
          <w:rFonts w:ascii="仿宋_GB2312" w:eastAsia="仿宋_GB2312" w:hint="eastAsia"/>
          <w:sz w:val="28"/>
          <w:szCs w:val="28"/>
          <w:lang w:bidi="ar"/>
        </w:rPr>
        <w:t>.</w:t>
      </w:r>
      <w:r w:rsidR="0026405B">
        <w:rPr>
          <w:rFonts w:ascii="仿宋_GB2312" w:eastAsia="仿宋_GB2312" w:hint="eastAsia"/>
          <w:sz w:val="28"/>
          <w:szCs w:val="28"/>
          <w:lang w:bidi="ar"/>
        </w:rPr>
        <w:t>“节能环保</w:t>
      </w:r>
      <w:r w:rsidR="008B1755">
        <w:rPr>
          <w:rFonts w:ascii="仿宋_GB2312" w:eastAsia="仿宋_GB2312" w:hint="eastAsia"/>
          <w:sz w:val="28"/>
          <w:szCs w:val="28"/>
          <w:lang w:bidi="ar"/>
        </w:rPr>
        <w:t>支出</w:t>
      </w:r>
      <w:r w:rsidR="0026405B">
        <w:rPr>
          <w:rFonts w:ascii="仿宋_GB2312" w:eastAsia="仿宋_GB2312" w:hint="eastAsia"/>
          <w:sz w:val="28"/>
          <w:szCs w:val="28"/>
          <w:lang w:bidi="ar"/>
        </w:rPr>
        <w:t>”（类）</w:t>
      </w:r>
      <w:bookmarkStart w:id="3" w:name="OLE_LINK3"/>
      <w:bookmarkStart w:id="4" w:name="OLE_LINK4"/>
      <w:r w:rsidR="0026405B">
        <w:rPr>
          <w:rFonts w:ascii="仿宋_GB2312" w:eastAsia="仿宋_GB2312" w:hint="eastAsia"/>
          <w:sz w:val="28"/>
          <w:szCs w:val="28"/>
          <w:lang w:bidi="ar"/>
        </w:rPr>
        <w:t>2024年度年初预算</w:t>
      </w:r>
      <w:r w:rsidR="00786088">
        <w:rPr>
          <w:rFonts w:ascii="仿宋_GB2312" w:eastAsia="仿宋_GB2312" w:hint="eastAsia"/>
          <w:sz w:val="28"/>
          <w:szCs w:val="28"/>
          <w:lang w:bidi="ar"/>
        </w:rPr>
        <w:t>2</w:t>
      </w:r>
      <w:r w:rsidR="0026405B">
        <w:rPr>
          <w:rFonts w:ascii="仿宋_GB2312" w:eastAsia="仿宋_GB2312" w:hint="eastAsia"/>
          <w:sz w:val="28"/>
          <w:szCs w:val="28"/>
          <w:lang w:bidi="ar"/>
        </w:rPr>
        <w:t>万元，2024年度决算2万元</w:t>
      </w:r>
      <w:r w:rsidR="00786088">
        <w:rPr>
          <w:rFonts w:ascii="仿宋_GB2312" w:eastAsia="仿宋_GB2312" w:hint="eastAsia"/>
          <w:sz w:val="28"/>
          <w:szCs w:val="28"/>
          <w:lang w:bidi="ar"/>
        </w:rPr>
        <w:t>，</w:t>
      </w:r>
      <w:r w:rsidR="00786088">
        <w:rPr>
          <w:rFonts w:ascii="仿宋_GB2312" w:eastAsia="仿宋_GB2312" w:hint="eastAsia"/>
          <w:sz w:val="28"/>
          <w:szCs w:val="28"/>
        </w:rPr>
        <w:t>完成年初预算的100%。</w:t>
      </w:r>
      <w:bookmarkEnd w:id="3"/>
      <w:bookmarkEnd w:id="4"/>
      <w:r w:rsidR="0026405B">
        <w:rPr>
          <w:rFonts w:ascii="仿宋_GB2312" w:eastAsia="仿宋_GB2312" w:hint="eastAsia"/>
          <w:sz w:val="28"/>
          <w:szCs w:val="28"/>
          <w:lang w:bidi="ar"/>
        </w:rPr>
        <w:t>其中：“污染防治”</w:t>
      </w:r>
      <w:r w:rsidR="009562CB">
        <w:rPr>
          <w:rFonts w:ascii="仿宋_GB2312" w:eastAsia="仿宋_GB2312" w:hint="eastAsia"/>
          <w:sz w:val="28"/>
          <w:szCs w:val="28"/>
          <w:lang w:bidi="ar"/>
        </w:rPr>
        <w:t>（</w:t>
      </w:r>
      <w:r w:rsidR="00786088">
        <w:rPr>
          <w:rFonts w:ascii="仿宋_GB2312" w:eastAsia="仿宋_GB2312" w:hint="eastAsia"/>
          <w:sz w:val="28"/>
          <w:szCs w:val="28"/>
          <w:lang w:bidi="ar"/>
        </w:rPr>
        <w:t>款</w:t>
      </w:r>
      <w:r w:rsidR="009562CB">
        <w:rPr>
          <w:rFonts w:ascii="仿宋_GB2312" w:eastAsia="仿宋_GB2312" w:hint="eastAsia"/>
          <w:sz w:val="28"/>
          <w:szCs w:val="28"/>
          <w:lang w:bidi="ar"/>
        </w:rPr>
        <w:t>）</w:t>
      </w:r>
      <w:r w:rsidR="00786088">
        <w:rPr>
          <w:rFonts w:ascii="仿宋_GB2312" w:eastAsia="仿宋_GB2312" w:hint="eastAsia"/>
          <w:sz w:val="28"/>
          <w:szCs w:val="28"/>
          <w:lang w:bidi="ar"/>
        </w:rPr>
        <w:t>2024年度年初预算2万元，2024年度决算2万元，</w:t>
      </w:r>
      <w:r w:rsidR="00786088">
        <w:rPr>
          <w:rFonts w:ascii="仿宋_GB2312" w:eastAsia="仿宋_GB2312" w:hint="eastAsia"/>
          <w:sz w:val="28"/>
          <w:szCs w:val="28"/>
        </w:rPr>
        <w:t>完成年初预算的100%，2024年度的预决算金额一致。</w:t>
      </w:r>
    </w:p>
    <w:p w:rsidR="006C046C" w:rsidRDefault="006C046C" w:rsidP="006C046C">
      <w:pPr>
        <w:widowControl/>
        <w:ind w:firstLineChars="150" w:firstLine="420"/>
        <w:jc w:val="left"/>
        <w:rPr>
          <w:rFonts w:ascii="仿宋_GB2312" w:eastAsia="仿宋_GB2312"/>
          <w:sz w:val="28"/>
          <w:szCs w:val="28"/>
          <w:lang w:bidi="ar"/>
        </w:rPr>
      </w:pPr>
      <w:r>
        <w:rPr>
          <w:rFonts w:ascii="仿宋_GB2312" w:eastAsia="仿宋_GB2312" w:hint="eastAsia"/>
          <w:sz w:val="28"/>
          <w:szCs w:val="28"/>
          <w:lang w:bidi="ar"/>
        </w:rPr>
        <w:t>5</w:t>
      </w:r>
      <w:r w:rsidR="00B56DB1">
        <w:rPr>
          <w:rFonts w:ascii="仿宋_GB2312" w:eastAsia="仿宋_GB2312" w:hint="eastAsia"/>
          <w:sz w:val="28"/>
          <w:szCs w:val="28"/>
          <w:lang w:bidi="ar"/>
        </w:rPr>
        <w:t>.</w:t>
      </w:r>
      <w:r w:rsidR="0026405B">
        <w:rPr>
          <w:rFonts w:ascii="仿宋_GB2312" w:eastAsia="仿宋_GB2312" w:hint="eastAsia"/>
          <w:sz w:val="28"/>
          <w:szCs w:val="28"/>
          <w:lang w:bidi="ar"/>
        </w:rPr>
        <w:t>“</w:t>
      </w:r>
      <w:r w:rsidR="00786088">
        <w:rPr>
          <w:rFonts w:ascii="仿宋_GB2312" w:eastAsia="仿宋_GB2312" w:hint="eastAsia"/>
          <w:sz w:val="28"/>
          <w:szCs w:val="28"/>
          <w:lang w:bidi="ar"/>
        </w:rPr>
        <w:t>住房保障支出</w:t>
      </w:r>
      <w:r w:rsidR="0026405B">
        <w:rPr>
          <w:rFonts w:ascii="仿宋_GB2312" w:eastAsia="仿宋_GB2312" w:hint="eastAsia"/>
          <w:sz w:val="28"/>
          <w:szCs w:val="28"/>
          <w:lang w:bidi="ar"/>
        </w:rPr>
        <w:t>”（类）</w:t>
      </w:r>
      <w:bookmarkStart w:id="5" w:name="OLE_LINK5"/>
      <w:bookmarkStart w:id="6" w:name="OLE_LINK6"/>
      <w:r w:rsidR="0026405B">
        <w:rPr>
          <w:rFonts w:ascii="仿宋_GB2312" w:eastAsia="仿宋_GB2312" w:hint="eastAsia"/>
          <w:sz w:val="28"/>
          <w:szCs w:val="28"/>
          <w:lang w:bidi="ar"/>
        </w:rPr>
        <w:t>2024年度年初预算0万元，2024年度决算189.69万元。</w:t>
      </w:r>
      <w:bookmarkEnd w:id="5"/>
      <w:bookmarkEnd w:id="6"/>
      <w:r w:rsidR="00786088">
        <w:rPr>
          <w:rFonts w:ascii="仿宋_GB2312" w:eastAsia="仿宋_GB2312" w:hint="eastAsia"/>
          <w:sz w:val="28"/>
          <w:szCs w:val="28"/>
          <w:lang w:bidi="ar"/>
        </w:rPr>
        <w:t>其中“住房改革支出”（款）</w:t>
      </w:r>
      <w:r w:rsidR="002A6BFF">
        <w:rPr>
          <w:rFonts w:ascii="仿宋_GB2312" w:eastAsia="仿宋_GB2312" w:hint="eastAsia"/>
          <w:sz w:val="28"/>
          <w:szCs w:val="28"/>
          <w:lang w:bidi="ar"/>
        </w:rPr>
        <w:t>2024年度年初预算0万元，2024年度决算189.69万元。主要原因：</w:t>
      </w:r>
      <w:r w:rsidR="008B1755">
        <w:rPr>
          <w:rFonts w:ascii="仿宋_GB2312" w:eastAsia="仿宋_GB2312" w:hint="eastAsia"/>
          <w:sz w:val="28"/>
          <w:szCs w:val="28"/>
          <w:lang w:bidi="ar"/>
        </w:rPr>
        <w:t>根据要求发放教师购房补贴（住房补贴第三批补发）。</w:t>
      </w:r>
    </w:p>
    <w:p w:rsidR="00033A8F" w:rsidRDefault="00351AC5" w:rsidP="000F4DC0">
      <w:pPr>
        <w:spacing w:line="580" w:lineRule="exact"/>
        <w:ind w:firstLineChars="200" w:firstLine="562"/>
        <w:rPr>
          <w:rFonts w:ascii="仿宋_GB2312" w:eastAsia="仿宋_GB2312"/>
          <w:sz w:val="28"/>
          <w:szCs w:val="28"/>
        </w:rPr>
      </w:pPr>
      <w:r>
        <w:rPr>
          <w:rFonts w:ascii="黑体" w:eastAsia="黑体" w:hint="eastAsia"/>
          <w:b/>
          <w:sz w:val="28"/>
          <w:szCs w:val="28"/>
        </w:rPr>
        <w:t>五、政府性基金预算财政拨款支出决算情况说明</w:t>
      </w:r>
    </w:p>
    <w:p w:rsidR="00033A8F" w:rsidRDefault="00351AC5" w:rsidP="00772684">
      <w:pPr>
        <w:spacing w:line="560" w:lineRule="exact"/>
        <w:ind w:firstLineChars="200" w:firstLine="560"/>
        <w:rPr>
          <w:rFonts w:ascii="仿宋_GB2312" w:eastAsia="仿宋_GB2312"/>
          <w:sz w:val="28"/>
          <w:szCs w:val="28"/>
        </w:rPr>
      </w:pPr>
      <w:r>
        <w:rPr>
          <w:rFonts w:ascii="仿宋_GB2312" w:eastAsia="仿宋_GB2312" w:cs="仿宋_GB2312" w:hint="eastAsia"/>
          <w:sz w:val="28"/>
          <w:szCs w:val="28"/>
          <w:lang w:bidi="ar"/>
        </w:rPr>
        <w:t>本单位2024年度无政府性基金预算财政拨款安排的支出。</w:t>
      </w:r>
    </w:p>
    <w:p w:rsidR="00033A8F" w:rsidRDefault="00351AC5" w:rsidP="000F4DC0">
      <w:pPr>
        <w:spacing w:line="580" w:lineRule="exact"/>
        <w:ind w:firstLineChars="200" w:firstLine="562"/>
        <w:rPr>
          <w:rFonts w:ascii="黑体" w:eastAsia="黑体"/>
          <w:b/>
          <w:sz w:val="28"/>
          <w:szCs w:val="28"/>
        </w:rPr>
      </w:pPr>
      <w:r>
        <w:rPr>
          <w:rFonts w:ascii="黑体" w:eastAsia="黑体" w:hint="eastAsia"/>
          <w:b/>
          <w:sz w:val="28"/>
          <w:szCs w:val="28"/>
        </w:rPr>
        <w:t>六、国有资本经营预算财</w:t>
      </w:r>
      <w:r>
        <w:rPr>
          <w:rFonts w:ascii="黑体" w:eastAsia="黑体"/>
          <w:b/>
          <w:sz w:val="28"/>
          <w:szCs w:val="28"/>
        </w:rPr>
        <w:t>政拨款</w:t>
      </w:r>
      <w:r>
        <w:rPr>
          <w:rFonts w:ascii="黑体" w:eastAsia="黑体" w:hint="eastAsia"/>
          <w:b/>
          <w:sz w:val="28"/>
          <w:szCs w:val="28"/>
        </w:rPr>
        <w:t>收支情况</w:t>
      </w:r>
    </w:p>
    <w:p w:rsidR="00033A8F" w:rsidRDefault="00351AC5" w:rsidP="000F4DC0">
      <w:pPr>
        <w:ind w:firstLineChars="192" w:firstLine="538"/>
        <w:rPr>
          <w:rFonts w:ascii="仿宋_GB2312" w:eastAsia="仿宋_GB2312"/>
          <w:sz w:val="28"/>
          <w:szCs w:val="28"/>
        </w:rPr>
      </w:pPr>
      <w:r>
        <w:rPr>
          <w:rFonts w:ascii="仿宋_GB2312" w:eastAsia="仿宋_GB2312" w:hint="eastAsia"/>
          <w:sz w:val="28"/>
          <w:szCs w:val="28"/>
        </w:rPr>
        <w:t>2024年度国有资本经营预算财政</w:t>
      </w:r>
      <w:r>
        <w:rPr>
          <w:rFonts w:ascii="仿宋_GB2312" w:eastAsia="仿宋_GB2312"/>
          <w:sz w:val="28"/>
          <w:szCs w:val="28"/>
        </w:rPr>
        <w:t>拨款</w:t>
      </w:r>
      <w:r>
        <w:rPr>
          <w:rFonts w:ascii="仿宋_GB2312" w:eastAsia="仿宋_GB2312" w:hint="eastAsia"/>
          <w:sz w:val="28"/>
          <w:szCs w:val="28"/>
        </w:rPr>
        <w:t>收入总</w:t>
      </w:r>
      <w:r>
        <w:rPr>
          <w:rFonts w:ascii="仿宋_GB2312" w:eastAsia="仿宋_GB2312"/>
          <w:sz w:val="28"/>
          <w:szCs w:val="28"/>
        </w:rPr>
        <w:t>计0</w:t>
      </w:r>
      <w:r>
        <w:rPr>
          <w:rFonts w:ascii="仿宋_GB2312" w:eastAsia="仿宋_GB2312" w:hint="eastAsia"/>
          <w:sz w:val="28"/>
          <w:szCs w:val="28"/>
        </w:rPr>
        <w:t>万元，国有资本经营预算财政</w:t>
      </w:r>
      <w:r>
        <w:rPr>
          <w:rFonts w:ascii="仿宋_GB2312" w:eastAsia="仿宋_GB2312"/>
          <w:sz w:val="28"/>
          <w:szCs w:val="28"/>
        </w:rPr>
        <w:t>拨款</w:t>
      </w:r>
      <w:r>
        <w:rPr>
          <w:rFonts w:ascii="仿宋_GB2312" w:eastAsia="仿宋_GB2312" w:hint="eastAsia"/>
          <w:sz w:val="28"/>
          <w:szCs w:val="28"/>
        </w:rPr>
        <w:t>支出总</w:t>
      </w:r>
      <w:r>
        <w:rPr>
          <w:rFonts w:ascii="仿宋_GB2312" w:eastAsia="仿宋_GB2312"/>
          <w:sz w:val="28"/>
          <w:szCs w:val="28"/>
        </w:rPr>
        <w:t>计0</w:t>
      </w:r>
      <w:r>
        <w:rPr>
          <w:rFonts w:ascii="仿宋_GB2312" w:eastAsia="仿宋_GB2312" w:hint="eastAsia"/>
          <w:sz w:val="28"/>
          <w:szCs w:val="28"/>
        </w:rPr>
        <w:t>万元。</w:t>
      </w:r>
    </w:p>
    <w:p w:rsidR="00033A8F" w:rsidRDefault="00351AC5" w:rsidP="000F4DC0">
      <w:pPr>
        <w:spacing w:line="580" w:lineRule="exact"/>
        <w:ind w:firstLineChars="196" w:firstLine="551"/>
        <w:rPr>
          <w:rFonts w:ascii="黑体" w:eastAsia="黑体"/>
          <w:sz w:val="28"/>
          <w:szCs w:val="28"/>
        </w:rPr>
      </w:pPr>
      <w:r>
        <w:rPr>
          <w:rFonts w:ascii="黑体" w:eastAsia="黑体" w:hint="eastAsia"/>
          <w:b/>
          <w:sz w:val="28"/>
          <w:szCs w:val="28"/>
        </w:rPr>
        <w:t>七、财政拨款基本支出决算情况说明</w:t>
      </w:r>
    </w:p>
    <w:p w:rsidR="00033A8F" w:rsidRDefault="00417C39" w:rsidP="00D83E7F">
      <w:pPr>
        <w:tabs>
          <w:tab w:val="center" w:pos="6979"/>
        </w:tabs>
        <w:spacing w:line="580" w:lineRule="exact"/>
        <w:ind w:firstLineChars="196" w:firstLine="549"/>
        <w:rPr>
          <w:rFonts w:ascii="仿宋_GB2312" w:eastAsia="仿宋_GB2312" w:hint="eastAsia"/>
          <w:sz w:val="28"/>
          <w:szCs w:val="28"/>
        </w:rPr>
      </w:pPr>
      <w:r w:rsidRPr="00417C39">
        <w:rPr>
          <w:rFonts w:ascii="仿宋_GB2312" w:eastAsia="仿宋_GB2312" w:hint="eastAsia"/>
          <w:sz w:val="28"/>
          <w:szCs w:val="28"/>
        </w:rPr>
        <w:t>2024年度使用一般公共预算财政拨款安排基本支出3713.7万元，使用政府性基金财政拨款安排基本支出0万元，（1）工资福利支出包括基本工资、津贴补贴、奖金、伙食补助费、绩效工资、其他社会保障缴费、其他工资福利等支出；（2）商品和服务支出包括办公费、印刷费、咨询费、手续费、水费、电费、邮电费、取暖费、物业管理费、差旅费、</w:t>
      </w:r>
      <w:r w:rsidRPr="00417C39">
        <w:rPr>
          <w:rFonts w:ascii="仿宋_GB2312" w:eastAsia="仿宋_GB2312" w:hint="eastAsia"/>
          <w:sz w:val="28"/>
          <w:szCs w:val="28"/>
        </w:rPr>
        <w:lastRenderedPageBreak/>
        <w:t>因公出国（境）费、维修（护）费、租赁费、会议费、培训费、公务接待费、专用材料费、劳务费、委托业务费、工会经费、福利费、公务用车运行维护费、其他交通费、其他商品和服务等支出；（3）对个人和家庭补助支出包括离休费、退休费、抚恤金、生活补助、救济费、医疗费补助、助学金、奖励金、其他对个人和家庭的补助等支出。（4</w:t>
      </w:r>
      <w:r>
        <w:rPr>
          <w:rFonts w:ascii="仿宋_GB2312" w:eastAsia="仿宋_GB2312" w:hint="eastAsia"/>
          <w:sz w:val="28"/>
          <w:szCs w:val="28"/>
        </w:rPr>
        <w:t>）其他资本性支出包括办公设备购置、专用设备购置等</w:t>
      </w:r>
      <w:r w:rsidR="00351AC5">
        <w:rPr>
          <w:rFonts w:ascii="仿宋_GB2312" w:eastAsia="仿宋_GB2312" w:hint="eastAsia"/>
          <w:sz w:val="28"/>
          <w:szCs w:val="28"/>
        </w:rPr>
        <w:t>。</w:t>
      </w:r>
    </w:p>
    <w:p w:rsidR="00580964" w:rsidRPr="00D83E7F" w:rsidRDefault="00580964" w:rsidP="00D83E7F">
      <w:pPr>
        <w:tabs>
          <w:tab w:val="center" w:pos="6979"/>
        </w:tabs>
        <w:spacing w:line="580" w:lineRule="exact"/>
        <w:ind w:firstLineChars="196" w:firstLine="549"/>
        <w:rPr>
          <w:rFonts w:ascii="仿宋_GB2312" w:eastAsia="仿宋_GB2312"/>
          <w:sz w:val="28"/>
          <w:szCs w:val="28"/>
        </w:rPr>
      </w:pPr>
    </w:p>
    <w:p w:rsidR="00033A8F" w:rsidRDefault="00351AC5">
      <w:pPr>
        <w:tabs>
          <w:tab w:val="center" w:pos="6979"/>
        </w:tabs>
        <w:jc w:val="center"/>
        <w:rPr>
          <w:rFonts w:ascii="宋体" w:hAnsi="宋体" w:cs="宋体"/>
          <w:b/>
          <w:spacing w:val="40"/>
          <w:kern w:val="0"/>
          <w:sz w:val="32"/>
          <w:szCs w:val="32"/>
        </w:rPr>
      </w:pPr>
      <w:r>
        <w:rPr>
          <w:rFonts w:ascii="宋体" w:hAnsi="宋体" w:cs="宋体" w:hint="eastAsia"/>
          <w:b/>
          <w:bCs/>
          <w:spacing w:val="40"/>
          <w:kern w:val="0"/>
          <w:sz w:val="32"/>
          <w:szCs w:val="32"/>
        </w:rPr>
        <w:t>第三部分</w:t>
      </w:r>
      <w:r>
        <w:rPr>
          <w:rFonts w:ascii="宋体" w:hAnsi="宋体" w:hint="eastAsia"/>
          <w:b/>
          <w:spacing w:val="40"/>
          <w:sz w:val="32"/>
          <w:szCs w:val="32"/>
        </w:rPr>
        <w:t>2024年度</w:t>
      </w:r>
      <w:r>
        <w:rPr>
          <w:rFonts w:ascii="宋体" w:hAnsi="宋体" w:cs="宋体" w:hint="eastAsia"/>
          <w:b/>
          <w:spacing w:val="40"/>
          <w:kern w:val="0"/>
          <w:sz w:val="32"/>
          <w:szCs w:val="32"/>
        </w:rPr>
        <w:t>其他重要事项的情况说明</w:t>
      </w:r>
    </w:p>
    <w:p w:rsidR="00033A8F" w:rsidRDefault="00351AC5">
      <w:pPr>
        <w:spacing w:line="560" w:lineRule="exact"/>
        <w:ind w:firstLineChars="200" w:firstLine="560"/>
        <w:rPr>
          <w:rFonts w:ascii="黑体" w:eastAsia="黑体"/>
          <w:sz w:val="28"/>
          <w:szCs w:val="28"/>
        </w:rPr>
      </w:pPr>
      <w:r>
        <w:rPr>
          <w:rFonts w:ascii="黑体" w:eastAsia="黑体" w:hint="eastAsia"/>
          <w:sz w:val="28"/>
          <w:szCs w:val="28"/>
        </w:rPr>
        <w:t>一、“三公”经费财政拨款决算情况</w:t>
      </w:r>
    </w:p>
    <w:p w:rsidR="00033A8F" w:rsidRDefault="00351AC5">
      <w:pPr>
        <w:spacing w:line="560" w:lineRule="exact"/>
        <w:ind w:firstLine="600"/>
        <w:rPr>
          <w:rFonts w:ascii="仿宋_GB2312" w:eastAsia="仿宋_GB2312"/>
          <w:sz w:val="28"/>
          <w:szCs w:val="28"/>
        </w:rPr>
      </w:pPr>
      <w:r>
        <w:rPr>
          <w:rFonts w:ascii="仿宋_GB2312" w:eastAsia="仿宋_GB2312" w:hint="eastAsia"/>
          <w:sz w:val="28"/>
          <w:szCs w:val="28"/>
        </w:rPr>
        <w:t>2024年度“三公”经费财政拨款决算数</w:t>
      </w:r>
      <w:r>
        <w:rPr>
          <w:rFonts w:ascii="仿宋_GB2312" w:eastAsia="仿宋_GB2312"/>
          <w:sz w:val="28"/>
          <w:szCs w:val="28"/>
        </w:rPr>
        <w:t>1.71</w:t>
      </w:r>
      <w:r>
        <w:rPr>
          <w:rFonts w:ascii="仿宋_GB2312" w:eastAsia="仿宋_GB2312" w:hint="eastAsia"/>
          <w:sz w:val="28"/>
          <w:szCs w:val="28"/>
        </w:rPr>
        <w:t>万元，比2024年度“三公”经费财政拨款年初预算</w:t>
      </w:r>
      <w:r>
        <w:rPr>
          <w:rFonts w:ascii="仿宋_GB2312" w:eastAsia="仿宋_GB2312"/>
          <w:sz w:val="28"/>
          <w:szCs w:val="28"/>
        </w:rPr>
        <w:t>3.7</w:t>
      </w:r>
      <w:r>
        <w:rPr>
          <w:rFonts w:ascii="仿宋_GB2312" w:eastAsia="仿宋_GB2312" w:hint="eastAsia"/>
          <w:sz w:val="28"/>
          <w:szCs w:val="28"/>
        </w:rPr>
        <w:t>万元减少1.99万元。其中：</w:t>
      </w:r>
    </w:p>
    <w:p w:rsidR="00033A8F" w:rsidRDefault="00351AC5">
      <w:pPr>
        <w:spacing w:line="560" w:lineRule="exact"/>
        <w:ind w:firstLine="600"/>
        <w:rPr>
          <w:rFonts w:ascii="仿宋_GB2312" w:eastAsia="仿宋_GB2312"/>
          <w:sz w:val="28"/>
          <w:szCs w:val="28"/>
        </w:rPr>
      </w:pPr>
      <w:r>
        <w:rPr>
          <w:rFonts w:ascii="仿宋_GB2312" w:eastAsia="仿宋_GB2312" w:hint="eastAsia"/>
          <w:sz w:val="28"/>
          <w:szCs w:val="28"/>
        </w:rPr>
        <w:t>1.因公出国（境）费用。2024年度决算数0万元，</w:t>
      </w:r>
      <w:r w:rsidR="005E4D75" w:rsidRPr="005E4D75">
        <w:rPr>
          <w:rFonts w:ascii="仿宋_GB2312" w:eastAsia="仿宋_GB2312" w:hint="eastAsia"/>
          <w:sz w:val="28"/>
          <w:szCs w:val="28"/>
        </w:rPr>
        <w:t>比2024年度年初预算数0万元增减无变化，保持一致</w:t>
      </w:r>
      <w:r>
        <w:rPr>
          <w:rFonts w:ascii="仿宋_GB2312" w:eastAsia="仿宋_GB2312" w:hint="eastAsia"/>
          <w:sz w:val="28"/>
          <w:szCs w:val="28"/>
        </w:rPr>
        <w:t>。主要原因：</w:t>
      </w:r>
      <w:r>
        <w:rPr>
          <w:rFonts w:ascii="仿宋_GB2312" w:eastAsia="仿宋_GB2312" w:hint="eastAsia"/>
          <w:sz w:val="28"/>
          <w:szCs w:val="28"/>
          <w:lang w:bidi="ar"/>
        </w:rPr>
        <w:t>因公出国（境）费用根据年度出国审批情况作为追加项目管理，单位不做年初预算，本年也没有出国审批项目发生</w:t>
      </w:r>
      <w:r>
        <w:rPr>
          <w:rFonts w:ascii="仿宋_GB2312" w:eastAsia="仿宋_GB2312" w:hint="eastAsia"/>
          <w:sz w:val="28"/>
          <w:szCs w:val="28"/>
        </w:rPr>
        <w:t>；2024年度因公出国</w:t>
      </w:r>
      <w:bookmarkStart w:id="7" w:name="OLE_LINK8"/>
      <w:bookmarkStart w:id="8" w:name="OLE_LINK9"/>
      <w:r>
        <w:rPr>
          <w:rFonts w:ascii="仿宋_GB2312" w:eastAsia="仿宋_GB2312" w:hint="eastAsia"/>
          <w:sz w:val="28"/>
          <w:szCs w:val="28"/>
        </w:rPr>
        <w:t>（境）</w:t>
      </w:r>
      <w:bookmarkEnd w:id="7"/>
      <w:bookmarkEnd w:id="8"/>
      <w:r>
        <w:rPr>
          <w:rFonts w:ascii="仿宋_GB2312" w:eastAsia="仿宋_GB2312" w:hint="eastAsia"/>
          <w:sz w:val="28"/>
          <w:szCs w:val="28"/>
        </w:rPr>
        <w:t>费用主要用于出国</w:t>
      </w:r>
      <w:r w:rsidR="005E4D75">
        <w:rPr>
          <w:rFonts w:ascii="仿宋_GB2312" w:eastAsia="仿宋_GB2312" w:hint="eastAsia"/>
          <w:sz w:val="28"/>
          <w:szCs w:val="28"/>
        </w:rPr>
        <w:t>（境）</w:t>
      </w:r>
      <w:r>
        <w:rPr>
          <w:rFonts w:ascii="仿宋_GB2312" w:eastAsia="仿宋_GB2312" w:hint="eastAsia"/>
          <w:sz w:val="28"/>
          <w:szCs w:val="28"/>
        </w:rPr>
        <w:t>的会议、培训</w:t>
      </w:r>
      <w:r w:rsidR="005E4D75">
        <w:rPr>
          <w:rFonts w:ascii="仿宋_GB2312" w:eastAsia="仿宋_GB2312" w:hint="eastAsia"/>
          <w:sz w:val="28"/>
          <w:szCs w:val="28"/>
        </w:rPr>
        <w:t>交流</w:t>
      </w:r>
      <w:r>
        <w:rPr>
          <w:rFonts w:ascii="仿宋_GB2312" w:eastAsia="仿宋_GB2312" w:hint="eastAsia"/>
          <w:sz w:val="28"/>
          <w:szCs w:val="28"/>
        </w:rPr>
        <w:t>等事项等，2024年度组织因公出国（境）团组0个、0人次。</w:t>
      </w:r>
    </w:p>
    <w:p w:rsidR="00033A8F" w:rsidRDefault="00351AC5">
      <w:pPr>
        <w:spacing w:line="560" w:lineRule="exact"/>
        <w:ind w:firstLine="600"/>
        <w:rPr>
          <w:rFonts w:ascii="仿宋_GB2312" w:eastAsia="仿宋_GB2312"/>
          <w:sz w:val="28"/>
          <w:szCs w:val="28"/>
        </w:rPr>
      </w:pPr>
      <w:r>
        <w:rPr>
          <w:rFonts w:ascii="仿宋_GB2312" w:eastAsia="仿宋_GB2312" w:hint="eastAsia"/>
          <w:sz w:val="28"/>
          <w:szCs w:val="28"/>
        </w:rPr>
        <w:t>2.公务接待费。2024年度决算数0万元，比2024年度年初预算数1万元减少1万元。主要原因：</w:t>
      </w:r>
      <w:r>
        <w:rPr>
          <w:rFonts w:ascii="仿宋_GB2312" w:eastAsia="仿宋_GB2312" w:hint="eastAsia"/>
          <w:sz w:val="28"/>
          <w:szCs w:val="28"/>
          <w:lang w:bidi="ar"/>
        </w:rPr>
        <w:t>本年度无公务接待支出</w:t>
      </w:r>
      <w:r>
        <w:rPr>
          <w:rFonts w:ascii="仿宋_GB2312" w:eastAsia="仿宋_GB2312" w:hint="eastAsia"/>
          <w:sz w:val="28"/>
          <w:szCs w:val="28"/>
        </w:rPr>
        <w:t>。2024年度公务接待费主要用于公务接待事项。公务接待0批次，公务接待0人次。</w:t>
      </w:r>
    </w:p>
    <w:p w:rsidR="00033A8F" w:rsidRDefault="00351AC5">
      <w:pPr>
        <w:spacing w:line="560" w:lineRule="exact"/>
        <w:ind w:firstLineChars="200" w:firstLine="560"/>
        <w:rPr>
          <w:rFonts w:ascii="仿宋_GB2312" w:eastAsia="仿宋_GB2312"/>
          <w:sz w:val="28"/>
          <w:szCs w:val="28"/>
        </w:rPr>
      </w:pPr>
      <w:r>
        <w:rPr>
          <w:rFonts w:ascii="仿宋_GB2312" w:eastAsia="仿宋_GB2312" w:hint="eastAsia"/>
          <w:sz w:val="28"/>
          <w:szCs w:val="28"/>
        </w:rPr>
        <w:t>3.公务用车购置及运行维护费。2024年度决算数1.71万元，比2024年度年初预算数2.70万元减少0.99万元。其</w:t>
      </w:r>
      <w:r>
        <w:rPr>
          <w:rFonts w:ascii="仿宋_GB2312" w:eastAsia="仿宋_GB2312" w:hint="eastAsia"/>
          <w:sz w:val="28"/>
          <w:szCs w:val="28"/>
        </w:rPr>
        <w:lastRenderedPageBreak/>
        <w:t>中，公务用车购置费2024年度决算数0万元，主要原因：</w:t>
      </w:r>
      <w:r w:rsidR="000159D0" w:rsidRPr="000159D0">
        <w:rPr>
          <w:rFonts w:ascii="仿宋_GB2312" w:eastAsia="仿宋_GB2312" w:hint="eastAsia"/>
          <w:sz w:val="28"/>
          <w:szCs w:val="28"/>
          <w:lang w:bidi="ar"/>
        </w:rPr>
        <w:t>本年度新购车辆</w:t>
      </w:r>
      <w:r w:rsidR="000159D0">
        <w:rPr>
          <w:rFonts w:ascii="仿宋_GB2312" w:eastAsia="仿宋_GB2312" w:hint="eastAsia"/>
          <w:sz w:val="28"/>
          <w:szCs w:val="28"/>
          <w:lang w:bidi="ar"/>
        </w:rPr>
        <w:t>0辆</w:t>
      </w:r>
      <w:r>
        <w:rPr>
          <w:rFonts w:ascii="仿宋_GB2312" w:eastAsia="仿宋_GB2312" w:hint="eastAsia"/>
          <w:sz w:val="28"/>
          <w:szCs w:val="28"/>
        </w:rPr>
        <w:t>，2024年度购置（更新）0辆。公务用车运行维护费2024年度决算数1.71万元，主要原因：</w:t>
      </w:r>
      <w:r w:rsidR="000159D0" w:rsidRPr="000159D0">
        <w:rPr>
          <w:rFonts w:ascii="仿宋_GB2312" w:eastAsia="仿宋_GB2312" w:hint="eastAsia"/>
          <w:sz w:val="28"/>
          <w:szCs w:val="28"/>
          <w:lang w:bidi="ar"/>
        </w:rPr>
        <w:t>严格落实公务用车使用规定，认真贯彻厉行节约反对浪费的有关要求，本着节俭高效的原则,进一步加强公务用车管理,减少费用支出。2024年度公务用车保有量</w:t>
      </w:r>
      <w:r w:rsidR="00876277">
        <w:rPr>
          <w:rFonts w:ascii="仿宋_GB2312" w:eastAsia="仿宋_GB2312" w:hint="eastAsia"/>
          <w:sz w:val="28"/>
          <w:szCs w:val="28"/>
          <w:lang w:bidi="ar"/>
        </w:rPr>
        <w:t>1</w:t>
      </w:r>
      <w:r w:rsidR="000159D0" w:rsidRPr="000159D0">
        <w:rPr>
          <w:rFonts w:ascii="仿宋_GB2312" w:eastAsia="仿宋_GB2312" w:hint="eastAsia"/>
          <w:sz w:val="28"/>
          <w:szCs w:val="28"/>
          <w:lang w:bidi="ar"/>
        </w:rPr>
        <w:t>辆。</w:t>
      </w:r>
    </w:p>
    <w:p w:rsidR="00033A8F" w:rsidRDefault="00351AC5">
      <w:pPr>
        <w:tabs>
          <w:tab w:val="center" w:pos="6979"/>
        </w:tabs>
        <w:ind w:firstLineChars="198" w:firstLine="554"/>
        <w:rPr>
          <w:rFonts w:ascii="黑体" w:eastAsia="黑体"/>
          <w:sz w:val="28"/>
          <w:szCs w:val="28"/>
        </w:rPr>
      </w:pPr>
      <w:r>
        <w:rPr>
          <w:rFonts w:ascii="黑体" w:eastAsia="黑体" w:hint="eastAsia"/>
          <w:sz w:val="28"/>
          <w:szCs w:val="28"/>
        </w:rPr>
        <w:t>二、机关运行经费支出情况</w:t>
      </w:r>
    </w:p>
    <w:p w:rsidR="00033A8F" w:rsidRDefault="00351AC5">
      <w:pPr>
        <w:spacing w:line="560" w:lineRule="exact"/>
        <w:ind w:firstLineChars="200" w:firstLine="560"/>
        <w:rPr>
          <w:rFonts w:ascii="仿宋_GB2312" w:eastAsia="仿宋_GB2312" w:cs="仿宋_GB2312"/>
          <w:sz w:val="28"/>
          <w:szCs w:val="28"/>
        </w:rPr>
      </w:pPr>
      <w:r>
        <w:rPr>
          <w:rFonts w:ascii="仿宋_GB2312" w:eastAsia="仿宋_GB2312" w:cs="仿宋_GB2312" w:hint="eastAsia"/>
          <w:sz w:val="28"/>
          <w:szCs w:val="28"/>
          <w:lang w:bidi="ar"/>
        </w:rPr>
        <w:t>本单位不在机关运行经费统计范围之内。</w:t>
      </w:r>
    </w:p>
    <w:p w:rsidR="00033A8F" w:rsidRDefault="00351AC5">
      <w:pPr>
        <w:ind w:left="540"/>
        <w:rPr>
          <w:rFonts w:ascii="黑体" w:eastAsia="黑体"/>
          <w:sz w:val="28"/>
          <w:szCs w:val="28"/>
        </w:rPr>
      </w:pPr>
      <w:r>
        <w:rPr>
          <w:rFonts w:ascii="黑体" w:eastAsia="黑体" w:hint="eastAsia"/>
          <w:sz w:val="28"/>
          <w:szCs w:val="28"/>
        </w:rPr>
        <w:t>三、政府采购支出情况</w:t>
      </w:r>
    </w:p>
    <w:p w:rsidR="00033A8F" w:rsidRDefault="00351AC5" w:rsidP="000F4DC0">
      <w:pPr>
        <w:ind w:firstLineChars="192" w:firstLine="538"/>
        <w:rPr>
          <w:rFonts w:ascii="仿宋_GB2312" w:eastAsia="仿宋_GB2312"/>
          <w:sz w:val="28"/>
          <w:szCs w:val="28"/>
        </w:rPr>
      </w:pPr>
      <w:r>
        <w:rPr>
          <w:rFonts w:ascii="仿宋_GB2312" w:eastAsia="仿宋_GB2312" w:hint="eastAsia"/>
          <w:sz w:val="28"/>
          <w:szCs w:val="28"/>
        </w:rPr>
        <w:t>2024年度政府采购支出总额</w:t>
      </w:r>
      <w:r>
        <w:rPr>
          <w:rFonts w:ascii="仿宋_GB2312" w:eastAsia="仿宋_GB2312"/>
          <w:sz w:val="28"/>
          <w:szCs w:val="28"/>
        </w:rPr>
        <w:t>49.83</w:t>
      </w:r>
      <w:r>
        <w:rPr>
          <w:rFonts w:ascii="仿宋_GB2312" w:eastAsia="仿宋_GB2312" w:hint="eastAsia"/>
          <w:sz w:val="28"/>
          <w:szCs w:val="28"/>
        </w:rPr>
        <w:t>万元，其中：政府采购货物支出</w:t>
      </w:r>
      <w:r>
        <w:rPr>
          <w:rFonts w:ascii="仿宋_GB2312" w:eastAsia="仿宋_GB2312" w:hint="eastAsia"/>
          <w:sz w:val="28"/>
          <w:szCs w:val="28"/>
          <w:lang w:bidi="ar"/>
        </w:rPr>
        <w:t>6.15</w:t>
      </w:r>
      <w:r>
        <w:rPr>
          <w:rFonts w:ascii="仿宋_GB2312" w:eastAsia="仿宋_GB2312" w:hint="eastAsia"/>
          <w:sz w:val="28"/>
          <w:szCs w:val="28"/>
        </w:rPr>
        <w:t>万元，政府采购工程支出0万元，政府采购服务支出</w:t>
      </w:r>
      <w:r>
        <w:rPr>
          <w:rFonts w:ascii="仿宋_GB2312" w:eastAsia="仿宋_GB2312" w:hint="eastAsia"/>
          <w:sz w:val="28"/>
          <w:szCs w:val="28"/>
          <w:lang w:bidi="ar"/>
        </w:rPr>
        <w:t>43.68</w:t>
      </w:r>
      <w:r>
        <w:rPr>
          <w:rFonts w:ascii="仿宋_GB2312" w:eastAsia="仿宋_GB2312" w:hint="eastAsia"/>
          <w:sz w:val="28"/>
          <w:szCs w:val="28"/>
        </w:rPr>
        <w:t>万元。授予中小企业合同金额</w:t>
      </w:r>
      <w:r>
        <w:rPr>
          <w:rFonts w:ascii="仿宋_GB2312" w:eastAsia="仿宋_GB2312"/>
          <w:sz w:val="28"/>
          <w:szCs w:val="28"/>
        </w:rPr>
        <w:t>48.89</w:t>
      </w:r>
      <w:r>
        <w:rPr>
          <w:rFonts w:ascii="仿宋_GB2312" w:eastAsia="仿宋_GB2312" w:hint="eastAsia"/>
          <w:sz w:val="28"/>
          <w:szCs w:val="28"/>
        </w:rPr>
        <w:t>万元，占政府采购支出总额的98.1%，其中：授予小</w:t>
      </w:r>
      <w:proofErr w:type="gramStart"/>
      <w:r>
        <w:rPr>
          <w:rFonts w:ascii="仿宋_GB2312" w:eastAsia="仿宋_GB2312" w:hint="eastAsia"/>
          <w:sz w:val="28"/>
          <w:szCs w:val="28"/>
        </w:rPr>
        <w:t>微企业</w:t>
      </w:r>
      <w:proofErr w:type="gramEnd"/>
      <w:r>
        <w:rPr>
          <w:rFonts w:ascii="仿宋_GB2312" w:eastAsia="仿宋_GB2312" w:hint="eastAsia"/>
          <w:sz w:val="28"/>
          <w:szCs w:val="28"/>
        </w:rPr>
        <w:t>合同金额</w:t>
      </w:r>
      <w:r>
        <w:rPr>
          <w:rFonts w:ascii="仿宋_GB2312" w:eastAsia="仿宋_GB2312"/>
          <w:sz w:val="28"/>
          <w:szCs w:val="28"/>
        </w:rPr>
        <w:t>48.21</w:t>
      </w:r>
      <w:r>
        <w:rPr>
          <w:rFonts w:ascii="仿宋_GB2312" w:eastAsia="仿宋_GB2312" w:hint="eastAsia"/>
          <w:sz w:val="28"/>
          <w:szCs w:val="28"/>
        </w:rPr>
        <w:t>万元，占政府采购支出总额的</w:t>
      </w:r>
      <w:r>
        <w:rPr>
          <w:rFonts w:ascii="仿宋_GB2312" w:eastAsia="仿宋_GB2312"/>
          <w:sz w:val="28"/>
          <w:szCs w:val="28"/>
        </w:rPr>
        <w:t>96.74</w:t>
      </w:r>
      <w:r>
        <w:rPr>
          <w:rFonts w:ascii="仿宋_GB2312" w:eastAsia="仿宋_GB2312" w:hint="eastAsia"/>
          <w:sz w:val="28"/>
          <w:szCs w:val="28"/>
        </w:rPr>
        <w:t>%。</w:t>
      </w:r>
    </w:p>
    <w:p w:rsidR="00033A8F" w:rsidRDefault="00351AC5">
      <w:pPr>
        <w:ind w:firstLineChars="200" w:firstLine="560"/>
        <w:rPr>
          <w:rFonts w:ascii="黑体" w:eastAsia="黑体"/>
          <w:sz w:val="28"/>
          <w:szCs w:val="28"/>
          <w:highlight w:val="yellow"/>
        </w:rPr>
      </w:pPr>
      <w:r>
        <w:rPr>
          <w:rFonts w:ascii="黑体" w:eastAsia="黑体" w:hint="eastAsia"/>
          <w:sz w:val="28"/>
          <w:szCs w:val="28"/>
        </w:rPr>
        <w:t>四、国有资产占用情况</w:t>
      </w:r>
    </w:p>
    <w:p w:rsidR="00033A8F" w:rsidRDefault="00351AC5">
      <w:pPr>
        <w:ind w:firstLineChars="200" w:firstLine="560"/>
        <w:rPr>
          <w:rFonts w:ascii="仿宋_GB2312" w:eastAsia="仿宋_GB2312"/>
          <w:sz w:val="32"/>
          <w:szCs w:val="32"/>
        </w:rPr>
      </w:pPr>
      <w:r>
        <w:rPr>
          <w:rFonts w:ascii="仿宋_GB2312" w:eastAsia="仿宋_GB2312" w:hint="eastAsia"/>
          <w:sz w:val="28"/>
          <w:szCs w:val="28"/>
        </w:rPr>
        <w:t>截至12月31日，北京教育科学研究院旧宫实验小学共有车辆1台；单位价值100万元（含）以上的设备0台（套）。</w:t>
      </w:r>
    </w:p>
    <w:p w:rsidR="00033A8F" w:rsidRDefault="00351AC5" w:rsidP="000F4DC0">
      <w:pPr>
        <w:ind w:firstLineChars="192" w:firstLine="538"/>
        <w:rPr>
          <w:rFonts w:ascii="黑体" w:eastAsia="黑体"/>
          <w:sz w:val="28"/>
          <w:szCs w:val="28"/>
        </w:rPr>
      </w:pPr>
      <w:r>
        <w:rPr>
          <w:rFonts w:ascii="黑体" w:eastAsia="黑体" w:hint="eastAsia"/>
          <w:sz w:val="28"/>
          <w:szCs w:val="28"/>
        </w:rPr>
        <w:t>五</w:t>
      </w:r>
      <w:r>
        <w:rPr>
          <w:rFonts w:ascii="黑体" w:eastAsia="黑体"/>
          <w:sz w:val="28"/>
          <w:szCs w:val="28"/>
        </w:rPr>
        <w:t>、政府购买服务</w:t>
      </w:r>
      <w:r>
        <w:rPr>
          <w:rFonts w:ascii="黑体" w:eastAsia="黑体" w:hint="eastAsia"/>
          <w:sz w:val="28"/>
          <w:szCs w:val="28"/>
        </w:rPr>
        <w:t>支出</w:t>
      </w:r>
      <w:r>
        <w:rPr>
          <w:rFonts w:ascii="黑体" w:eastAsia="黑体"/>
          <w:sz w:val="28"/>
          <w:szCs w:val="28"/>
        </w:rPr>
        <w:t>说明</w:t>
      </w:r>
    </w:p>
    <w:p w:rsidR="00033A8F" w:rsidRDefault="00351AC5" w:rsidP="000F4DC0">
      <w:pPr>
        <w:ind w:firstLineChars="192" w:firstLine="538"/>
        <w:rPr>
          <w:rFonts w:ascii="仿宋_GB2312" w:eastAsia="仿宋_GB2312"/>
          <w:sz w:val="28"/>
          <w:szCs w:val="28"/>
        </w:rPr>
      </w:pPr>
      <w:r>
        <w:rPr>
          <w:rFonts w:ascii="仿宋_GB2312" w:eastAsia="仿宋_GB2312" w:hint="eastAsia"/>
          <w:sz w:val="28"/>
          <w:szCs w:val="28"/>
        </w:rPr>
        <w:t>2024年度</w:t>
      </w:r>
      <w:r>
        <w:rPr>
          <w:rFonts w:ascii="仿宋_GB2312" w:eastAsia="仿宋_GB2312"/>
          <w:sz w:val="28"/>
          <w:szCs w:val="28"/>
        </w:rPr>
        <w:t>政府购买服务决算0</w:t>
      </w:r>
      <w:r>
        <w:rPr>
          <w:rFonts w:ascii="仿宋_GB2312" w:eastAsia="仿宋_GB2312" w:hint="eastAsia"/>
          <w:sz w:val="28"/>
          <w:szCs w:val="28"/>
        </w:rPr>
        <w:t>万元。</w:t>
      </w:r>
    </w:p>
    <w:p w:rsidR="00033A8F" w:rsidRDefault="00351AC5">
      <w:pPr>
        <w:ind w:firstLineChars="200" w:firstLine="560"/>
        <w:jc w:val="left"/>
        <w:rPr>
          <w:rFonts w:ascii="仿宋_GB2312" w:eastAsia="仿宋_GB2312"/>
          <w:color w:val="000000"/>
          <w:sz w:val="32"/>
          <w:szCs w:val="32"/>
        </w:rPr>
      </w:pPr>
      <w:r>
        <w:rPr>
          <w:rFonts w:ascii="黑体" w:eastAsia="黑体" w:hint="eastAsia"/>
          <w:sz w:val="28"/>
          <w:szCs w:val="28"/>
        </w:rPr>
        <w:t>六、</w:t>
      </w:r>
      <w:r>
        <w:rPr>
          <w:rFonts w:ascii="黑体" w:eastAsia="黑体"/>
          <w:sz w:val="28"/>
          <w:szCs w:val="28"/>
        </w:rPr>
        <w:t>专业名词解释</w:t>
      </w:r>
    </w:p>
    <w:p w:rsidR="00033A8F" w:rsidRDefault="00351AC5">
      <w:pPr>
        <w:ind w:firstLineChars="200" w:firstLine="560"/>
        <w:rPr>
          <w:rFonts w:ascii="仿宋_GB2312" w:eastAsia="仿宋_GB2312"/>
          <w:sz w:val="28"/>
          <w:szCs w:val="28"/>
        </w:rPr>
      </w:pPr>
      <w:r>
        <w:rPr>
          <w:rFonts w:ascii="仿宋_GB2312" w:eastAsia="仿宋_GB2312" w:hint="eastAsia"/>
          <w:sz w:val="28"/>
          <w:szCs w:val="28"/>
        </w:rPr>
        <w:t>1.基本支出：指为保障机构正常运转、完成日常工作任务而发生的人员支出和公用支出。</w:t>
      </w:r>
    </w:p>
    <w:p w:rsidR="00033A8F" w:rsidRDefault="00351AC5">
      <w:pPr>
        <w:ind w:firstLineChars="200" w:firstLine="560"/>
        <w:rPr>
          <w:rFonts w:ascii="仿宋_GB2312" w:eastAsia="仿宋_GB2312"/>
          <w:sz w:val="28"/>
          <w:szCs w:val="28"/>
        </w:rPr>
      </w:pPr>
      <w:r>
        <w:rPr>
          <w:rFonts w:ascii="仿宋_GB2312" w:eastAsia="仿宋_GB2312" w:hint="eastAsia"/>
          <w:sz w:val="28"/>
          <w:szCs w:val="28"/>
        </w:rPr>
        <w:lastRenderedPageBreak/>
        <w:t>2.项目支出：指在基本支出之外为完成特定行政任务或事业发展目标所发生的支出。</w:t>
      </w:r>
    </w:p>
    <w:p w:rsidR="00033A8F" w:rsidRDefault="00351AC5">
      <w:pPr>
        <w:ind w:firstLineChars="200" w:firstLine="560"/>
        <w:rPr>
          <w:rFonts w:ascii="仿宋_GB2312" w:eastAsia="仿宋_GB2312" w:hAnsi="宋体"/>
          <w:sz w:val="28"/>
          <w:szCs w:val="28"/>
        </w:rPr>
      </w:pPr>
      <w:r>
        <w:rPr>
          <w:rFonts w:ascii="仿宋_GB2312" w:eastAsia="仿宋_GB2312" w:hint="eastAsia"/>
          <w:sz w:val="28"/>
          <w:szCs w:val="28"/>
        </w:rPr>
        <w:t>3.“三公”经费：</w:t>
      </w:r>
      <w:r>
        <w:rPr>
          <w:rFonts w:ascii="仿宋_GB2312" w:eastAsia="仿宋_GB2312" w:hAnsi="宋体" w:hint="eastAsia"/>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w:t>
      </w:r>
      <w:proofErr w:type="gramStart"/>
      <w:r>
        <w:rPr>
          <w:rFonts w:ascii="仿宋_GB2312" w:eastAsia="仿宋_GB2312" w:hAnsi="宋体" w:hint="eastAsia"/>
          <w:sz w:val="28"/>
          <w:szCs w:val="28"/>
        </w:rPr>
        <w:t>含车辆</w:t>
      </w:r>
      <w:proofErr w:type="gramEnd"/>
      <w:r>
        <w:rPr>
          <w:rFonts w:ascii="仿宋_GB2312" w:eastAsia="仿宋_GB2312" w:hAnsi="宋体" w:hint="eastAsia"/>
          <w:sz w:val="28"/>
          <w:szCs w:val="28"/>
        </w:rPr>
        <w:t>购置税、牌照费）及单位按规定保留的公务用车燃料费、维修费、过路过桥费、保险费、安全奖励费等支出；公务接待费指单位按规定开支的各类公务接待（含外宾接待）支出。</w:t>
      </w:r>
    </w:p>
    <w:p w:rsidR="00033A8F" w:rsidRDefault="00351AC5">
      <w:pPr>
        <w:ind w:firstLineChars="200" w:firstLine="560"/>
        <w:rPr>
          <w:rFonts w:ascii="仿宋_GB2312" w:eastAsia="仿宋_GB2312" w:hAnsi="宋体"/>
          <w:sz w:val="28"/>
          <w:szCs w:val="28"/>
        </w:rPr>
      </w:pPr>
      <w:r>
        <w:rPr>
          <w:rFonts w:ascii="仿宋_GB2312" w:eastAsia="仿宋_GB2312" w:hint="eastAsia"/>
          <w:sz w:val="28"/>
          <w:szCs w:val="28"/>
        </w:rPr>
        <w:t>4</w:t>
      </w:r>
      <w:r>
        <w:rPr>
          <w:rFonts w:ascii="仿宋_GB2312" w:eastAsia="仿宋_GB2312"/>
          <w:sz w:val="28"/>
          <w:szCs w:val="28"/>
        </w:rPr>
        <w:t>.</w:t>
      </w:r>
      <w:r>
        <w:rPr>
          <w:rFonts w:ascii="仿宋_GB2312" w:eastAsia="仿宋_GB2312" w:hint="eastAsia"/>
          <w:sz w:val="28"/>
          <w:szCs w:val="28"/>
        </w:rPr>
        <w:t>机关运行经费：</w:t>
      </w:r>
      <w:r>
        <w:rPr>
          <w:rFonts w:ascii="仿宋_GB2312" w:eastAsia="仿宋_GB2312" w:hAnsi="宋体" w:hint="eastAsia"/>
          <w:sz w:val="28"/>
          <w:szCs w:val="28"/>
        </w:rPr>
        <w:t>指为</w:t>
      </w:r>
      <w:r>
        <w:rPr>
          <w:rFonts w:ascii="仿宋_GB2312" w:eastAsia="仿宋_GB2312" w:hAnsi="宋体"/>
          <w:sz w:val="28"/>
          <w:szCs w:val="28"/>
        </w:rPr>
        <w:t>保障</w:t>
      </w:r>
      <w:r>
        <w:rPr>
          <w:rFonts w:ascii="仿宋_GB2312" w:eastAsia="仿宋_GB2312" w:hAnsi="宋体" w:hint="eastAsia"/>
          <w:sz w:val="28"/>
          <w:szCs w:val="28"/>
        </w:rPr>
        <w:t>行政单位（含参照公务员法管理事业单位）运行用于</w:t>
      </w:r>
      <w:r>
        <w:rPr>
          <w:rFonts w:ascii="仿宋_GB2312" w:eastAsia="仿宋_GB2312" w:hAnsi="宋体"/>
          <w:sz w:val="28"/>
          <w:szCs w:val="28"/>
        </w:rPr>
        <w:t>购买货物和服务的各项资金</w:t>
      </w:r>
      <w:r>
        <w:rPr>
          <w:rFonts w:ascii="仿宋_GB2312" w:eastAsia="仿宋_GB2312" w:hAnsi="宋体" w:hint="eastAsia"/>
          <w:sz w:val="28"/>
          <w:szCs w:val="28"/>
        </w:rPr>
        <w:t>，包括办公及印刷费、邮电费、差旅费、会议费、福利费、日常维修费、专用材料及一般设备购置费、办公用房水电费、办公用房取暖费、办公用房物业管理费、公务用车运行维护费以及其他费用。</w:t>
      </w:r>
    </w:p>
    <w:p w:rsidR="00033A8F" w:rsidRDefault="00351AC5">
      <w:pPr>
        <w:ind w:firstLineChars="150" w:firstLine="420"/>
        <w:rPr>
          <w:rFonts w:ascii="仿宋_GB2312" w:eastAsia="仿宋_GB2312"/>
          <w:sz w:val="28"/>
          <w:szCs w:val="28"/>
        </w:rPr>
      </w:pPr>
      <w:r>
        <w:rPr>
          <w:rFonts w:ascii="仿宋_GB2312" w:eastAsia="仿宋_GB2312" w:hint="eastAsia"/>
          <w:sz w:val="28"/>
          <w:szCs w:val="28"/>
        </w:rPr>
        <w:t>5</w:t>
      </w:r>
      <w:r>
        <w:rPr>
          <w:rFonts w:ascii="仿宋_GB2312" w:eastAsia="仿宋_GB2312"/>
          <w:sz w:val="28"/>
          <w:szCs w:val="28"/>
        </w:rPr>
        <w:t>.</w:t>
      </w:r>
      <w:r>
        <w:rPr>
          <w:rFonts w:ascii="仿宋_GB2312" w:eastAsia="仿宋_GB2312" w:hint="eastAsia"/>
          <w:sz w:val="28"/>
          <w:szCs w:val="28"/>
        </w:rPr>
        <w:t>政府采购</w:t>
      </w:r>
      <w:r>
        <w:rPr>
          <w:rFonts w:ascii="仿宋_GB2312" w:eastAsia="仿宋_GB2312"/>
          <w:sz w:val="28"/>
          <w:szCs w:val="28"/>
        </w:rPr>
        <w:t>：</w:t>
      </w:r>
      <w:r>
        <w:rPr>
          <w:rFonts w:ascii="仿宋_GB2312" w:eastAsia="仿宋_GB2312" w:hint="eastAsia"/>
          <w:sz w:val="28"/>
          <w:szCs w:val="28"/>
        </w:rPr>
        <w:t>指</w:t>
      </w:r>
      <w:r>
        <w:rPr>
          <w:rFonts w:ascii="仿宋_GB2312" w:eastAsia="仿宋_GB2312"/>
          <w:sz w:val="28"/>
          <w:szCs w:val="28"/>
        </w:rPr>
        <w:t>各级国家机关、事业单位和团体组织，使用</w:t>
      </w:r>
      <w:r>
        <w:rPr>
          <w:rFonts w:ascii="仿宋_GB2312" w:eastAsia="仿宋_GB2312" w:hint="eastAsia"/>
          <w:sz w:val="28"/>
          <w:szCs w:val="28"/>
        </w:rPr>
        <w:t>财政性</w:t>
      </w:r>
      <w:r>
        <w:rPr>
          <w:rFonts w:ascii="仿宋_GB2312" w:eastAsia="仿宋_GB2312"/>
          <w:sz w:val="28"/>
          <w:szCs w:val="28"/>
        </w:rPr>
        <w:t>资金采购依法制定的集中目录以内的或者采购限额标准以上的货物、工程和服务的行为</w:t>
      </w:r>
      <w:r>
        <w:rPr>
          <w:rFonts w:ascii="仿宋_GB2312" w:eastAsia="仿宋_GB2312" w:hint="eastAsia"/>
          <w:sz w:val="28"/>
          <w:szCs w:val="28"/>
        </w:rPr>
        <w:t>，</w:t>
      </w:r>
      <w:r>
        <w:rPr>
          <w:rFonts w:ascii="仿宋_GB2312" w:eastAsia="仿宋_GB2312"/>
          <w:sz w:val="28"/>
          <w:szCs w:val="28"/>
        </w:rPr>
        <w:t>是规范财政支出管理和强化预算约束的有效措施。</w:t>
      </w:r>
    </w:p>
    <w:p w:rsidR="00033A8F" w:rsidRDefault="00351AC5">
      <w:pPr>
        <w:ind w:firstLineChars="150" w:firstLine="420"/>
        <w:rPr>
          <w:rFonts w:ascii="仿宋_GB2312" w:eastAsia="仿宋_GB2312"/>
          <w:sz w:val="28"/>
          <w:szCs w:val="28"/>
        </w:rPr>
      </w:pPr>
      <w:r>
        <w:rPr>
          <w:rFonts w:ascii="仿宋_GB2312" w:eastAsia="仿宋_GB2312" w:hint="eastAsia"/>
          <w:sz w:val="28"/>
          <w:szCs w:val="28"/>
        </w:rPr>
        <w:t>6</w:t>
      </w:r>
      <w:r>
        <w:rPr>
          <w:rFonts w:ascii="仿宋_GB2312" w:eastAsia="仿宋_GB2312"/>
          <w:sz w:val="28"/>
          <w:szCs w:val="28"/>
        </w:rPr>
        <w:t>.政府购买服务：</w:t>
      </w:r>
      <w:r>
        <w:rPr>
          <w:rFonts w:ascii="仿宋_GB2312" w:eastAsia="仿宋_GB2312" w:hint="eastAsia"/>
          <w:sz w:val="28"/>
          <w:szCs w:val="28"/>
        </w:rPr>
        <w:t>是指各级国家机关将属于自身职责范围且适合通过市场化方式提供的服务事项，按照政府采购方式和程序，交由符合条件的服务供应商承担，并根据服务数量和质量等因素向其支付费用的行为。</w:t>
      </w:r>
    </w:p>
    <w:p w:rsidR="00033A8F" w:rsidRDefault="00351AC5">
      <w:pPr>
        <w:ind w:firstLineChars="150" w:firstLine="420"/>
        <w:rPr>
          <w:rFonts w:ascii="仿宋_GB2312" w:eastAsia="仿宋_GB2312"/>
          <w:sz w:val="28"/>
          <w:szCs w:val="28"/>
        </w:rPr>
      </w:pPr>
      <w:r>
        <w:rPr>
          <w:rFonts w:ascii="仿宋_GB2312" w:eastAsia="仿宋_GB2312" w:hint="eastAsia"/>
          <w:sz w:val="28"/>
          <w:szCs w:val="28"/>
        </w:rPr>
        <w:t>7.教育支出（类）普通教育（款）小学教育（项）：反映各部门举办的小学教育支出。政府各部门对社会组织等举办的小学的资助，如捐赠、补贴等，也在本科目中反映。</w:t>
      </w:r>
    </w:p>
    <w:p w:rsidR="00033A8F" w:rsidRDefault="00351AC5">
      <w:pPr>
        <w:ind w:firstLineChars="150" w:firstLine="420"/>
        <w:rPr>
          <w:rFonts w:ascii="仿宋_GB2312" w:eastAsia="仿宋_GB2312"/>
          <w:sz w:val="28"/>
          <w:szCs w:val="28"/>
        </w:rPr>
      </w:pPr>
      <w:r>
        <w:rPr>
          <w:rFonts w:ascii="仿宋_GB2312" w:eastAsia="仿宋_GB2312" w:hint="eastAsia"/>
          <w:sz w:val="28"/>
          <w:szCs w:val="28"/>
        </w:rPr>
        <w:t>8.社会保障和就业支出（类）行政事业单位养老支出（款）机关事业单位基本养老保险缴费支出（项）：反映机关事</w:t>
      </w:r>
      <w:r>
        <w:rPr>
          <w:rFonts w:ascii="仿宋_GB2312" w:eastAsia="仿宋_GB2312" w:hint="eastAsia"/>
          <w:sz w:val="28"/>
          <w:szCs w:val="28"/>
        </w:rPr>
        <w:lastRenderedPageBreak/>
        <w:t>业单位实施养老保险制度由单位缴纳的基本养老保险费支出。</w:t>
      </w:r>
    </w:p>
    <w:p w:rsidR="00033A8F" w:rsidRDefault="00351AC5">
      <w:pPr>
        <w:ind w:firstLineChars="150" w:firstLine="420"/>
        <w:rPr>
          <w:rFonts w:ascii="仿宋_GB2312" w:eastAsia="仿宋_GB2312"/>
          <w:sz w:val="28"/>
          <w:szCs w:val="28"/>
        </w:rPr>
      </w:pPr>
      <w:r>
        <w:rPr>
          <w:rFonts w:ascii="仿宋_GB2312" w:eastAsia="仿宋_GB2312" w:hint="eastAsia"/>
          <w:sz w:val="28"/>
          <w:szCs w:val="28"/>
        </w:rPr>
        <w:t>9.社会保障和就业支出（类）行政事业单位养老支出（款）机关事业单位职业年金缴费支出（项）：反映机关事业单位实施养老保险制度由单位实际缴纳的职业年金支出。</w:t>
      </w:r>
    </w:p>
    <w:p w:rsidR="00033A8F" w:rsidRDefault="00351AC5">
      <w:pPr>
        <w:ind w:firstLineChars="150" w:firstLine="420"/>
        <w:rPr>
          <w:rFonts w:ascii="仿宋_GB2312" w:eastAsia="仿宋_GB2312"/>
          <w:sz w:val="28"/>
          <w:szCs w:val="28"/>
        </w:rPr>
      </w:pPr>
      <w:r>
        <w:rPr>
          <w:rFonts w:ascii="仿宋_GB2312" w:eastAsia="仿宋_GB2312" w:hint="eastAsia"/>
          <w:sz w:val="28"/>
          <w:szCs w:val="28"/>
        </w:rPr>
        <w:t>10.社会保障和就业支出（类）行政事业单位养老支出（款）</w:t>
      </w:r>
      <w:r w:rsidR="004E6948">
        <w:rPr>
          <w:rFonts w:ascii="仿宋_GB2312" w:eastAsia="仿宋_GB2312" w:hint="eastAsia"/>
          <w:sz w:val="28"/>
          <w:szCs w:val="28"/>
        </w:rPr>
        <w:t>事业单位离退休</w:t>
      </w:r>
      <w:r>
        <w:rPr>
          <w:rFonts w:ascii="仿宋_GB2312" w:eastAsia="仿宋_GB2312" w:hint="eastAsia"/>
          <w:sz w:val="28"/>
          <w:szCs w:val="28"/>
        </w:rPr>
        <w:t>（项）：反映</w:t>
      </w:r>
      <w:r w:rsidR="001B3BA3">
        <w:rPr>
          <w:rFonts w:ascii="仿宋_GB2312" w:eastAsia="仿宋_GB2312" w:hint="eastAsia"/>
          <w:sz w:val="28"/>
          <w:szCs w:val="28"/>
        </w:rPr>
        <w:t>事业单位开支的离退休经费</w:t>
      </w:r>
      <w:r>
        <w:rPr>
          <w:rFonts w:ascii="仿宋_GB2312" w:eastAsia="仿宋_GB2312" w:hint="eastAsia"/>
          <w:sz w:val="28"/>
          <w:szCs w:val="28"/>
        </w:rPr>
        <w:t>。</w:t>
      </w:r>
    </w:p>
    <w:p w:rsidR="00033A8F" w:rsidRDefault="00351AC5">
      <w:pPr>
        <w:ind w:firstLineChars="150" w:firstLine="420"/>
        <w:rPr>
          <w:rFonts w:ascii="仿宋_GB2312" w:eastAsia="仿宋_GB2312"/>
          <w:sz w:val="28"/>
          <w:szCs w:val="28"/>
        </w:rPr>
      </w:pPr>
      <w:r>
        <w:rPr>
          <w:rFonts w:ascii="仿宋_GB2312" w:eastAsia="仿宋_GB2312" w:hint="eastAsia"/>
          <w:sz w:val="28"/>
          <w:szCs w:val="28"/>
        </w:rPr>
        <w:t>11.卫生健康支出（类）</w:t>
      </w:r>
      <w:r>
        <w:rPr>
          <w:rFonts w:ascii="仿宋_GB2312" w:eastAsia="仿宋_GB2312" w:cs="仿宋_GB2312" w:hint="eastAsia"/>
          <w:sz w:val="28"/>
          <w:szCs w:val="28"/>
          <w:lang w:bidi="ar"/>
        </w:rPr>
        <w:t>行政事业单位医疗（款）事业单位医疗（项）：反映财政部门安排的事业单位基本医疗保险</w:t>
      </w:r>
      <w:r>
        <w:rPr>
          <w:rFonts w:ascii="仿宋_GB2312" w:eastAsia="仿宋_GB2312" w:hint="eastAsia"/>
          <w:sz w:val="28"/>
          <w:szCs w:val="28"/>
        </w:rPr>
        <w:t>缴费经费，未参加医疗保险的事业单位的公费医疗经费，按国家规定享受离休人员待遇的医疗经费。</w:t>
      </w:r>
    </w:p>
    <w:p w:rsidR="00033A8F" w:rsidRDefault="00351AC5">
      <w:pPr>
        <w:ind w:firstLineChars="150" w:firstLine="420"/>
        <w:rPr>
          <w:rFonts w:ascii="仿宋_GB2312" w:eastAsia="仿宋_GB2312"/>
          <w:sz w:val="28"/>
          <w:szCs w:val="28"/>
        </w:rPr>
      </w:pPr>
      <w:r>
        <w:rPr>
          <w:rFonts w:ascii="仿宋_GB2312" w:eastAsia="仿宋_GB2312" w:hint="eastAsia"/>
          <w:sz w:val="28"/>
          <w:szCs w:val="28"/>
        </w:rPr>
        <w:t>12.卫生健康支出（类）行政事业单位医疗（款）公务员医疗补助（项）：反映财政部门安排的公务员医疗补助经费。</w:t>
      </w:r>
    </w:p>
    <w:p w:rsidR="00033A8F" w:rsidRDefault="00351AC5">
      <w:pPr>
        <w:ind w:firstLineChars="150" w:firstLine="420"/>
        <w:rPr>
          <w:rFonts w:ascii="仿宋_GB2312" w:eastAsia="仿宋_GB2312"/>
          <w:sz w:val="28"/>
          <w:szCs w:val="28"/>
        </w:rPr>
      </w:pPr>
      <w:r>
        <w:rPr>
          <w:rFonts w:ascii="仿宋_GB2312" w:eastAsia="仿宋_GB2312" w:hint="eastAsia"/>
          <w:sz w:val="28"/>
          <w:szCs w:val="28"/>
        </w:rPr>
        <w:t>13. 节能环保支出（类）污染防治（款）大气（项）：反应政府在治理空气污染、汽车尾气、酸雨、二氧化碳、沙尘暴等方面的支出。</w:t>
      </w:r>
    </w:p>
    <w:p w:rsidR="00033A8F" w:rsidRDefault="00351AC5">
      <w:pPr>
        <w:ind w:firstLineChars="150" w:firstLine="420"/>
      </w:pPr>
      <w:r>
        <w:rPr>
          <w:rFonts w:ascii="仿宋_GB2312" w:eastAsia="仿宋_GB2312" w:hint="eastAsia"/>
          <w:sz w:val="28"/>
          <w:szCs w:val="28"/>
        </w:rPr>
        <w:t>14.住房保障支出（类）住房改革支出（款）购房补贴（项）：反应按房改政策规定，行政事业单位向符合条件职工（含离退休人员）、</w:t>
      </w:r>
      <w:r>
        <w:rPr>
          <w:rFonts w:ascii="仿宋_GB2312" w:eastAsia="仿宋_GB2312" w:hint="eastAsia"/>
          <w:sz w:val="28"/>
          <w:szCs w:val="28"/>
          <w:lang w:bidi="ar"/>
        </w:rPr>
        <w:t>军队（含武警）向转役复员离退休人员发放的用于购买住房的补贴。</w:t>
      </w:r>
    </w:p>
    <w:p w:rsidR="00033A8F" w:rsidRDefault="00033A8F" w:rsidP="00B22FE5">
      <w:pPr>
        <w:rPr>
          <w:rFonts w:ascii="仿宋_GB2312" w:eastAsia="仿宋_GB2312"/>
          <w:sz w:val="28"/>
          <w:szCs w:val="28"/>
        </w:rPr>
      </w:pPr>
      <w:bookmarkStart w:id="9" w:name="_GoBack"/>
      <w:bookmarkEnd w:id="9"/>
    </w:p>
    <w:p w:rsidR="00033A8F" w:rsidRDefault="00351AC5" w:rsidP="00A51262">
      <w:pPr>
        <w:ind w:firstLineChars="1400" w:firstLine="4480"/>
        <w:rPr>
          <w:rFonts w:ascii="黑体" w:eastAsia="黑体"/>
          <w:sz w:val="32"/>
          <w:szCs w:val="32"/>
        </w:rPr>
      </w:pPr>
      <w:r>
        <w:rPr>
          <w:rFonts w:ascii="黑体" w:eastAsia="黑体" w:hint="eastAsia"/>
          <w:sz w:val="32"/>
          <w:szCs w:val="32"/>
        </w:rPr>
        <w:t>第四部分  2024年度</w:t>
      </w:r>
      <w:r w:rsidR="006D0192">
        <w:rPr>
          <w:rFonts w:ascii="黑体" w:eastAsia="黑体" w:hint="eastAsia"/>
          <w:sz w:val="32"/>
          <w:szCs w:val="32"/>
        </w:rPr>
        <w:t>项目</w:t>
      </w:r>
      <w:r>
        <w:rPr>
          <w:rFonts w:ascii="黑体" w:eastAsia="黑体" w:hint="eastAsia"/>
          <w:sz w:val="32"/>
          <w:szCs w:val="32"/>
        </w:rPr>
        <w:t>绩效评价情况</w:t>
      </w:r>
    </w:p>
    <w:p w:rsidR="00033A8F" w:rsidRDefault="00351AC5" w:rsidP="00D83E7F">
      <w:pPr>
        <w:ind w:firstLineChars="1900" w:firstLine="5320"/>
        <w:rPr>
          <w:rFonts w:ascii="黑体" w:eastAsia="黑体"/>
          <w:sz w:val="28"/>
          <w:szCs w:val="28"/>
        </w:rPr>
      </w:pPr>
      <w:r>
        <w:rPr>
          <w:rFonts w:ascii="黑体" w:eastAsia="黑体" w:hint="eastAsia"/>
          <w:sz w:val="28"/>
          <w:szCs w:val="28"/>
        </w:rPr>
        <w:t>项目</w:t>
      </w:r>
      <w:r>
        <w:rPr>
          <w:rFonts w:ascii="黑体" w:eastAsia="黑体"/>
          <w:sz w:val="28"/>
          <w:szCs w:val="28"/>
        </w:rPr>
        <w:t>支出绩效自评表</w:t>
      </w:r>
      <w:r>
        <w:rPr>
          <w:rFonts w:ascii="黑体" w:eastAsia="黑体" w:hint="eastAsia"/>
          <w:sz w:val="28"/>
          <w:szCs w:val="28"/>
        </w:rPr>
        <w:t>（详见附件）</w:t>
      </w:r>
    </w:p>
    <w:sectPr w:rsidR="00033A8F">
      <w:footerReference w:type="even" r:id="rId11"/>
      <w:footerReference w:type="default" r:id="rId12"/>
      <w:pgSz w:w="16838" w:h="11906" w:orient="landscape"/>
      <w:pgMar w:top="1134" w:right="1134" w:bottom="1134" w:left="1134" w:header="851" w:footer="992" w:gutter="0"/>
      <w:cols w:space="720"/>
      <w:docGrid w:type="linesAndChar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F1662" w:rsidRDefault="007F1662">
      <w:r>
        <w:separator/>
      </w:r>
    </w:p>
  </w:endnote>
  <w:endnote w:type="continuationSeparator" w:id="0">
    <w:p w:rsidR="007F1662" w:rsidRDefault="007F16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auto"/>
    <w:pitch w:val="default"/>
    <w:sig w:usb0="00000000" w:usb1="00000000" w:usb2="00000000" w:usb3="00000000" w:csb0="0004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仿宋">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3A8F" w:rsidRDefault="00351AC5">
    <w:pPr>
      <w:pStyle w:val="a7"/>
      <w:framePr w:wrap="around" w:vAnchor="text" w:hAnchor="margin" w:xAlign="center" w:y="1"/>
      <w:rPr>
        <w:rStyle w:val="ab"/>
      </w:rPr>
    </w:pPr>
    <w:r>
      <w:fldChar w:fldCharType="begin"/>
    </w:r>
    <w:r>
      <w:rPr>
        <w:rStyle w:val="ab"/>
      </w:rPr>
      <w:instrText xml:space="preserve">PAGE  </w:instrText>
    </w:r>
    <w:r>
      <w:fldChar w:fldCharType="separate"/>
    </w:r>
    <w:r w:rsidR="00580964">
      <w:rPr>
        <w:rStyle w:val="ab"/>
        <w:noProof/>
      </w:rPr>
      <w:t>3</w:t>
    </w:r>
    <w:r>
      <w:fldChar w:fldCharType="end"/>
    </w:r>
  </w:p>
  <w:p w:rsidR="00033A8F" w:rsidRDefault="00033A8F">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3A8F" w:rsidRDefault="00351AC5">
    <w:pPr>
      <w:pStyle w:val="a7"/>
      <w:framePr w:wrap="around" w:vAnchor="text" w:hAnchor="margin" w:xAlign="center" w:y="1"/>
      <w:rPr>
        <w:rStyle w:val="ab"/>
      </w:rPr>
    </w:pPr>
    <w:r>
      <w:fldChar w:fldCharType="begin"/>
    </w:r>
    <w:r>
      <w:rPr>
        <w:rStyle w:val="ab"/>
      </w:rPr>
      <w:instrText xml:space="preserve">PAGE  </w:instrText>
    </w:r>
    <w:r>
      <w:fldChar w:fldCharType="separate"/>
    </w:r>
    <w:r>
      <w:rPr>
        <w:rStyle w:val="ab"/>
      </w:rPr>
      <w:t>15</w:t>
    </w:r>
    <w:r>
      <w:fldChar w:fldCharType="end"/>
    </w:r>
  </w:p>
  <w:p w:rsidR="00033A8F" w:rsidRDefault="00033A8F">
    <w:pPr>
      <w:pStyle w:val="a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3A8F" w:rsidRDefault="00351AC5">
    <w:pPr>
      <w:pStyle w:val="a7"/>
      <w:framePr w:wrap="around" w:vAnchor="text" w:hAnchor="margin" w:xAlign="center" w:y="1"/>
      <w:rPr>
        <w:rStyle w:val="ab"/>
      </w:rPr>
    </w:pPr>
    <w:r>
      <w:fldChar w:fldCharType="begin"/>
    </w:r>
    <w:r>
      <w:rPr>
        <w:rStyle w:val="ab"/>
      </w:rPr>
      <w:instrText xml:space="preserve">PAGE  </w:instrText>
    </w:r>
    <w:r>
      <w:fldChar w:fldCharType="separate"/>
    </w:r>
    <w:r w:rsidR="00B22FE5">
      <w:rPr>
        <w:rStyle w:val="ab"/>
        <w:noProof/>
      </w:rPr>
      <w:t>12</w:t>
    </w:r>
    <w:r>
      <w:fldChar w:fldCharType="end"/>
    </w:r>
  </w:p>
  <w:p w:rsidR="00033A8F" w:rsidRDefault="00033A8F">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F1662" w:rsidRDefault="007F1662">
      <w:r>
        <w:separator/>
      </w:r>
    </w:p>
  </w:footnote>
  <w:footnote w:type="continuationSeparator" w:id="0">
    <w:p w:rsidR="007F1662" w:rsidRDefault="007F166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D7E84BE"/>
    <w:multiLevelType w:val="singleLevel"/>
    <w:tmpl w:val="8D7E84BE"/>
    <w:lvl w:ilvl="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mNWE4NzRhMTczNjJlZDE5ZTE5YTczN2QxMzcyMjAifQ=="/>
  </w:docVars>
  <w:rsids>
    <w:rsidRoot w:val="00100246"/>
    <w:rsid w:val="95F35EF6"/>
    <w:rsid w:val="9BFFD860"/>
    <w:rsid w:val="A77B4E4D"/>
    <w:rsid w:val="AC5F73DE"/>
    <w:rsid w:val="B5DDD2C8"/>
    <w:rsid w:val="B9DFABD9"/>
    <w:rsid w:val="BC0D83FC"/>
    <w:rsid w:val="BF3BDEFB"/>
    <w:rsid w:val="BFB7A454"/>
    <w:rsid w:val="C75F6086"/>
    <w:rsid w:val="C7F7ED2D"/>
    <w:rsid w:val="CFAF854E"/>
    <w:rsid w:val="D8D7928E"/>
    <w:rsid w:val="D8FE3136"/>
    <w:rsid w:val="DDDE60B7"/>
    <w:rsid w:val="DE9F6A22"/>
    <w:rsid w:val="DF4FCE6A"/>
    <w:rsid w:val="DFD6CE7C"/>
    <w:rsid w:val="DFE93440"/>
    <w:rsid w:val="DFEF5C84"/>
    <w:rsid w:val="E4FED278"/>
    <w:rsid w:val="EDAA365C"/>
    <w:rsid w:val="EDADFC12"/>
    <w:rsid w:val="F2FD229B"/>
    <w:rsid w:val="F65F79E2"/>
    <w:rsid w:val="F776A00A"/>
    <w:rsid w:val="F7F709E9"/>
    <w:rsid w:val="F7FF3690"/>
    <w:rsid w:val="F9BD3900"/>
    <w:rsid w:val="FBF76749"/>
    <w:rsid w:val="FC8B9876"/>
    <w:rsid w:val="FCBFBAB5"/>
    <w:rsid w:val="FEDFF218"/>
    <w:rsid w:val="FEDFFFFF"/>
    <w:rsid w:val="FFBF8D1D"/>
    <w:rsid w:val="00003B03"/>
    <w:rsid w:val="000040E6"/>
    <w:rsid w:val="00011D72"/>
    <w:rsid w:val="000159D0"/>
    <w:rsid w:val="00027CD5"/>
    <w:rsid w:val="00031B8E"/>
    <w:rsid w:val="00033A8F"/>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0F4DC0"/>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3BA3"/>
    <w:rsid w:val="001B4A46"/>
    <w:rsid w:val="001B5E87"/>
    <w:rsid w:val="001B5E91"/>
    <w:rsid w:val="001B69BF"/>
    <w:rsid w:val="001B7988"/>
    <w:rsid w:val="001C02A1"/>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267A6"/>
    <w:rsid w:val="002326DE"/>
    <w:rsid w:val="00234314"/>
    <w:rsid w:val="00241724"/>
    <w:rsid w:val="0024390C"/>
    <w:rsid w:val="002441F4"/>
    <w:rsid w:val="00244204"/>
    <w:rsid w:val="002448A4"/>
    <w:rsid w:val="002454C0"/>
    <w:rsid w:val="00245A0A"/>
    <w:rsid w:val="00246C42"/>
    <w:rsid w:val="002515CC"/>
    <w:rsid w:val="00253EC4"/>
    <w:rsid w:val="00254515"/>
    <w:rsid w:val="0026405B"/>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97506"/>
    <w:rsid w:val="002A1488"/>
    <w:rsid w:val="002A4C2B"/>
    <w:rsid w:val="002A6BFF"/>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AC5"/>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03F4"/>
    <w:rsid w:val="00401087"/>
    <w:rsid w:val="00402E26"/>
    <w:rsid w:val="00405701"/>
    <w:rsid w:val="004110BC"/>
    <w:rsid w:val="0041271F"/>
    <w:rsid w:val="0041688E"/>
    <w:rsid w:val="004170EF"/>
    <w:rsid w:val="00417C39"/>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3D5"/>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E6948"/>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66C9D"/>
    <w:rsid w:val="00576B03"/>
    <w:rsid w:val="00580964"/>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D75"/>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046C"/>
    <w:rsid w:val="006C107D"/>
    <w:rsid w:val="006C3600"/>
    <w:rsid w:val="006C4534"/>
    <w:rsid w:val="006C5205"/>
    <w:rsid w:val="006C75F6"/>
    <w:rsid w:val="006D0192"/>
    <w:rsid w:val="006D3F53"/>
    <w:rsid w:val="006D60AF"/>
    <w:rsid w:val="006E4722"/>
    <w:rsid w:val="006F1EC0"/>
    <w:rsid w:val="00701651"/>
    <w:rsid w:val="007049BF"/>
    <w:rsid w:val="00704E79"/>
    <w:rsid w:val="00707A26"/>
    <w:rsid w:val="0071120F"/>
    <w:rsid w:val="00712B8F"/>
    <w:rsid w:val="00716380"/>
    <w:rsid w:val="00722165"/>
    <w:rsid w:val="00724B1C"/>
    <w:rsid w:val="007428F0"/>
    <w:rsid w:val="007512EF"/>
    <w:rsid w:val="007551AC"/>
    <w:rsid w:val="0076101C"/>
    <w:rsid w:val="00763D87"/>
    <w:rsid w:val="007670B2"/>
    <w:rsid w:val="00771795"/>
    <w:rsid w:val="00772684"/>
    <w:rsid w:val="00774925"/>
    <w:rsid w:val="00786088"/>
    <w:rsid w:val="0079279F"/>
    <w:rsid w:val="0079365C"/>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1662"/>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369"/>
    <w:rsid w:val="008655DC"/>
    <w:rsid w:val="0086732D"/>
    <w:rsid w:val="00870183"/>
    <w:rsid w:val="00875726"/>
    <w:rsid w:val="00876277"/>
    <w:rsid w:val="00877F10"/>
    <w:rsid w:val="0088225D"/>
    <w:rsid w:val="00882F8D"/>
    <w:rsid w:val="00884FB0"/>
    <w:rsid w:val="008853A5"/>
    <w:rsid w:val="008944DA"/>
    <w:rsid w:val="00894D78"/>
    <w:rsid w:val="008A6068"/>
    <w:rsid w:val="008A6A18"/>
    <w:rsid w:val="008B033F"/>
    <w:rsid w:val="008B1755"/>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562CB"/>
    <w:rsid w:val="00962013"/>
    <w:rsid w:val="00963942"/>
    <w:rsid w:val="0096716C"/>
    <w:rsid w:val="009672B2"/>
    <w:rsid w:val="00971C66"/>
    <w:rsid w:val="00972363"/>
    <w:rsid w:val="0098419C"/>
    <w:rsid w:val="009843EF"/>
    <w:rsid w:val="009867F2"/>
    <w:rsid w:val="00991347"/>
    <w:rsid w:val="009944B4"/>
    <w:rsid w:val="00996018"/>
    <w:rsid w:val="0099738E"/>
    <w:rsid w:val="009974E0"/>
    <w:rsid w:val="009A493E"/>
    <w:rsid w:val="009A531F"/>
    <w:rsid w:val="009A6931"/>
    <w:rsid w:val="009B1F9A"/>
    <w:rsid w:val="009B1FA9"/>
    <w:rsid w:val="009B349F"/>
    <w:rsid w:val="009B4293"/>
    <w:rsid w:val="009B6715"/>
    <w:rsid w:val="009C1F0F"/>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1262"/>
    <w:rsid w:val="00A52749"/>
    <w:rsid w:val="00A5422E"/>
    <w:rsid w:val="00A56EC1"/>
    <w:rsid w:val="00A6350C"/>
    <w:rsid w:val="00A6370B"/>
    <w:rsid w:val="00A63A73"/>
    <w:rsid w:val="00A6655C"/>
    <w:rsid w:val="00A66CBB"/>
    <w:rsid w:val="00A6704E"/>
    <w:rsid w:val="00A67EA4"/>
    <w:rsid w:val="00A773FF"/>
    <w:rsid w:val="00A83AA1"/>
    <w:rsid w:val="00A906F4"/>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2FE5"/>
    <w:rsid w:val="00B25865"/>
    <w:rsid w:val="00B272B6"/>
    <w:rsid w:val="00B2771B"/>
    <w:rsid w:val="00B336E9"/>
    <w:rsid w:val="00B33AE5"/>
    <w:rsid w:val="00B35BE5"/>
    <w:rsid w:val="00B36203"/>
    <w:rsid w:val="00B46965"/>
    <w:rsid w:val="00B54ED0"/>
    <w:rsid w:val="00B55D47"/>
    <w:rsid w:val="00B56DB1"/>
    <w:rsid w:val="00B6204E"/>
    <w:rsid w:val="00B649EC"/>
    <w:rsid w:val="00B67CBB"/>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10D1"/>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6DED"/>
    <w:rsid w:val="00C77210"/>
    <w:rsid w:val="00C777FA"/>
    <w:rsid w:val="00C77989"/>
    <w:rsid w:val="00C811F4"/>
    <w:rsid w:val="00C81E51"/>
    <w:rsid w:val="00C87B73"/>
    <w:rsid w:val="00C92444"/>
    <w:rsid w:val="00C92FBB"/>
    <w:rsid w:val="00C93327"/>
    <w:rsid w:val="00C97B4D"/>
    <w:rsid w:val="00CA5076"/>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3E7F"/>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33D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278B0"/>
    <w:rsid w:val="00E33023"/>
    <w:rsid w:val="00E331F3"/>
    <w:rsid w:val="00E3498D"/>
    <w:rsid w:val="00E41AB5"/>
    <w:rsid w:val="00E42425"/>
    <w:rsid w:val="00E43E55"/>
    <w:rsid w:val="00E4554E"/>
    <w:rsid w:val="00E46D22"/>
    <w:rsid w:val="00E4768F"/>
    <w:rsid w:val="00E53C0E"/>
    <w:rsid w:val="00E54F7E"/>
    <w:rsid w:val="00E560CE"/>
    <w:rsid w:val="00E5674E"/>
    <w:rsid w:val="00E63783"/>
    <w:rsid w:val="00E650E2"/>
    <w:rsid w:val="00E75CAD"/>
    <w:rsid w:val="00E76922"/>
    <w:rsid w:val="00E77610"/>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77579"/>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4F63"/>
    <w:rsid w:val="00FB69B3"/>
    <w:rsid w:val="00FC6FBE"/>
    <w:rsid w:val="00FD1162"/>
    <w:rsid w:val="00FD2232"/>
    <w:rsid w:val="00FD4AE7"/>
    <w:rsid w:val="00FD65A9"/>
    <w:rsid w:val="00FD7508"/>
    <w:rsid w:val="00FE1E51"/>
    <w:rsid w:val="00FE2496"/>
    <w:rsid w:val="00FE6A2B"/>
    <w:rsid w:val="00FF0275"/>
    <w:rsid w:val="00FF07B3"/>
    <w:rsid w:val="00FF1E37"/>
    <w:rsid w:val="02F120AB"/>
    <w:rsid w:val="032B5196"/>
    <w:rsid w:val="04C3537C"/>
    <w:rsid w:val="079004AC"/>
    <w:rsid w:val="08815191"/>
    <w:rsid w:val="0A560A40"/>
    <w:rsid w:val="0BA148CA"/>
    <w:rsid w:val="0C1165C4"/>
    <w:rsid w:val="0D6D544B"/>
    <w:rsid w:val="0DD136FE"/>
    <w:rsid w:val="0F542F2C"/>
    <w:rsid w:val="0F8E2C57"/>
    <w:rsid w:val="1059665E"/>
    <w:rsid w:val="10AC13BA"/>
    <w:rsid w:val="10C33BDF"/>
    <w:rsid w:val="145A6C1B"/>
    <w:rsid w:val="14B73493"/>
    <w:rsid w:val="15DA0777"/>
    <w:rsid w:val="167A2FF9"/>
    <w:rsid w:val="1764587C"/>
    <w:rsid w:val="18581C69"/>
    <w:rsid w:val="19F356F5"/>
    <w:rsid w:val="1AEC0734"/>
    <w:rsid w:val="1DA17DCD"/>
    <w:rsid w:val="1DEF20B0"/>
    <w:rsid w:val="1FF7AB17"/>
    <w:rsid w:val="20223434"/>
    <w:rsid w:val="214243FA"/>
    <w:rsid w:val="21AD613C"/>
    <w:rsid w:val="22467189"/>
    <w:rsid w:val="257A14F5"/>
    <w:rsid w:val="26797B39"/>
    <w:rsid w:val="27196C26"/>
    <w:rsid w:val="29EF086F"/>
    <w:rsid w:val="2BC34C59"/>
    <w:rsid w:val="2BC84F12"/>
    <w:rsid w:val="2C09190D"/>
    <w:rsid w:val="2CA82B60"/>
    <w:rsid w:val="2EFFE297"/>
    <w:rsid w:val="301437CA"/>
    <w:rsid w:val="349D1F0A"/>
    <w:rsid w:val="34DD0473"/>
    <w:rsid w:val="37A14B19"/>
    <w:rsid w:val="3A052065"/>
    <w:rsid w:val="3A8E35DC"/>
    <w:rsid w:val="3C684897"/>
    <w:rsid w:val="41943621"/>
    <w:rsid w:val="42DC6682"/>
    <w:rsid w:val="433E495C"/>
    <w:rsid w:val="45D467E9"/>
    <w:rsid w:val="48526D8C"/>
    <w:rsid w:val="489F2FD7"/>
    <w:rsid w:val="4AC27CB3"/>
    <w:rsid w:val="4BF72BEF"/>
    <w:rsid w:val="4FA90297"/>
    <w:rsid w:val="4FC41A43"/>
    <w:rsid w:val="504D7B59"/>
    <w:rsid w:val="51DB3C59"/>
    <w:rsid w:val="550C0952"/>
    <w:rsid w:val="553D1623"/>
    <w:rsid w:val="55762E42"/>
    <w:rsid w:val="57A7B272"/>
    <w:rsid w:val="58470068"/>
    <w:rsid w:val="586B7496"/>
    <w:rsid w:val="58747CAC"/>
    <w:rsid w:val="599D333F"/>
    <w:rsid w:val="5A1720F9"/>
    <w:rsid w:val="5B9C37C2"/>
    <w:rsid w:val="5BA7C654"/>
    <w:rsid w:val="5DF716AE"/>
    <w:rsid w:val="5F9F507E"/>
    <w:rsid w:val="60A54109"/>
    <w:rsid w:val="61D01CDF"/>
    <w:rsid w:val="64C0607C"/>
    <w:rsid w:val="65756C86"/>
    <w:rsid w:val="674D385B"/>
    <w:rsid w:val="676F09E1"/>
    <w:rsid w:val="69507E80"/>
    <w:rsid w:val="6BFC0988"/>
    <w:rsid w:val="6C7636C9"/>
    <w:rsid w:val="6CC433B7"/>
    <w:rsid w:val="6EC407F2"/>
    <w:rsid w:val="702C0BDD"/>
    <w:rsid w:val="71691990"/>
    <w:rsid w:val="71793A80"/>
    <w:rsid w:val="7357290B"/>
    <w:rsid w:val="756E3DEA"/>
    <w:rsid w:val="76EA5A95"/>
    <w:rsid w:val="76FB1693"/>
    <w:rsid w:val="798524E4"/>
    <w:rsid w:val="7A7F1C49"/>
    <w:rsid w:val="7B5B7AE6"/>
    <w:rsid w:val="7B7B6628"/>
    <w:rsid w:val="7BA7071E"/>
    <w:rsid w:val="7BDF6DA8"/>
    <w:rsid w:val="7C7EDC1A"/>
    <w:rsid w:val="7CCED98D"/>
    <w:rsid w:val="7D08410F"/>
    <w:rsid w:val="7DB96DED"/>
    <w:rsid w:val="7DD3AD81"/>
    <w:rsid w:val="7DFFF77E"/>
    <w:rsid w:val="7F53A862"/>
    <w:rsid w:val="7F7FE70F"/>
    <w:rsid w:val="7FDF365A"/>
    <w:rsid w:val="7FEC8BC6"/>
    <w:rsid w:val="7FFF772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qFormat="1"/>
    <w:lsdException w:name="header" w:qFormat="1"/>
    <w:lsdException w:name="footer" w:qFormat="1"/>
    <w:lsdException w:name="caption" w:semiHidden="1" w:unhideWhenUsed="1" w:qFormat="1"/>
    <w:lsdException w:name="page number" w:qFormat="1"/>
    <w:lsdException w:name="Title" w:qFormat="1"/>
    <w:lsdException w:name="Default Paragraph Font" w:uiPriority="1" w:unhideWhenUsed="1" w:qFormat="1"/>
    <w:lsdException w:name="Body Text Indent" w:qFormat="1"/>
    <w:lsdException w:name="Subtitle" w:qFormat="1"/>
    <w:lsdException w:name="Dat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nhideWhenUsed="1" w:qFormat="1"/>
    <w:lsdException w:name="Normal Table"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semiHidden="1"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paragraph" w:styleId="2">
    <w:name w:val="heading 2"/>
    <w:basedOn w:val="a"/>
    <w:next w:val="a"/>
    <w:qFormat/>
    <w:pPr>
      <w:keepNext/>
      <w:keepLines/>
      <w:spacing w:before="100" w:beforeAutospacing="1" w:after="100" w:afterAutospacing="1"/>
      <w:outlineLvl w:val="1"/>
    </w:pPr>
    <w:rPr>
      <w:rFonts w:ascii="Cambria" w:eastAsia="黑体" w:hAnsi="Cambria"/>
      <w:b/>
      <w:bCs/>
      <w:kern w:val="0"/>
      <w:sz w:val="36"/>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qFormat/>
    <w:pPr>
      <w:ind w:firstLineChars="200" w:firstLine="200"/>
    </w:pPr>
  </w:style>
  <w:style w:type="paragraph" w:styleId="a4">
    <w:name w:val="Body Text Indent"/>
    <w:basedOn w:val="a"/>
    <w:qFormat/>
    <w:pPr>
      <w:ind w:firstLine="645"/>
    </w:pPr>
    <w:rPr>
      <w:rFonts w:ascii="仿宋_GB2312" w:eastAsia="仿宋_GB2312" w:hAnsi="Calibri"/>
      <w:sz w:val="32"/>
      <w:szCs w:val="32"/>
    </w:rPr>
  </w:style>
  <w:style w:type="paragraph" w:styleId="a5">
    <w:name w:val="Date"/>
    <w:basedOn w:val="a"/>
    <w:next w:val="a"/>
    <w:qFormat/>
    <w:pPr>
      <w:ind w:leftChars="2500" w:left="100"/>
    </w:pPr>
  </w:style>
  <w:style w:type="paragraph" w:styleId="a6">
    <w:name w:val="Balloon Text"/>
    <w:basedOn w:val="a"/>
    <w:semiHidden/>
    <w:qFormat/>
    <w:rPr>
      <w:sz w:val="18"/>
      <w:szCs w:val="18"/>
    </w:rPr>
  </w:style>
  <w:style w:type="paragraph" w:styleId="a7">
    <w:name w:val="footer"/>
    <w:basedOn w:val="a"/>
    <w:link w:val="Char"/>
    <w:qFormat/>
    <w:pPr>
      <w:tabs>
        <w:tab w:val="center" w:pos="4153"/>
        <w:tab w:val="right" w:pos="8306"/>
      </w:tabs>
      <w:snapToGrid w:val="0"/>
      <w:jc w:val="left"/>
    </w:pPr>
    <w:rPr>
      <w:sz w:val="18"/>
      <w:szCs w:val="18"/>
    </w:rPr>
  </w:style>
  <w:style w:type="paragraph" w:styleId="a8">
    <w:name w:val="header"/>
    <w:basedOn w:val="a"/>
    <w:link w:val="Char0"/>
    <w:qFormat/>
    <w:pPr>
      <w:pBdr>
        <w:bottom w:val="single" w:sz="6" w:space="1" w:color="auto"/>
      </w:pBdr>
      <w:tabs>
        <w:tab w:val="center" w:pos="4153"/>
        <w:tab w:val="right" w:pos="8306"/>
      </w:tabs>
      <w:snapToGrid w:val="0"/>
      <w:jc w:val="center"/>
    </w:pPr>
    <w:rPr>
      <w:rFonts w:ascii="Calibri" w:hAnsi="Calibri"/>
      <w:sz w:val="18"/>
      <w:szCs w:val="18"/>
    </w:rPr>
  </w:style>
  <w:style w:type="paragraph" w:styleId="a9">
    <w:name w:val="Normal (Web)"/>
    <w:basedOn w:val="a"/>
    <w:unhideWhenUsed/>
    <w:qFormat/>
    <w:pPr>
      <w:spacing w:before="100" w:beforeAutospacing="1" w:after="100" w:afterAutospacing="1"/>
      <w:ind w:right="238"/>
      <w:jc w:val="left"/>
    </w:pPr>
    <w:rPr>
      <w:b/>
      <w:kern w:val="0"/>
      <w:sz w:val="24"/>
      <w:szCs w:val="20"/>
    </w:rPr>
  </w:style>
  <w:style w:type="character" w:styleId="aa">
    <w:name w:val="Strong"/>
    <w:qFormat/>
    <w:rPr>
      <w:b/>
    </w:rPr>
  </w:style>
  <w:style w:type="character" w:styleId="ab">
    <w:name w:val="page number"/>
    <w:qFormat/>
  </w:style>
  <w:style w:type="character" w:customStyle="1" w:styleId="Char">
    <w:name w:val="页脚 Char"/>
    <w:link w:val="a7"/>
    <w:qFormat/>
    <w:rPr>
      <w:rFonts w:eastAsia="宋体"/>
      <w:kern w:val="2"/>
      <w:sz w:val="18"/>
      <w:szCs w:val="18"/>
      <w:lang w:val="en-US" w:eastAsia="zh-CN" w:bidi="ar-SA"/>
    </w:rPr>
  </w:style>
  <w:style w:type="character" w:customStyle="1" w:styleId="Char0">
    <w:name w:val="页眉 Char"/>
    <w:link w:val="a8"/>
    <w:qFormat/>
    <w:rPr>
      <w:rFonts w:ascii="Calibri" w:eastAsia="宋体" w:hAnsi="Calibri"/>
      <w:kern w:val="2"/>
      <w:sz w:val="18"/>
      <w:szCs w:val="18"/>
      <w:lang w:val="en-US" w:eastAsia="zh-CN" w:bidi="ar-SA"/>
    </w:rPr>
  </w:style>
  <w:style w:type="paragraph" w:customStyle="1" w:styleId="CharCharCharCharCharCharChar">
    <w:name w:val="Char Char Char Char Char Char Char"/>
    <w:basedOn w:val="a"/>
    <w:qFormat/>
    <w:rPr>
      <w:rFonts w:ascii="Tahoma" w:hAnsi="Tahoma"/>
      <w:sz w:val="24"/>
      <w:szCs w:val="20"/>
    </w:rPr>
  </w:style>
  <w:style w:type="paragraph" w:customStyle="1" w:styleId="Char1CharCharChar">
    <w:name w:val="Char1 Char Char Char"/>
    <w:basedOn w:val="a"/>
    <w:qFormat/>
    <w:pPr>
      <w:widowControl/>
      <w:spacing w:after="160" w:line="240" w:lineRule="exact"/>
      <w:jc w:val="left"/>
    </w:pPr>
    <w:rPr>
      <w:szCs w:val="20"/>
    </w:rPr>
  </w:style>
  <w:style w:type="paragraph" w:customStyle="1" w:styleId="Char1">
    <w:name w:val="Char"/>
    <w:basedOn w:val="a"/>
    <w:qFormat/>
    <w:rPr>
      <w:rFonts w:ascii="Tahoma" w:hAnsi="Tahoma"/>
      <w:sz w:val="24"/>
      <w:szCs w:val="20"/>
    </w:rPr>
  </w:style>
  <w:style w:type="paragraph" w:customStyle="1" w:styleId="CharChar3CharChar">
    <w:name w:val="Char Char3 Char Char"/>
    <w:basedOn w:val="a"/>
    <w:qFormat/>
    <w:rPr>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qFormat="1"/>
    <w:lsdException w:name="header" w:qFormat="1"/>
    <w:lsdException w:name="footer" w:qFormat="1"/>
    <w:lsdException w:name="caption" w:semiHidden="1" w:unhideWhenUsed="1" w:qFormat="1"/>
    <w:lsdException w:name="page number" w:qFormat="1"/>
    <w:lsdException w:name="Title" w:qFormat="1"/>
    <w:lsdException w:name="Default Paragraph Font" w:uiPriority="1" w:unhideWhenUsed="1" w:qFormat="1"/>
    <w:lsdException w:name="Body Text Indent" w:qFormat="1"/>
    <w:lsdException w:name="Subtitle" w:qFormat="1"/>
    <w:lsdException w:name="Dat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nhideWhenUsed="1" w:qFormat="1"/>
    <w:lsdException w:name="Normal Table"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semiHidden="1"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paragraph" w:styleId="2">
    <w:name w:val="heading 2"/>
    <w:basedOn w:val="a"/>
    <w:next w:val="a"/>
    <w:qFormat/>
    <w:pPr>
      <w:keepNext/>
      <w:keepLines/>
      <w:spacing w:before="100" w:beforeAutospacing="1" w:after="100" w:afterAutospacing="1"/>
      <w:outlineLvl w:val="1"/>
    </w:pPr>
    <w:rPr>
      <w:rFonts w:ascii="Cambria" w:eastAsia="黑体" w:hAnsi="Cambria"/>
      <w:b/>
      <w:bCs/>
      <w:kern w:val="0"/>
      <w:sz w:val="36"/>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qFormat/>
    <w:pPr>
      <w:ind w:firstLineChars="200" w:firstLine="200"/>
    </w:pPr>
  </w:style>
  <w:style w:type="paragraph" w:styleId="a4">
    <w:name w:val="Body Text Indent"/>
    <w:basedOn w:val="a"/>
    <w:qFormat/>
    <w:pPr>
      <w:ind w:firstLine="645"/>
    </w:pPr>
    <w:rPr>
      <w:rFonts w:ascii="仿宋_GB2312" w:eastAsia="仿宋_GB2312" w:hAnsi="Calibri"/>
      <w:sz w:val="32"/>
      <w:szCs w:val="32"/>
    </w:rPr>
  </w:style>
  <w:style w:type="paragraph" w:styleId="a5">
    <w:name w:val="Date"/>
    <w:basedOn w:val="a"/>
    <w:next w:val="a"/>
    <w:qFormat/>
    <w:pPr>
      <w:ind w:leftChars="2500" w:left="100"/>
    </w:pPr>
  </w:style>
  <w:style w:type="paragraph" w:styleId="a6">
    <w:name w:val="Balloon Text"/>
    <w:basedOn w:val="a"/>
    <w:semiHidden/>
    <w:qFormat/>
    <w:rPr>
      <w:sz w:val="18"/>
      <w:szCs w:val="18"/>
    </w:rPr>
  </w:style>
  <w:style w:type="paragraph" w:styleId="a7">
    <w:name w:val="footer"/>
    <w:basedOn w:val="a"/>
    <w:link w:val="Char"/>
    <w:qFormat/>
    <w:pPr>
      <w:tabs>
        <w:tab w:val="center" w:pos="4153"/>
        <w:tab w:val="right" w:pos="8306"/>
      </w:tabs>
      <w:snapToGrid w:val="0"/>
      <w:jc w:val="left"/>
    </w:pPr>
    <w:rPr>
      <w:sz w:val="18"/>
      <w:szCs w:val="18"/>
    </w:rPr>
  </w:style>
  <w:style w:type="paragraph" w:styleId="a8">
    <w:name w:val="header"/>
    <w:basedOn w:val="a"/>
    <w:link w:val="Char0"/>
    <w:qFormat/>
    <w:pPr>
      <w:pBdr>
        <w:bottom w:val="single" w:sz="6" w:space="1" w:color="auto"/>
      </w:pBdr>
      <w:tabs>
        <w:tab w:val="center" w:pos="4153"/>
        <w:tab w:val="right" w:pos="8306"/>
      </w:tabs>
      <w:snapToGrid w:val="0"/>
      <w:jc w:val="center"/>
    </w:pPr>
    <w:rPr>
      <w:rFonts w:ascii="Calibri" w:hAnsi="Calibri"/>
      <w:sz w:val="18"/>
      <w:szCs w:val="18"/>
    </w:rPr>
  </w:style>
  <w:style w:type="paragraph" w:styleId="a9">
    <w:name w:val="Normal (Web)"/>
    <w:basedOn w:val="a"/>
    <w:unhideWhenUsed/>
    <w:qFormat/>
    <w:pPr>
      <w:spacing w:before="100" w:beforeAutospacing="1" w:after="100" w:afterAutospacing="1"/>
      <w:ind w:right="238"/>
      <w:jc w:val="left"/>
    </w:pPr>
    <w:rPr>
      <w:b/>
      <w:kern w:val="0"/>
      <w:sz w:val="24"/>
      <w:szCs w:val="20"/>
    </w:rPr>
  </w:style>
  <w:style w:type="character" w:styleId="aa">
    <w:name w:val="Strong"/>
    <w:qFormat/>
    <w:rPr>
      <w:b/>
    </w:rPr>
  </w:style>
  <w:style w:type="character" w:styleId="ab">
    <w:name w:val="page number"/>
    <w:qFormat/>
  </w:style>
  <w:style w:type="character" w:customStyle="1" w:styleId="Char">
    <w:name w:val="页脚 Char"/>
    <w:link w:val="a7"/>
    <w:qFormat/>
    <w:rPr>
      <w:rFonts w:eastAsia="宋体"/>
      <w:kern w:val="2"/>
      <w:sz w:val="18"/>
      <w:szCs w:val="18"/>
      <w:lang w:val="en-US" w:eastAsia="zh-CN" w:bidi="ar-SA"/>
    </w:rPr>
  </w:style>
  <w:style w:type="character" w:customStyle="1" w:styleId="Char0">
    <w:name w:val="页眉 Char"/>
    <w:link w:val="a8"/>
    <w:qFormat/>
    <w:rPr>
      <w:rFonts w:ascii="Calibri" w:eastAsia="宋体" w:hAnsi="Calibri"/>
      <w:kern w:val="2"/>
      <w:sz w:val="18"/>
      <w:szCs w:val="18"/>
      <w:lang w:val="en-US" w:eastAsia="zh-CN" w:bidi="ar-SA"/>
    </w:rPr>
  </w:style>
  <w:style w:type="paragraph" w:customStyle="1" w:styleId="CharCharCharCharCharCharChar">
    <w:name w:val="Char Char Char Char Char Char Char"/>
    <w:basedOn w:val="a"/>
    <w:qFormat/>
    <w:rPr>
      <w:rFonts w:ascii="Tahoma" w:hAnsi="Tahoma"/>
      <w:sz w:val="24"/>
      <w:szCs w:val="20"/>
    </w:rPr>
  </w:style>
  <w:style w:type="paragraph" w:customStyle="1" w:styleId="Char1CharCharChar">
    <w:name w:val="Char1 Char Char Char"/>
    <w:basedOn w:val="a"/>
    <w:qFormat/>
    <w:pPr>
      <w:widowControl/>
      <w:spacing w:after="160" w:line="240" w:lineRule="exact"/>
      <w:jc w:val="left"/>
    </w:pPr>
    <w:rPr>
      <w:szCs w:val="20"/>
    </w:rPr>
  </w:style>
  <w:style w:type="paragraph" w:customStyle="1" w:styleId="Char1">
    <w:name w:val="Char"/>
    <w:basedOn w:val="a"/>
    <w:qFormat/>
    <w:rPr>
      <w:rFonts w:ascii="Tahoma" w:hAnsi="Tahoma"/>
      <w:sz w:val="24"/>
      <w:szCs w:val="20"/>
    </w:rPr>
  </w:style>
  <w:style w:type="paragraph" w:customStyle="1" w:styleId="CharChar3CharChar">
    <w:name w:val="Char Char3 Char Char"/>
    <w:basedOn w:val="a"/>
    <w:qFormat/>
    <w:rPr>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chart" Target="charts/chart2.xml"/><Relationship Id="rId4" Type="http://schemas.openxmlformats.org/officeDocument/2006/relationships/settings" Target="settings.xml"/><Relationship Id="rId9" Type="http://schemas.openxmlformats.org/officeDocument/2006/relationships/chart" Target="charts/chart1.xml"/><Relationship Id="rId14" Type="http://schemas.openxmlformats.org/officeDocument/2006/relationships/theme" Target="theme/theme1.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___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Excel____2.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a:defRPr lang="zh-CN" sz="1800" b="1" i="0" u="none" strike="noStrike" kern="1200" baseline="0">
                <a:solidFill>
                  <a:schemeClr val="tx1"/>
                </a:solidFill>
                <a:latin typeface="+mn-lt"/>
                <a:ea typeface="+mn-ea"/>
                <a:cs typeface="+mn-cs"/>
              </a:defRPr>
            </a:pPr>
            <a:r>
              <a:rPr lang="zh-CN" altLang="en-US" sz="1400" b="0"/>
              <a:t>收入决算</a:t>
            </a:r>
          </a:p>
        </c:rich>
      </c:tx>
      <c:overlay val="0"/>
    </c:title>
    <c:autoTitleDeleted val="0"/>
    <c:plotArea>
      <c:layout/>
      <c:pieChart>
        <c:varyColors val="1"/>
        <c:ser>
          <c:idx val="0"/>
          <c:order val="0"/>
          <c:tx>
            <c:strRef>
              <c:f>Sheet1!$B$1</c:f>
              <c:strCache>
                <c:ptCount val="1"/>
                <c:pt idx="0">
                  <c:v>收入</c:v>
                </c:pt>
              </c:strCache>
            </c:strRef>
          </c:tx>
          <c:dPt>
            <c:idx val="0"/>
            <c:bubble3D val="0"/>
          </c:dPt>
          <c:dPt>
            <c:idx val="1"/>
            <c:bubble3D val="0"/>
          </c:dPt>
          <c:dPt>
            <c:idx val="2"/>
            <c:bubble3D val="0"/>
          </c:dPt>
          <c:dPt>
            <c:idx val="3"/>
            <c:bubble3D val="0"/>
          </c:dPt>
          <c:dPt>
            <c:idx val="4"/>
            <c:bubble3D val="0"/>
          </c:dPt>
          <c:dPt>
            <c:idx val="5"/>
            <c:bubble3D val="0"/>
          </c:dPt>
          <c:dLbls>
            <c:dLbl>
              <c:idx val="3"/>
              <c:layout>
                <c:manualLayout>
                  <c:x val="0.20398405388005744"/>
                  <c:y val="0.15330063250290435"/>
                </c:manualLayout>
              </c:layout>
              <c:dLblPos val="bestFit"/>
              <c:showLegendKey val="0"/>
              <c:showVal val="0"/>
              <c:showCatName val="0"/>
              <c:showSerName val="0"/>
              <c:showPercent val="1"/>
              <c:showBubbleSize val="0"/>
            </c:dLbl>
            <c:dLbl>
              <c:idx val="4"/>
              <c:layout>
                <c:manualLayout>
                  <c:x val="0.15209726142722726"/>
                  <c:y val="2.7617572393614731E-2"/>
                </c:manualLayout>
              </c:layout>
              <c:dLblPos val="bestFit"/>
              <c:showLegendKey val="0"/>
              <c:showVal val="0"/>
              <c:showCatName val="0"/>
              <c:showSerName val="0"/>
              <c:showPercent val="1"/>
              <c:showBubbleSize val="0"/>
            </c:dLbl>
            <c:dLbl>
              <c:idx val="5"/>
              <c:layout>
                <c:manualLayout>
                  <c:x val="-0.18909770712623186"/>
                  <c:y val="4.2644894797986319E-2"/>
                </c:manualLayout>
              </c:layout>
              <c:dLblPos val="bestFit"/>
              <c:showLegendKey val="0"/>
              <c:showVal val="0"/>
              <c:showCatName val="0"/>
              <c:showSerName val="0"/>
              <c:showPercent val="1"/>
              <c:showBubbleSize val="0"/>
            </c:dLbl>
            <c:numFmt formatCode="0.00%" sourceLinked="0"/>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endParaRPr lang="zh-CN"/>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ext>
            </c:extLst>
          </c:dLbls>
          <c:cat>
            <c:strRef>
              <c:f>Sheet1!$A$2:$A$7</c:f>
              <c:strCache>
                <c:ptCount val="6"/>
                <c:pt idx="0">
                  <c:v>财政拨款收入</c:v>
                </c:pt>
                <c:pt idx="1">
                  <c:v>上级补助收入</c:v>
                </c:pt>
                <c:pt idx="2">
                  <c:v>事业收入</c:v>
                </c:pt>
                <c:pt idx="3">
                  <c:v>经营收入</c:v>
                </c:pt>
                <c:pt idx="4">
                  <c:v>附属单位上缴</c:v>
                </c:pt>
                <c:pt idx="5">
                  <c:v>其他收入</c:v>
                </c:pt>
              </c:strCache>
            </c:strRef>
          </c:cat>
          <c:val>
            <c:numRef>
              <c:f>Sheet1!$B$2:$B$7</c:f>
              <c:numCache>
                <c:formatCode>General</c:formatCode>
                <c:ptCount val="6"/>
                <c:pt idx="0">
                  <c:v>3892.14</c:v>
                </c:pt>
                <c:pt idx="1">
                  <c:v>0</c:v>
                </c:pt>
                <c:pt idx="2">
                  <c:v>0</c:v>
                </c:pt>
                <c:pt idx="3">
                  <c:v>0</c:v>
                </c:pt>
                <c:pt idx="4">
                  <c:v>0</c:v>
                </c:pt>
                <c:pt idx="5">
                  <c:v>0</c:v>
                </c:pt>
              </c:numCache>
            </c:numRef>
          </c:val>
        </c:ser>
        <c:dLbls>
          <c:showLegendKey val="0"/>
          <c:showVal val="1"/>
          <c:showCatName val="0"/>
          <c:showSerName val="0"/>
          <c:showPercent val="0"/>
          <c:showBubbleSize val="0"/>
          <c:showLeaderLines val="1"/>
        </c:dLbls>
        <c:firstSliceAng val="0"/>
      </c:pieChart>
    </c:plotArea>
    <c:legend>
      <c:legendPos val="r"/>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endParaRPr lang="zh-CN"/>
        </a:p>
      </c:txPr>
    </c:legend>
    <c:plotVisOnly val="1"/>
    <c:dispBlanksAs val="gap"/>
    <c:showDLblsOverMax val="0"/>
    <c:extLst>
      <c:ext uri="{0b15fc19-7d7d-44ad-8c2d-2c3a37ce22c3}">
        <chartProps xmlns="https://web.wps.cn/et/2018/main" chartId="{ea31a22d-92a3-4dc5-a9a5-5bf3a0305c21}"/>
      </c:ext>
    </c:extLst>
  </c:chart>
  <c:txPr>
    <a:bodyPr/>
    <a:lstStyle/>
    <a:p>
      <a:pPr>
        <a:defRPr lang="zh-CN"/>
      </a:pPr>
      <a:endParaRPr lang="zh-CN"/>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solidFill>
                <a:latin typeface="+mn-lt"/>
                <a:ea typeface="+mn-ea"/>
                <a:cs typeface="+mn-cs"/>
              </a:defRPr>
            </a:pPr>
            <a:r>
              <a:rPr lang="zh-CN" altLang="en-US">
                <a:solidFill>
                  <a:schemeClr val="tx1"/>
                </a:solidFill>
              </a:rPr>
              <a:t>支出决算</a:t>
            </a:r>
          </a:p>
        </c:rich>
      </c:tx>
      <c:overlay val="0"/>
      <c:spPr>
        <a:noFill/>
        <a:ln>
          <a:noFill/>
        </a:ln>
        <a:effectLst/>
      </c:spPr>
    </c:title>
    <c:autoTitleDeleted val="0"/>
    <c:plotArea>
      <c:layout/>
      <c:pieChart>
        <c:varyColors val="1"/>
        <c:ser>
          <c:idx val="0"/>
          <c:order val="0"/>
          <c:tx>
            <c:strRef>
              <c:f>Sheet0!$B$1</c:f>
              <c:strCache>
                <c:ptCount val="1"/>
                <c:pt idx="0">
                  <c:v>支出</c:v>
                </c:pt>
              </c:strCache>
            </c:strRef>
          </c:tx>
          <c:dPt>
            <c:idx val="0"/>
            <c:bubble3D val="0"/>
            <c:spPr>
              <a:solidFill>
                <a:srgbClr val="4F81BD"/>
              </a:solidFill>
              <a:ln w="19050">
                <a:solidFill>
                  <a:srgbClr val="FFFFFF"/>
                </a:solidFill>
              </a:ln>
              <a:effectLst/>
            </c:spPr>
          </c:dPt>
          <c:dPt>
            <c:idx val="1"/>
            <c:bubble3D val="0"/>
            <c:spPr>
              <a:solidFill>
                <a:srgbClr val="C0504D"/>
              </a:solidFill>
              <a:ln w="19050">
                <a:solidFill>
                  <a:srgbClr val="FFFFFF"/>
                </a:solidFill>
              </a:ln>
              <a:effectLst/>
            </c:spPr>
          </c:dPt>
          <c:dPt>
            <c:idx val="2"/>
            <c:bubble3D val="0"/>
            <c:spPr>
              <a:solidFill>
                <a:srgbClr val="9BBB59"/>
              </a:solidFill>
              <a:ln w="19050">
                <a:solidFill>
                  <a:srgbClr val="FFFFFF"/>
                </a:solidFill>
              </a:ln>
              <a:effectLst/>
            </c:spPr>
          </c:dPt>
          <c:dPt>
            <c:idx val="3"/>
            <c:bubble3D val="0"/>
            <c:spPr>
              <a:solidFill>
                <a:srgbClr val="8064A2"/>
              </a:solidFill>
              <a:ln w="19050">
                <a:solidFill>
                  <a:srgbClr val="FFFFFF"/>
                </a:solidFill>
              </a:ln>
              <a:effectLst/>
            </c:spPr>
          </c:dPt>
          <c:dPt>
            <c:idx val="4"/>
            <c:bubble3D val="0"/>
            <c:spPr>
              <a:solidFill>
                <a:srgbClr val="4BACC6"/>
              </a:solidFill>
              <a:ln w="19050">
                <a:solidFill>
                  <a:srgbClr val="FFFFFF"/>
                </a:solidFill>
              </a:ln>
              <a:effectLst/>
            </c:spPr>
          </c:dPt>
          <c:dLbls>
            <c:dLbl>
              <c:idx val="2"/>
              <c:layout>
                <c:manualLayout>
                  <c:x val="-3.9003729401150003E-2"/>
                  <c:y val="3.2827143610787798E-2"/>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dLbl>
              <c:idx val="4"/>
              <c:layout>
                <c:manualLayout>
                  <c:x val="3.8988769358610197E-2"/>
                  <c:y val="1.05112295100623E-2"/>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numFmt formatCode="0.00%" sourceLinked="0"/>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solidFill>
                    <a:latin typeface="+mn-lt"/>
                    <a:ea typeface="+mn-ea"/>
                    <a:cs typeface="+mn-cs"/>
                  </a:defRPr>
                </a:pPr>
                <a:endParaRPr lang="zh-CN"/>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rgbClr val="A6A6A6">
                          <a:lumMod val="35000"/>
                          <a:lumOff val="65000"/>
                        </a:srgbClr>
                      </a:solidFill>
                      <a:prstDash val="solid"/>
                      <a:round/>
                    </a:ln>
                    <a:effectLst/>
                  </c:spPr>
                </c15:leaderLines>
              </c:ext>
            </c:extLst>
          </c:dLbls>
          <c:cat>
            <c:strRef>
              <c:f>Sheet0!$A$2:$A$6</c:f>
              <c:strCache>
                <c:ptCount val="5"/>
                <c:pt idx="0">
                  <c:v>基本支出</c:v>
                </c:pt>
                <c:pt idx="1">
                  <c:v>项目支出</c:v>
                </c:pt>
                <c:pt idx="2">
                  <c:v>上缴上级支出</c:v>
                </c:pt>
                <c:pt idx="3">
                  <c:v>经营支出</c:v>
                </c:pt>
                <c:pt idx="4">
                  <c:v>对附属单位补助支出</c:v>
                </c:pt>
              </c:strCache>
            </c:strRef>
          </c:cat>
          <c:val>
            <c:numRef>
              <c:f>Sheet0!$B$2:$B$6</c:f>
              <c:numCache>
                <c:formatCode>General</c:formatCode>
                <c:ptCount val="5"/>
                <c:pt idx="0">
                  <c:v>3713.7</c:v>
                </c:pt>
                <c:pt idx="1">
                  <c:v>370.14</c:v>
                </c:pt>
                <c:pt idx="2">
                  <c:v>0</c:v>
                </c:pt>
                <c:pt idx="3">
                  <c:v>0</c:v>
                </c:pt>
                <c:pt idx="4">
                  <c:v>0</c:v>
                </c:pt>
              </c:numCache>
            </c:numRef>
          </c:val>
        </c:ser>
        <c:dLbls>
          <c:showLegendKey val="0"/>
          <c:showVal val="0"/>
          <c:showCatName val="0"/>
          <c:showSerName val="0"/>
          <c:showPercent val="1"/>
          <c:showBubbleSize val="0"/>
          <c:showLeaderLines val="1"/>
        </c:dLbls>
        <c:firstSliceAng val="0"/>
      </c:pieChart>
      <c:spPr>
        <a:noFill/>
        <a:ln>
          <a:noFill/>
        </a:ln>
        <a:effectLst/>
      </c:spPr>
    </c:plotArea>
    <c:legend>
      <c:legendPos val="b"/>
      <c:legendEntry>
        <c:idx val="0"/>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Entry>
      <c:legendEntry>
        <c:idx val="1"/>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Entry>
      <c:legendEntry>
        <c:idx val="2"/>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Entry>
      <c:legendEntry>
        <c:idx val="3"/>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Entry>
      <c:legendEntry>
        <c:idx val="4"/>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Entry>
      <c:overlay val="0"/>
      <c:spPr>
        <a:noFill/>
        <a:ln>
          <a:noFill/>
        </a:ln>
        <a:effectLst/>
      </c:spPr>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
    <c:plotVisOnly val="1"/>
    <c:dispBlanksAs val="gap"/>
    <c:showDLblsOverMax val="0"/>
    <c:extLst>
      <c:ext uri="{0b15fc19-7d7d-44ad-8c2d-2c3a37ce22c3}">
        <chartProps xmlns="https://web.wps.cn/et/2018/main" chartId="{bb105a3c-d236-418c-9227-6b384e4e1d5a}"/>
      </c:ext>
    </c:extLst>
  </c:chart>
  <c:spPr>
    <a:ln w="9525" cap="flat" cmpd="sng" algn="ctr">
      <a:solidFill>
        <a:srgbClr val="D9D9D9">
          <a:lumMod val="15000"/>
          <a:lumOff val="85000"/>
        </a:srgbClr>
      </a:solidFill>
      <a:prstDash val="solid"/>
      <a:round/>
    </a:ln>
    <a:effectLst/>
  </c:spPr>
  <c:txPr>
    <a:bodyPr/>
    <a:lstStyle/>
    <a:p>
      <a:pPr>
        <a:defRPr lang="zh-CN"/>
      </a:pPr>
      <a:endParaRPr lang="zh-CN"/>
    </a:p>
  </c:txPr>
  <c:externalData r:id="rId1">
    <c:autoUpdate val="0"/>
  </c:externalData>
</c:chartSpac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154</TotalTime>
  <Pages>12</Pages>
  <Words>747</Words>
  <Characters>4262</Characters>
  <Application>Microsoft Office Word</Application>
  <DocSecurity>0</DocSecurity>
  <Lines>35</Lines>
  <Paragraphs>9</Paragraphs>
  <ScaleCrop>false</ScaleCrop>
  <Company>微软中国</Company>
  <LinksUpToDate>false</LinksUpToDate>
  <CharactersWithSpaces>5000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北京市财政局关于做好向市人大常委会报送2015年度市级部门决算（草案）</dc:title>
  <dc:creator>常程</dc:creator>
  <cp:lastModifiedBy>founder</cp:lastModifiedBy>
  <cp:revision>62</cp:revision>
  <cp:lastPrinted>2020-08-09T03:39:00Z</cp:lastPrinted>
  <dcterms:created xsi:type="dcterms:W3CDTF">2017-07-13T07:16:00Z</dcterms:created>
  <dcterms:modified xsi:type="dcterms:W3CDTF">2025-09-29T03:59:00Z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D5C09A7BCEB74B6CA1047A16E14123F3_13</vt:lpwstr>
  </property>
  <property fmtid="{D5CDD505-2E9C-101B-9397-08002B2CF9AE}" pid="4" name="KSOTemplateDocerSaveRecord">
    <vt:lpwstr>eyJoZGlkIjoiNzBiMDE1NTlkOTZkYmI2MzA3NmZkZjdjM2QwNWFlMTMiLCJ1c2VySWQiOiI4OTA5MDMwNzQifQ==</vt:lpwstr>
  </property>
</Properties>
</file>