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：本单位为独立编制、独立核算机构，现设有办公室、财务室、资料室等部门。</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ascii="仿宋_GB2312" w:eastAsia="仿宋_GB2312"/>
          <w:sz w:val="28"/>
          <w:szCs w:val="28"/>
        </w:rPr>
        <w:t>、</w:t>
      </w:r>
      <w:r>
        <w:rPr>
          <w:rFonts w:hint="eastAsia" w:ascii="仿宋_GB2312" w:eastAsia="仿宋_GB2312"/>
          <w:sz w:val="28"/>
          <w:szCs w:val="28"/>
        </w:rPr>
        <w:t>职责</w:t>
      </w:r>
      <w:r>
        <w:rPr>
          <w:rFonts w:hint="eastAsia" w:ascii="仿宋_GB2312" w:eastAsia="仿宋_GB2312"/>
          <w:sz w:val="28"/>
          <w:szCs w:val="28"/>
          <w:lang w:eastAsia="zh-CN"/>
        </w:rPr>
        <w:t>：本单位隶属北京市大兴区教育委员会，执行《政府会计准则制度》，主要职责是为学龄前儿童提供保育和教育服务。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1238.47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增加10.71万元，增长0.87%。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1177.56</w:t>
      </w:r>
      <w:r>
        <w:rPr>
          <w:rFonts w:hint="eastAsia" w:ascii="仿宋_GB2312" w:eastAsia="仿宋_GB2312"/>
          <w:sz w:val="28"/>
          <w:szCs w:val="28"/>
        </w:rPr>
        <w:t>万元，比上年减少39.02万元，下降3.21%。</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1177.56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1177.56万元，占收入合计的100%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1238.47</w:t>
      </w:r>
      <w:r>
        <w:rPr>
          <w:rFonts w:hint="eastAsia" w:ascii="仿宋_GB2312" w:eastAsia="仿宋_GB2312"/>
          <w:sz w:val="28"/>
          <w:szCs w:val="28"/>
        </w:rPr>
        <w:t>万元，比上年增加10.71万元，增长0.87%，其中：基本支</w:t>
      </w:r>
      <w:r>
        <w:rPr>
          <w:rFonts w:hint="eastAsia" w:ascii="仿宋_GB2312" w:eastAsia="仿宋_GB2312"/>
          <w:sz w:val="28"/>
          <w:szCs w:val="28"/>
          <w:highlight w:val="none"/>
        </w:rPr>
        <w:t>出</w:t>
      </w:r>
      <w:r>
        <w:rPr>
          <w:rFonts w:ascii="仿宋_GB2312" w:eastAsia="仿宋_GB2312"/>
          <w:sz w:val="28"/>
          <w:szCs w:val="28"/>
          <w:highlight w:val="none"/>
        </w:rPr>
        <w:t>917.72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74.1</w:t>
      </w:r>
      <w:r>
        <w:rPr>
          <w:rFonts w:hint="eastAsia" w:ascii="仿宋_GB2312" w:eastAsia="仿宋_GB2312"/>
          <w:sz w:val="28"/>
          <w:szCs w:val="28"/>
          <w:highlight w:val="none"/>
        </w:rPr>
        <w:t>%；项目支出</w:t>
      </w:r>
      <w:r>
        <w:rPr>
          <w:rFonts w:ascii="仿宋_GB2312" w:eastAsia="仿宋_GB2312"/>
          <w:sz w:val="28"/>
          <w:szCs w:val="28"/>
          <w:highlight w:val="none"/>
        </w:rPr>
        <w:t>320.75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25.9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1238.47</w:t>
      </w:r>
      <w:r>
        <w:rPr>
          <w:rFonts w:hint="eastAsia" w:ascii="仿宋_GB2312" w:eastAsia="仿宋_GB2312"/>
          <w:sz w:val="28"/>
          <w:szCs w:val="28"/>
        </w:rPr>
        <w:t xml:space="preserve">万元，比上年减少39.02元，下降3.21%。。主要原因：2023年项目已完成，2024年项目减少，2023年退休1人，人员经费减少。2024年度财政拨款支出总计1238.47万元，比上年1227.76万元增加10.71万元，增长0.87%。主要原因：2023年年末结转人员经费46488.69元，用于缴纳保险。2024年初归集调入住房补贴562,664.96元。2024年幼儿人数增加，导致公用经费增加。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1238.47</w:t>
      </w:r>
      <w:r>
        <w:rPr>
          <w:rFonts w:hint="eastAsia" w:ascii="仿宋_GB2312" w:eastAsia="仿宋_GB2312"/>
          <w:sz w:val="28"/>
          <w:szCs w:val="28"/>
        </w:rPr>
        <w:t>万元，主要用于以下方面（按大类）：教育支出1017.16万元，占本年财政拨款支出82.13%；社会保障和就业支出96.09万元，占本年财政拨款支出7.76%；卫生健康支出68.96万元，占本年财政拨款支出5.57%；住房保障支出</w:t>
      </w:r>
      <w:r>
        <w:rPr>
          <w:rFonts w:hint="eastAsia" w:ascii="仿宋_GB2312" w:eastAsia="仿宋_GB2312"/>
          <w:sz w:val="28"/>
          <w:szCs w:val="28"/>
        </w:rPr>
        <w:tab/>
      </w:r>
      <w:r>
        <w:rPr>
          <w:rFonts w:hint="eastAsia" w:ascii="仿宋_GB2312" w:eastAsia="仿宋_GB2312"/>
          <w:sz w:val="28"/>
          <w:szCs w:val="28"/>
        </w:rPr>
        <w:t>56.27万元，占本年财政拨款支出4.54%。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1.“教育支出”（类）2024年度年初预算1026.27万元</w:t>
      </w:r>
      <w:r>
        <w:rPr>
          <w:rFonts w:hint="eastAsia" w:ascii="仿宋_GB2312" w:eastAsia="仿宋_GB2312"/>
          <w:sz w:val="28"/>
          <w:szCs w:val="28"/>
          <w:lang w:eastAsia="zh-CN"/>
        </w:rPr>
        <w:t>，</w:t>
      </w:r>
      <w:r>
        <w:rPr>
          <w:rFonts w:hint="eastAsia" w:ascii="仿宋_GB2312" w:eastAsia="仿宋_GB2312"/>
          <w:sz w:val="28"/>
          <w:szCs w:val="28"/>
        </w:rPr>
        <w:t>2024年度决算1017.16万元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完成年初预算的99.10%。其中：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“普通教育”（款）2024年度年初预算1026.27万元</w:t>
      </w:r>
      <w:r>
        <w:rPr>
          <w:rFonts w:hint="eastAsia" w:ascii="仿宋_GB2312" w:eastAsia="仿宋_GB2312"/>
          <w:sz w:val="28"/>
          <w:szCs w:val="28"/>
          <w:lang w:eastAsia="zh-CN"/>
        </w:rPr>
        <w:t>，</w:t>
      </w:r>
      <w:r>
        <w:rPr>
          <w:rFonts w:hint="eastAsia" w:ascii="仿宋_GB2312" w:eastAsia="仿宋_GB2312"/>
          <w:sz w:val="28"/>
          <w:szCs w:val="28"/>
        </w:rPr>
        <w:t>2024年度决算1017.16万元，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99.11</w:t>
      </w:r>
      <w:r>
        <w:rPr>
          <w:rFonts w:hint="eastAsia" w:ascii="仿宋_GB2312" w:eastAsia="仿宋_GB2312"/>
          <w:sz w:val="28"/>
          <w:szCs w:val="28"/>
        </w:rPr>
        <w:t>%。主要原因：正常人员变动与社保基数调整。2023年退休1人，2024年较上年工资支出减少，幼儿人数增加，导致公用经费增加。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 2024年度年初预算87.52万元</w:t>
      </w:r>
      <w:r>
        <w:rPr>
          <w:rFonts w:hint="eastAsia" w:ascii="仿宋_GB2312" w:eastAsia="仿宋_GB2312"/>
          <w:sz w:val="28"/>
          <w:szCs w:val="28"/>
          <w:lang w:eastAsia="zh-CN"/>
        </w:rPr>
        <w:t>，</w:t>
      </w:r>
      <w:r>
        <w:rPr>
          <w:rFonts w:hint="eastAsia" w:ascii="仿宋_GB2312" w:eastAsia="仿宋_GB2312"/>
          <w:sz w:val="28"/>
          <w:szCs w:val="28"/>
        </w:rPr>
        <w:t>2024年度决算96.09万元，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109.79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“行政事业单位养老支出”（款）2024年度年初预算87.52万元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2024年度决算96.09万元，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109.79</w:t>
      </w:r>
      <w:r>
        <w:rPr>
          <w:rFonts w:hint="eastAsia" w:ascii="仿宋_GB2312" w:eastAsia="仿宋_GB2312"/>
          <w:sz w:val="28"/>
          <w:szCs w:val="28"/>
        </w:rPr>
        <w:t>%。主要原因：养老保险基数调标、职业年金基数调标。</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 2024年度年初预算64.35万元</w:t>
      </w:r>
      <w:r>
        <w:rPr>
          <w:rFonts w:hint="eastAsia" w:ascii="仿宋_GB2312" w:eastAsia="仿宋_GB2312"/>
          <w:sz w:val="28"/>
          <w:szCs w:val="28"/>
          <w:lang w:eastAsia="zh-CN"/>
        </w:rPr>
        <w:t>，</w:t>
      </w:r>
      <w:r>
        <w:rPr>
          <w:rFonts w:hint="eastAsia" w:ascii="仿宋_GB2312" w:eastAsia="仿宋_GB2312"/>
          <w:sz w:val="28"/>
          <w:szCs w:val="28"/>
        </w:rPr>
        <w:t>2024年度决算68.96万元，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107.16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“行政事业单位医疗”（款）2024年度年初预算64.35万元</w:t>
      </w:r>
      <w:r>
        <w:rPr>
          <w:rFonts w:hint="eastAsia" w:ascii="仿宋_GB2312" w:eastAsia="仿宋_GB2312"/>
          <w:sz w:val="28"/>
          <w:szCs w:val="28"/>
          <w:lang w:eastAsia="zh-CN"/>
        </w:rPr>
        <w:t>，</w:t>
      </w:r>
      <w:r>
        <w:rPr>
          <w:rFonts w:hint="eastAsia" w:ascii="仿宋_GB2312" w:eastAsia="仿宋_GB2312"/>
          <w:sz w:val="28"/>
          <w:szCs w:val="28"/>
        </w:rPr>
        <w:t>2024年度决68.96万元，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107.16</w:t>
      </w:r>
      <w:r>
        <w:rPr>
          <w:rFonts w:hint="eastAsia" w:ascii="仿宋_GB2312" w:eastAsia="仿宋_GB2312"/>
          <w:sz w:val="28"/>
          <w:szCs w:val="28"/>
        </w:rPr>
        <w:t>%。主要原因：医疗保险基数调标、公务员医疗补助基数调标。</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4.“住房保障支出”(类)2024年度年初预算0万元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2024年度决算56.27万元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“住房改革支出”（款）2024年度年初预算0万元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2024年度决算56.27万元，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%。主要原因：2024年初归集调入住房补贴</w:t>
      </w:r>
      <w:r>
        <w:rPr>
          <w:rFonts w:hint="eastAsia" w:ascii="仿宋_GB2312" w:eastAsia="仿宋_GB2312"/>
          <w:sz w:val="28"/>
          <w:szCs w:val="28"/>
          <w:lang w:eastAsia="zh-CN"/>
        </w:rPr>
        <w:t>，未纳入年初预算，故增长变动较大</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本单位2024年度无国有资本经营预算财政拨款安排的支出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917.72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其他社会保障缴费、其他工资福利等支出；（2）商品和服务支出包括办公费、手续费、水费、电费、邮电费、取暖费、差旅费、维修（护）费、培训费、福利费、公务用车运行维护费等支出；（3）对个人和家庭补助支出包括退休费等支出。</w:t>
      </w: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2.77</w:t>
      </w:r>
      <w:r>
        <w:rPr>
          <w:rFonts w:hint="eastAsia" w:ascii="仿宋_GB2312" w:eastAsia="仿宋_GB2312"/>
          <w:sz w:val="28"/>
          <w:szCs w:val="28"/>
        </w:rPr>
        <w:t>万元减少2.37万元。其中：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年度年初预算数0.07万元减少0.07万元。主要原因：本单位202</w:t>
      </w:r>
      <w:r>
        <w:rPr>
          <w:rFonts w:hint="eastAsia" w:ascii="仿宋_GB2312" w:eastAsia="仿宋_GB2312"/>
          <w:sz w:val="28"/>
          <w:szCs w:val="28"/>
          <w:lang w:val="en-US" w:eastAsia="zh-CN"/>
        </w:rPr>
        <w:t>4</w:t>
      </w:r>
      <w:r>
        <w:rPr>
          <w:rFonts w:hint="eastAsia" w:ascii="仿宋_GB2312" w:eastAsia="仿宋_GB2312"/>
          <w:sz w:val="28"/>
          <w:szCs w:val="28"/>
        </w:rPr>
        <w:t>年度无公务接待费支出。2024年度公务接待费主要用于公务接待事项。公务接待0批次，公务接待0人次</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年度决算数0.40万元，比202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年度年初预算数2.77万元减少2.37万元。其中，公务用车购置费202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万元，主要原因：本单位2024年度无公务用车购置费支出，202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年度决算数0.40万元，主要原因：严格执行公务用车管理规定，通过执行相关规定和厉行节约，成功降低了公务用车运行维护费。</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0.36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万元，政府采购服务支出0.36万元。授予中小企业合同金额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12月31日，北京市大兴区佟馨幼儿园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7.教育支出(类)普通教育(款)学前教育(项):反映各部门举办的学前教育支出。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8.社会保障和就业支出(类)行政事业单位养老支出(款)事业单位离退休(项):反映事业单位开支的离退休经费。</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11.卫生健康支出(类)行政事业单位医疗(款)事业单位医疗(项):反映财政部门安排的事业单位基本医疗保险缴费经费，未参加医疗保险的事业单位的公费医疗经费，按国家规定享受离退休人员待遇的医疗经费。</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13.住房保障支出（类）住房改革支出（款）购房补贴（项）：反应按房改政策规定，行政事业单位向符合条件职工（含离退休人员）、军队（含武警）向转役复员离退休人员发放的用于购买住房的补贴。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865B1"/>
    <w:rsid w:val="02F120AB"/>
    <w:rsid w:val="032B5196"/>
    <w:rsid w:val="03E6239F"/>
    <w:rsid w:val="04C3537C"/>
    <w:rsid w:val="079004AC"/>
    <w:rsid w:val="08440C9B"/>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BD9062D"/>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B7E4848"/>
    <w:rsid w:val="71691990"/>
    <w:rsid w:val="71793A80"/>
    <w:rsid w:val="7357290B"/>
    <w:rsid w:val="756E3DEA"/>
    <w:rsid w:val="76FB1693"/>
    <w:rsid w:val="77317892"/>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 w:type="character" w:customStyle="1" w:styleId="21">
    <w:name w:val="font61"/>
    <w:basedOn w:val="11"/>
    <w:qFormat/>
    <w:uiPriority w:val="0"/>
    <w:rPr>
      <w:rFonts w:hint="eastAsia" w:ascii="宋体" w:hAnsi="宋体" w:eastAsia="宋体" w:cs="宋体"/>
      <w:color w:val="000000"/>
      <w:sz w:val="13"/>
      <w:szCs w:val="13"/>
      <w:u w:val="none"/>
    </w:rPr>
  </w:style>
  <w:style w:type="character" w:customStyle="1" w:styleId="22">
    <w:name w:val="font5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1177.56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917.72</c:v>
                </c:pt>
                <c:pt idx="1">
                  <c:v>320.75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3844</Words>
  <Characters>4437</Characters>
  <Lines>44</Lines>
  <Paragraphs>12</Paragraphs>
  <TotalTime>0</TotalTime>
  <ScaleCrop>false</ScaleCrop>
  <LinksUpToDate>false</LinksUpToDate>
  <CharactersWithSpaces>4462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2025-11-06T08:19:37Z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eyJoZGlkIjoiYzc0Zjk4YzI4NzA4MzE2ZmEzMjJlYzA0NjlhMjRlYzUiLCJ1c2VySWQiOiI0MTk3OTg4MzkifQ==</vt:lpwstr>
  </property>
</Properties>
</file>