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rFonts w:hint="eastAsia" w:ascii="仿宋_GB2312" w:eastAsia="仿宋_GB2312"/>
          <w:b w:val="0"/>
          <w:bCs w:val="0"/>
          <w:sz w:val="28"/>
          <w:szCs w:val="28"/>
        </w:r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rPr>
          <w:rFonts w:hint="eastAsia" w:ascii="仿宋_GB2312" w:eastAsia="仿宋_GB2312"/>
          <w:b w:val="0"/>
          <w:bCs w:val="0"/>
          <w:sz w:val="28"/>
          <w:szCs w:val="28"/>
        </w:rPr>
      </w:pPr>
    </w:p>
    <w:p>
      <w:pPr>
        <w:pStyle w:val="2"/>
        <w:rPr>
          <w:rFonts w:hint="eastAsia" w:ascii="仿宋_GB2312" w:eastAsia="仿宋_GB2312"/>
          <w:b w:val="0"/>
          <w:bCs w:val="0"/>
          <w:sz w:val="28"/>
          <w:szCs w:val="28"/>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一、单位基本情况</w:t>
      </w:r>
    </w:p>
    <w:p>
      <w:pPr>
        <w:snapToGrid w:val="0"/>
        <w:spacing w:line="360" w:lineRule="auto"/>
        <w:ind w:left="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eastAsia="zh-CN"/>
        </w:rPr>
        <w:t>主要职能：</w:t>
      </w:r>
      <w:r>
        <w:rPr>
          <w:rFonts w:hint="eastAsia" w:ascii="仿宋_GB2312" w:hAnsi="仿宋_GB2312" w:eastAsia="仿宋_GB2312" w:cs="仿宋_GB2312"/>
          <w:kern w:val="0"/>
          <w:sz w:val="28"/>
          <w:szCs w:val="28"/>
          <w:highlight w:val="none"/>
          <w:lang w:eastAsia="zh-CN"/>
        </w:rPr>
        <w:t>实施学前教育，促基础教育发展，</w:t>
      </w:r>
      <w:r>
        <w:rPr>
          <w:rFonts w:hint="eastAsia" w:ascii="仿宋_GB2312" w:hAnsi="仿宋_GB2312" w:eastAsia="仿宋_GB2312" w:cs="仿宋_GB2312"/>
          <w:kern w:val="0"/>
          <w:sz w:val="28"/>
          <w:szCs w:val="28"/>
          <w:highlight w:val="none"/>
        </w:rPr>
        <w:t>为本地学龄前儿童提供优质的保育教育服务</w:t>
      </w:r>
      <w:r>
        <w:rPr>
          <w:rFonts w:hint="eastAsia" w:ascii="仿宋_GB2312" w:hAnsi="仿宋_GB2312" w:eastAsia="仿宋_GB2312" w:cs="仿宋_GB2312"/>
          <w:sz w:val="28"/>
          <w:szCs w:val="28"/>
        </w:rPr>
        <w:t>。</w:t>
      </w:r>
    </w:p>
    <w:p>
      <w:pPr>
        <w:snapToGrid w:val="0"/>
        <w:spacing w:line="360" w:lineRule="auto"/>
        <w:ind w:left="0" w:leftChars="0"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2．机构情况</w:t>
      </w:r>
      <w:r>
        <w:rPr>
          <w:rFonts w:hint="eastAsia" w:ascii="仿宋_GB2312" w:hAnsi="仿宋_GB2312" w:eastAsia="仿宋_GB2312" w:cs="仿宋_GB2312"/>
          <w:sz w:val="28"/>
          <w:szCs w:val="28"/>
          <w:lang w:eastAsia="zh-CN"/>
        </w:rPr>
        <w:t>：设有一个机构。大兴区礼贤新航城幼儿园共设有</w:t>
      </w:r>
      <w:r>
        <w:rPr>
          <w:rFonts w:hint="eastAsia" w:ascii="仿宋_GB2312" w:hAnsi="仿宋_GB2312" w:eastAsia="仿宋_GB2312" w:cs="仿宋_GB2312"/>
          <w:sz w:val="28"/>
          <w:szCs w:val="28"/>
          <w:lang w:val="en-US" w:eastAsia="zh-CN"/>
        </w:rPr>
        <w:t>9个部门，即园长室、保教处、办公室、总务处、工会、财务室、保健室、安保室、党支部等部门。</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1226.06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75.43</w:t>
      </w:r>
      <w:r>
        <w:rPr>
          <w:rFonts w:hint="eastAsia" w:ascii="仿宋_GB2312" w:eastAsia="仿宋_GB2312"/>
          <w:sz w:val="28"/>
          <w:szCs w:val="28"/>
        </w:rPr>
        <w:t>万元，下降</w:t>
      </w:r>
      <w:r>
        <w:rPr>
          <w:rFonts w:hint="eastAsia" w:ascii="仿宋_GB2312" w:eastAsia="仿宋_GB2312"/>
          <w:sz w:val="28"/>
          <w:szCs w:val="28"/>
          <w:lang w:val="en-US" w:eastAsia="zh-CN"/>
        </w:rPr>
        <w:t>5.8</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1184.06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111.15</w:t>
      </w:r>
      <w:r>
        <w:rPr>
          <w:rFonts w:hint="eastAsia" w:ascii="仿宋_GB2312" w:eastAsia="仿宋_GB2312"/>
          <w:sz w:val="28"/>
          <w:szCs w:val="28"/>
        </w:rPr>
        <w:t>万元，下降</w:t>
      </w:r>
      <w:r>
        <w:rPr>
          <w:rFonts w:hint="eastAsia" w:ascii="仿宋_GB2312" w:eastAsia="仿宋_GB2312"/>
          <w:sz w:val="28"/>
          <w:szCs w:val="28"/>
          <w:lang w:val="en-US" w:eastAsia="zh-CN"/>
        </w:rPr>
        <w:t>8.58</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1184.06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1184.06</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1226.06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75.43</w:t>
      </w:r>
      <w:r>
        <w:rPr>
          <w:rFonts w:hint="eastAsia" w:ascii="仿宋_GB2312" w:eastAsia="仿宋_GB2312"/>
          <w:sz w:val="28"/>
          <w:szCs w:val="28"/>
        </w:rPr>
        <w:t>万元，下降</w:t>
      </w:r>
      <w:r>
        <w:rPr>
          <w:rFonts w:hint="eastAsia" w:ascii="仿宋_GB2312" w:eastAsia="仿宋_GB2312"/>
          <w:sz w:val="28"/>
          <w:szCs w:val="28"/>
          <w:lang w:val="en-US" w:eastAsia="zh-CN"/>
        </w:rPr>
        <w:t>5.8</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783.01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63.86</w:t>
      </w:r>
      <w:r>
        <w:rPr>
          <w:rFonts w:hint="eastAsia" w:ascii="仿宋_GB2312" w:eastAsia="仿宋_GB2312"/>
          <w:sz w:val="28"/>
          <w:szCs w:val="28"/>
          <w:highlight w:val="none"/>
        </w:rPr>
        <w:t>%；项目支出</w:t>
      </w:r>
      <w:r>
        <w:rPr>
          <w:rFonts w:ascii="仿宋_GB2312" w:eastAsia="仿宋_GB2312"/>
          <w:sz w:val="28"/>
          <w:szCs w:val="28"/>
          <w:highlight w:val="none"/>
        </w:rPr>
        <w:t>443.05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36.14</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highlight w:val="none"/>
        </w:rPr>
      </w:pPr>
      <w:r>
        <w:rPr>
          <w:highlight w:val="none"/>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48" w:firstLineChars="196"/>
        <w:rPr>
          <w:rFonts w:hint="eastAsia" w:ascii="黑体" w:eastAsia="黑体"/>
          <w:b/>
          <w:sz w:val="28"/>
          <w:szCs w:val="28"/>
          <w:highlight w:val="none"/>
        </w:rPr>
      </w:pPr>
      <w:bookmarkStart w:id="0" w:name="_GoBack"/>
      <w:bookmarkEnd w:id="0"/>
      <w:r>
        <w:rPr>
          <w:rFonts w:hint="eastAsia" w:ascii="黑体" w:eastAsia="黑体"/>
          <w:b/>
          <w:sz w:val="28"/>
          <w:szCs w:val="28"/>
          <w:highlight w:val="none"/>
        </w:rPr>
        <w:t>三</w:t>
      </w:r>
      <w:r>
        <w:rPr>
          <w:rFonts w:ascii="黑体" w:eastAsia="黑体"/>
          <w:b/>
          <w:sz w:val="28"/>
          <w:szCs w:val="28"/>
          <w:highlight w:val="none"/>
        </w:rPr>
        <w:t>、财政拨款</w:t>
      </w:r>
      <w:r>
        <w:rPr>
          <w:rFonts w:hint="eastAsia" w:ascii="黑体" w:eastAsia="黑体"/>
          <w:b/>
          <w:sz w:val="28"/>
          <w:szCs w:val="28"/>
          <w:highlight w:val="none"/>
        </w:rPr>
        <w:t>收入支出决算</w:t>
      </w:r>
      <w:r>
        <w:rPr>
          <w:rFonts w:ascii="黑体" w:eastAsia="黑体"/>
          <w:b/>
          <w:sz w:val="28"/>
          <w:szCs w:val="28"/>
          <w:highlight w:val="none"/>
        </w:rPr>
        <w:t>总体情况说明</w:t>
      </w:r>
    </w:p>
    <w:p>
      <w:pPr>
        <w:tabs>
          <w:tab w:val="center" w:pos="6979"/>
        </w:tabs>
        <w:spacing w:line="580" w:lineRule="exact"/>
        <w:ind w:firstLine="570"/>
        <w:rPr>
          <w:rFonts w:hint="default" w:ascii="仿宋_GB2312" w:eastAsia="仿宋_GB2312"/>
          <w:sz w:val="28"/>
          <w:szCs w:val="28"/>
          <w:highlight w:val="none"/>
          <w:lang w:val="en-US" w:eastAsia="zh-CN"/>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年度财政拨款收、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1226.06</w:t>
      </w:r>
      <w:r>
        <w:rPr>
          <w:rFonts w:hint="eastAsia" w:ascii="仿宋_GB2312" w:eastAsia="仿宋_GB2312"/>
          <w:sz w:val="28"/>
          <w:szCs w:val="28"/>
          <w:highlight w:val="none"/>
        </w:rPr>
        <w:t>万元，比上年减少</w:t>
      </w:r>
      <w:r>
        <w:rPr>
          <w:rFonts w:hint="eastAsia" w:ascii="仿宋_GB2312" w:eastAsia="仿宋_GB2312"/>
          <w:sz w:val="28"/>
          <w:szCs w:val="28"/>
          <w:highlight w:val="none"/>
          <w:lang w:val="en-US" w:eastAsia="zh-CN"/>
        </w:rPr>
        <w:t>75.43</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5.8</w:t>
      </w:r>
      <w:r>
        <w:rPr>
          <w:rFonts w:hint="eastAsia" w:ascii="仿宋_GB2312" w:eastAsia="仿宋_GB2312"/>
          <w:sz w:val="28"/>
          <w:szCs w:val="28"/>
          <w:highlight w:val="none"/>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1226.06</w:t>
      </w:r>
      <w:r>
        <w:rPr>
          <w:rFonts w:hint="eastAsia" w:ascii="仿宋_GB2312" w:eastAsia="仿宋_GB2312"/>
          <w:sz w:val="28"/>
          <w:szCs w:val="28"/>
        </w:rPr>
        <w:t>万元，主要用于以下方面（按大类）：</w:t>
      </w:r>
      <w:r>
        <w:rPr>
          <w:rFonts w:hint="eastAsia" w:ascii="仿宋_GB2312" w:eastAsia="仿宋_GB2312"/>
          <w:sz w:val="28"/>
          <w:szCs w:val="28"/>
          <w:highlight w:val="none"/>
          <w:lang w:eastAsia="zh-CN"/>
        </w:rPr>
        <w:t>教育支出</w:t>
      </w:r>
      <w:r>
        <w:rPr>
          <w:rFonts w:hint="eastAsia" w:ascii="仿宋_GB2312" w:eastAsia="仿宋_GB2312"/>
          <w:sz w:val="28"/>
          <w:szCs w:val="28"/>
          <w:highlight w:val="none"/>
          <w:lang w:val="en-US" w:eastAsia="zh-CN"/>
        </w:rPr>
        <w:t>1046.72万元，占本年财政拨款支出的85.37%；社会保障和就业支出79.73万元，占本年财政拨款支出的6.5%；卫生健康支出57.61万元，占本年财政拨款支出的4.7%；住房保障支出42.00万元，占本年财政拨款支出的3.43%</w:t>
      </w:r>
      <w:r>
        <w:rPr>
          <w:rFonts w:hint="eastAsia" w:ascii="仿宋_GB2312" w:eastAsia="仿宋_GB2312"/>
          <w:sz w:val="28"/>
          <w:szCs w:val="28"/>
        </w:rPr>
        <w:t>。</w:t>
      </w:r>
    </w:p>
    <w:p>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red"/>
          <w:lang w:eastAsia="zh-CN"/>
        </w:rPr>
      </w:pPr>
      <w:r>
        <w:rPr>
          <w:rFonts w:hint="eastAsia" w:ascii="仿宋_GB2312" w:eastAsia="仿宋_GB2312"/>
          <w:sz w:val="28"/>
          <w:szCs w:val="28"/>
        </w:rPr>
        <w:t>1、</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教育支出</w:t>
      </w:r>
      <w:r>
        <w:rPr>
          <w:rFonts w:hint="eastAsia" w:ascii="仿宋_GB2312" w:eastAsia="仿宋_GB2312"/>
          <w:sz w:val="28"/>
          <w:szCs w:val="28"/>
          <w:highlight w:val="none"/>
          <w:lang w:eastAsia="zh-CN"/>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1060.32万元，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1046.72</w:t>
      </w:r>
      <w:r>
        <w:rPr>
          <w:rFonts w:hint="eastAsia" w:ascii="仿宋_GB2312" w:eastAsia="仿宋_GB2312"/>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98.72</w:t>
      </w:r>
      <w:r>
        <w:rPr>
          <w:rFonts w:hint="eastAsia" w:ascii="仿宋_GB2312" w:eastAsia="仿宋_GB2312"/>
          <w:sz w:val="28"/>
          <w:szCs w:val="28"/>
        </w:rPr>
        <w:t>%。</w:t>
      </w:r>
      <w:r>
        <w:rPr>
          <w:rFonts w:hint="eastAsia" w:ascii="仿宋_GB2312" w:eastAsia="仿宋_GB2312"/>
          <w:sz w:val="28"/>
          <w:szCs w:val="28"/>
          <w:highlight w:val="none"/>
          <w:lang w:eastAsia="zh-CN"/>
        </w:rPr>
        <w:t>其中：“普通教育”（款）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1060.32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1046.72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98.72</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是</w:t>
      </w:r>
      <w:r>
        <w:rPr>
          <w:rFonts w:hint="eastAsia" w:ascii="仿宋_GB2312" w:eastAsia="仿宋_GB2312"/>
          <w:sz w:val="28"/>
          <w:szCs w:val="28"/>
          <w:highlight w:val="none"/>
          <w:lang w:val="en-US" w:eastAsia="zh-CN"/>
        </w:rPr>
        <w:t>临时辅助用工人员减少，相应人员经费支出减少，导致支出决算数未达年初预算</w:t>
      </w:r>
      <w:r>
        <w:rPr>
          <w:rFonts w:hint="eastAsia" w:ascii="仿宋_GB2312" w:eastAsia="仿宋_GB2312"/>
          <w:sz w:val="28"/>
          <w:szCs w:val="28"/>
          <w:highlight w:val="none"/>
          <w:lang w:eastAsia="zh-CN"/>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eastAsia="zh-CN"/>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75.07万元，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79.73</w:t>
      </w:r>
      <w:r>
        <w:rPr>
          <w:rFonts w:hint="eastAsia" w:ascii="仿宋_GB2312" w:eastAsia="仿宋_GB2312"/>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106.21</w:t>
      </w:r>
      <w:r>
        <w:rPr>
          <w:rFonts w:hint="eastAsia" w:ascii="仿宋_GB2312" w:eastAsia="仿宋_GB2312"/>
          <w:sz w:val="28"/>
          <w:szCs w:val="28"/>
        </w:rPr>
        <w:t>%</w:t>
      </w:r>
      <w:r>
        <w:rPr>
          <w:rFonts w:hint="eastAsia" w:ascii="仿宋_GB2312" w:eastAsia="仿宋_GB2312"/>
          <w:sz w:val="28"/>
          <w:szCs w:val="28"/>
          <w:highlight w:val="none"/>
        </w:rPr>
        <w:t>。</w:t>
      </w:r>
    </w:p>
    <w:p>
      <w:pPr>
        <w:spacing w:line="580" w:lineRule="exact"/>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其中：“行政事业单位养老支出”（款）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75.07万元，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79.73</w:t>
      </w:r>
      <w:r>
        <w:rPr>
          <w:rFonts w:hint="eastAsia" w:ascii="仿宋_GB2312" w:eastAsia="仿宋_GB2312"/>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106.21</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是202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w:t>
      </w:r>
      <w:r>
        <w:rPr>
          <w:rFonts w:hint="eastAsia" w:ascii="仿宋_GB2312" w:eastAsia="仿宋_GB2312"/>
          <w:sz w:val="28"/>
          <w:szCs w:val="28"/>
          <w:highlight w:val="none"/>
          <w:lang w:eastAsia="zh-CN"/>
        </w:rPr>
        <w:t>养老保险基数、职业年金</w:t>
      </w:r>
      <w:r>
        <w:rPr>
          <w:rFonts w:hint="eastAsia" w:ascii="仿宋_GB2312" w:eastAsia="仿宋_GB2312"/>
          <w:sz w:val="28"/>
          <w:szCs w:val="28"/>
          <w:highlight w:val="none"/>
        </w:rPr>
        <w:t>基数</w:t>
      </w:r>
      <w:r>
        <w:rPr>
          <w:rFonts w:hint="eastAsia" w:ascii="仿宋_GB2312" w:eastAsia="仿宋_GB2312"/>
          <w:sz w:val="28"/>
          <w:szCs w:val="28"/>
          <w:highlight w:val="none"/>
          <w:lang w:val="en-US" w:eastAsia="zh-CN"/>
        </w:rPr>
        <w:t>均进行</w:t>
      </w:r>
      <w:r>
        <w:rPr>
          <w:rFonts w:hint="eastAsia" w:ascii="仿宋_GB2312" w:eastAsia="仿宋_GB2312"/>
          <w:sz w:val="28"/>
          <w:szCs w:val="28"/>
          <w:highlight w:val="none"/>
        </w:rPr>
        <w:t>调</w:t>
      </w:r>
      <w:r>
        <w:rPr>
          <w:rFonts w:hint="eastAsia" w:ascii="仿宋_GB2312" w:eastAsia="仿宋_GB2312"/>
          <w:sz w:val="28"/>
          <w:szCs w:val="28"/>
          <w:highlight w:val="none"/>
          <w:lang w:eastAsia="zh-CN"/>
        </w:rPr>
        <w:t>标，</w:t>
      </w:r>
      <w:r>
        <w:rPr>
          <w:rFonts w:hint="eastAsia" w:ascii="仿宋_GB2312" w:eastAsia="仿宋_GB2312"/>
          <w:sz w:val="28"/>
          <w:szCs w:val="28"/>
          <w:highlight w:val="none"/>
          <w:lang w:val="en-US" w:eastAsia="zh-CN"/>
        </w:rPr>
        <w:t>导致相应社保缴费支出增加，该类支出决算数超出年初预算</w:t>
      </w:r>
      <w:r>
        <w:rPr>
          <w:rFonts w:hint="eastAsia" w:ascii="仿宋_GB2312" w:eastAsia="仿宋_GB2312"/>
          <w:sz w:val="28"/>
          <w:szCs w:val="28"/>
          <w:highlight w:val="none"/>
          <w:lang w:eastAsia="zh-CN"/>
        </w:rPr>
        <w:t>。</w:t>
      </w:r>
    </w:p>
    <w:p>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卫生健康支出</w:t>
      </w:r>
      <w:r>
        <w:rPr>
          <w:rFonts w:hint="eastAsia" w:ascii="仿宋_GB2312" w:eastAsia="仿宋_GB2312"/>
          <w:sz w:val="28"/>
          <w:szCs w:val="28"/>
          <w:highlight w:val="none"/>
          <w:lang w:eastAsia="zh-CN"/>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55.09万元，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57.61</w:t>
      </w:r>
      <w:r>
        <w:rPr>
          <w:rFonts w:hint="eastAsia" w:ascii="仿宋_GB2312" w:eastAsia="仿宋_GB2312"/>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104.57</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spacing w:line="580" w:lineRule="exact"/>
        <w:rPr>
          <w:rFonts w:hint="eastAsia" w:ascii="仿宋_GB2312" w:hAnsi="文星标宋" w:eastAsia="仿宋_GB2312" w:cs="宋体"/>
          <w:bCs/>
          <w:kern w:val="0"/>
          <w:sz w:val="28"/>
          <w:szCs w:val="28"/>
          <w:highlight w:val="none"/>
        </w:rPr>
      </w:pPr>
      <w:r>
        <w:rPr>
          <w:rFonts w:hint="eastAsia" w:ascii="仿宋_GB2312" w:eastAsia="仿宋_GB2312"/>
          <w:sz w:val="28"/>
          <w:szCs w:val="28"/>
          <w:highlight w:val="none"/>
          <w:lang w:eastAsia="zh-CN"/>
        </w:rPr>
        <w:t>其中：“行政事业单位医疗”（款）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55.09万元，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57.61</w:t>
      </w:r>
      <w:r>
        <w:rPr>
          <w:rFonts w:hint="eastAsia" w:ascii="仿宋_GB2312" w:eastAsia="仿宋_GB2312"/>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104.57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是202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w:t>
      </w:r>
      <w:r>
        <w:rPr>
          <w:rFonts w:hint="eastAsia" w:ascii="仿宋_GB2312" w:eastAsia="仿宋_GB2312"/>
          <w:sz w:val="28"/>
          <w:szCs w:val="28"/>
          <w:highlight w:val="none"/>
          <w:lang w:eastAsia="zh-CN"/>
        </w:rPr>
        <w:t>医疗保险基数、公务员医疗补助基数</w:t>
      </w:r>
      <w:r>
        <w:rPr>
          <w:rFonts w:hint="eastAsia" w:ascii="仿宋_GB2312" w:eastAsia="仿宋_GB2312"/>
          <w:sz w:val="28"/>
          <w:szCs w:val="28"/>
          <w:highlight w:val="none"/>
          <w:lang w:val="en-US" w:eastAsia="zh-CN"/>
        </w:rPr>
        <w:t>均进行</w:t>
      </w:r>
      <w:r>
        <w:rPr>
          <w:rFonts w:hint="eastAsia" w:ascii="仿宋_GB2312" w:eastAsia="仿宋_GB2312"/>
          <w:sz w:val="28"/>
          <w:szCs w:val="28"/>
          <w:highlight w:val="none"/>
          <w:lang w:eastAsia="zh-CN"/>
        </w:rPr>
        <w:t>调标，</w:t>
      </w:r>
      <w:r>
        <w:rPr>
          <w:rFonts w:hint="eastAsia" w:ascii="仿宋_GB2312" w:eastAsia="仿宋_GB2312"/>
          <w:sz w:val="28"/>
          <w:szCs w:val="28"/>
          <w:highlight w:val="none"/>
          <w:lang w:val="en-US" w:eastAsia="zh-CN"/>
        </w:rPr>
        <w:t>导致相应医疗缴费支出增加，该类支出决算数较年初预算上升</w:t>
      </w:r>
      <w:r>
        <w:rPr>
          <w:rFonts w:hint="eastAsia" w:ascii="仿宋_GB2312" w:eastAsia="仿宋_GB2312"/>
          <w:sz w:val="28"/>
          <w:szCs w:val="28"/>
          <w:highlight w:val="none"/>
        </w:rPr>
        <w:t>。</w:t>
      </w:r>
    </w:p>
    <w:p>
      <w:pPr>
        <w:numPr>
          <w:ilvl w:val="0"/>
          <w:numId w:val="0"/>
        </w:num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4、“住房保障</w:t>
      </w:r>
      <w:r>
        <w:rPr>
          <w:rFonts w:hint="eastAsia" w:ascii="仿宋_GB2312" w:eastAsia="仿宋_GB2312"/>
          <w:sz w:val="28"/>
          <w:szCs w:val="28"/>
          <w:highlight w:val="none"/>
        </w:rPr>
        <w:t>支出</w:t>
      </w:r>
      <w:r>
        <w:rPr>
          <w:rFonts w:hint="eastAsia" w:ascii="仿宋_GB2312" w:eastAsia="仿宋_GB2312"/>
          <w:sz w:val="28"/>
          <w:szCs w:val="28"/>
          <w:highlight w:val="none"/>
          <w:lang w:eastAsia="zh-CN"/>
        </w:rPr>
        <w:t>”（类）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0万元，年初财政拨款结转和结余42万元，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42</w:t>
      </w:r>
      <w:r>
        <w:rPr>
          <w:rFonts w:hint="eastAsia" w:ascii="仿宋_GB2312" w:eastAsia="仿宋_GB2312"/>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highlight w:val="none"/>
          <w:lang w:eastAsia="zh-CN"/>
        </w:rPr>
        <w:t>。其中：“</w:t>
      </w:r>
      <w:r>
        <w:rPr>
          <w:rFonts w:hint="eastAsia" w:ascii="仿宋_GB2312" w:eastAsia="仿宋_GB2312"/>
          <w:sz w:val="28"/>
          <w:szCs w:val="28"/>
          <w:highlight w:val="none"/>
          <w:lang w:val="en-US" w:eastAsia="zh-CN"/>
        </w:rPr>
        <w:t>住房改革支出</w:t>
      </w:r>
      <w:r>
        <w:rPr>
          <w:rFonts w:hint="eastAsia" w:ascii="仿宋_GB2312" w:eastAsia="仿宋_GB2312"/>
          <w:sz w:val="28"/>
          <w:szCs w:val="28"/>
          <w:highlight w:val="none"/>
          <w:lang w:eastAsia="zh-CN"/>
        </w:rPr>
        <w:t>”（款）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0万元，年初财政拨款结转和结余42万元，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42</w:t>
      </w:r>
      <w:r>
        <w:rPr>
          <w:rFonts w:hint="eastAsia" w:ascii="仿宋_GB2312" w:eastAsia="仿宋_GB2312"/>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是202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w:t>
      </w:r>
      <w:r>
        <w:rPr>
          <w:rFonts w:hint="eastAsia" w:ascii="仿宋_GB2312" w:eastAsia="仿宋_GB2312"/>
          <w:sz w:val="28"/>
          <w:szCs w:val="28"/>
          <w:highlight w:val="none"/>
          <w:lang w:val="en-US" w:eastAsia="zh-CN"/>
        </w:rPr>
        <w:t>使用年初结转和结余资金发放第三批住房补贴。</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numPr>
          <w:ilvl w:val="0"/>
          <w:numId w:val="0"/>
        </w:num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本</w:t>
      </w:r>
      <w:r>
        <w:rPr>
          <w:rFonts w:hint="eastAsia" w:ascii="仿宋_GB2312" w:eastAsia="仿宋_GB2312"/>
          <w:sz w:val="28"/>
          <w:szCs w:val="28"/>
        </w:rPr>
        <w:t>单位2024年度无政府性基金预算财政拨款安排的支出</w:t>
      </w:r>
      <w:r>
        <w:rPr>
          <w:rFonts w:hint="eastAsia" w:ascii="仿宋_GB2312" w:eastAsia="仿宋_GB2312"/>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w:t>
      </w:r>
      <w:r>
        <w:rPr>
          <w:rFonts w:hint="eastAsia" w:ascii="仿宋_GB2312" w:eastAsia="仿宋_GB2312"/>
          <w:sz w:val="28"/>
          <w:szCs w:val="28"/>
          <w:lang w:val="en-US" w:eastAsia="zh-CN"/>
        </w:rPr>
        <w:t>2024年度</w:t>
      </w:r>
      <w:r>
        <w:rPr>
          <w:rFonts w:hint="eastAsia" w:ascii="仿宋_GB2312" w:eastAsia="仿宋_GB2312"/>
          <w:sz w:val="28"/>
          <w:szCs w:val="28"/>
        </w:rPr>
        <w:t>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default" w:ascii="黑体" w:eastAsia="黑体"/>
          <w:sz w:val="28"/>
          <w:szCs w:val="28"/>
          <w:highlight w:val="none"/>
          <w:lang w:val="en-US" w:eastAsia="zh-CN"/>
        </w:rPr>
      </w:pPr>
      <w:r>
        <w:rPr>
          <w:rFonts w:hint="eastAsia" w:ascii="黑体" w:eastAsia="黑体"/>
          <w:b/>
          <w:sz w:val="28"/>
          <w:szCs w:val="28"/>
          <w:highlight w:val="none"/>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783.01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highlight w:val="none"/>
          <w:lang w:val="en-US" w:eastAsia="zh-CN"/>
        </w:rPr>
        <w:t>机关事业单位基本养老保险缴费、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val="en-US" w:eastAsia="zh-CN"/>
        </w:rPr>
        <w:t>住房公积金</w:t>
      </w:r>
      <w:r>
        <w:rPr>
          <w:rFonts w:hint="eastAsia" w:ascii="仿宋_GB2312" w:eastAsia="仿宋_GB2312"/>
          <w:sz w:val="28"/>
          <w:szCs w:val="28"/>
        </w:rPr>
        <w:t>；（</w:t>
      </w:r>
      <w:r>
        <w:rPr>
          <w:rFonts w:hint="eastAsia" w:ascii="仿宋_GB2312" w:eastAsia="仿宋_GB2312"/>
          <w:sz w:val="28"/>
          <w:szCs w:val="28"/>
          <w:lang w:val="en-US" w:eastAsia="zh-CN"/>
        </w:rPr>
        <w:t>2</w:t>
      </w:r>
      <w:r>
        <w:rPr>
          <w:rFonts w:hint="eastAsia" w:ascii="仿宋_GB2312" w:eastAsia="仿宋_GB2312"/>
          <w:sz w:val="28"/>
          <w:szCs w:val="28"/>
        </w:rPr>
        <w:t>）商品和服务支出包括</w:t>
      </w:r>
      <w:r>
        <w:rPr>
          <w:rFonts w:ascii="仿宋_GB2312" w:eastAsia="仿宋_GB2312"/>
          <w:sz w:val="28"/>
          <w:szCs w:val="28"/>
        </w:rPr>
        <w:t>办公费、水费、电费、邮电费、取暖费、物业管理费、差旅费、维修（护）费、培训费、福利费、公务用车运行维护费</w:t>
      </w:r>
      <w:r>
        <w:rPr>
          <w:rFonts w:hint="eastAsia" w:ascii="仿宋_GB2312" w:eastAsia="仿宋_GB2312"/>
          <w:sz w:val="28"/>
          <w:szCs w:val="28"/>
        </w:rPr>
        <w:t>；（</w:t>
      </w:r>
      <w:r>
        <w:rPr>
          <w:rFonts w:hint="eastAsia" w:ascii="仿宋_GB2312" w:eastAsia="仿宋_GB2312"/>
          <w:sz w:val="28"/>
          <w:szCs w:val="28"/>
          <w:lang w:val="en-US" w:eastAsia="zh-CN"/>
        </w:rPr>
        <w:t>3</w:t>
      </w:r>
      <w:r>
        <w:rPr>
          <w:rFonts w:hint="eastAsia" w:ascii="仿宋_GB2312" w:eastAsia="仿宋_GB2312"/>
          <w:sz w:val="28"/>
          <w:szCs w:val="28"/>
        </w:rPr>
        <w:t>）对个人和家庭补助支出包括</w:t>
      </w:r>
      <w:r>
        <w:rPr>
          <w:rFonts w:ascii="仿宋_GB2312" w:eastAsia="仿宋_GB2312"/>
          <w:sz w:val="28"/>
          <w:szCs w:val="28"/>
        </w:rPr>
        <w:t>奖励金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pPr>
        <w:autoSpaceDE w:val="0"/>
        <w:autoSpaceDN w:val="0"/>
        <w:adjustRightInd w:val="0"/>
        <w:spacing w:line="580" w:lineRule="exact"/>
        <w:jc w:val="both"/>
        <w:rPr>
          <w:rFonts w:hint="eastAsia" w:ascii="仿宋_GB2312" w:eastAsia="仿宋_GB2312"/>
          <w:b/>
          <w:sz w:val="32"/>
          <w:szCs w:val="32"/>
          <w:lang w:val="en-US" w:eastAsia="zh-CN"/>
        </w:rPr>
      </w:pPr>
      <w:r>
        <w:rPr>
          <w:rFonts w:ascii="仿宋_GB2312" w:eastAsia="仿宋_GB2312"/>
          <w:b/>
          <w:sz w:val="32"/>
          <w:szCs w:val="32"/>
        </w:rPr>
        <w:tab/>
      </w:r>
      <w:r>
        <w:rPr>
          <w:rFonts w:hint="eastAsia" w:ascii="仿宋_GB2312" w:eastAsia="仿宋_GB2312"/>
          <w:b/>
          <w:sz w:val="32"/>
          <w:szCs w:val="32"/>
          <w:lang w:val="en-US" w:eastAsia="zh-CN"/>
        </w:rPr>
        <w:t xml:space="preserve"> </w:t>
      </w:r>
    </w:p>
    <w:p>
      <w:pPr>
        <w:autoSpaceDE w:val="0"/>
        <w:autoSpaceDN w:val="0"/>
        <w:adjustRightInd w:val="0"/>
        <w:spacing w:line="580" w:lineRule="exact"/>
        <w:jc w:val="both"/>
        <w:rPr>
          <w:rFonts w:hint="eastAsia" w:ascii="仿宋_GB2312" w:eastAsia="仿宋_GB2312"/>
          <w:b/>
          <w:sz w:val="32"/>
          <w:szCs w:val="32"/>
          <w:lang w:val="en-US" w:eastAsia="zh-CN"/>
        </w:rPr>
      </w:pPr>
    </w:p>
    <w:p>
      <w:pPr>
        <w:autoSpaceDE w:val="0"/>
        <w:autoSpaceDN w:val="0"/>
        <w:adjustRightInd w:val="0"/>
        <w:spacing w:line="580" w:lineRule="exact"/>
        <w:jc w:val="both"/>
        <w:rPr>
          <w:rFonts w:hint="eastAsia" w:ascii="仿宋_GB2312" w:eastAsia="仿宋_GB2312"/>
          <w:b/>
          <w:sz w:val="32"/>
          <w:szCs w:val="32"/>
          <w:lang w:val="en-US" w:eastAsia="zh-CN"/>
        </w:rPr>
      </w:pPr>
    </w:p>
    <w:p>
      <w:pPr>
        <w:autoSpaceDE w:val="0"/>
        <w:autoSpaceDN w:val="0"/>
        <w:adjustRightInd w:val="0"/>
        <w:spacing w:line="580" w:lineRule="exact"/>
        <w:jc w:val="both"/>
        <w:rPr>
          <w:rFonts w:hint="eastAsia" w:ascii="仿宋_GB2312" w:eastAsia="仿宋_GB2312"/>
          <w:b/>
          <w:sz w:val="32"/>
          <w:szCs w:val="32"/>
          <w:lang w:val="en-US" w:eastAsia="zh-CN"/>
        </w:rPr>
      </w:pPr>
    </w:p>
    <w:p>
      <w:pPr>
        <w:autoSpaceDE w:val="0"/>
        <w:autoSpaceDN w:val="0"/>
        <w:adjustRightInd w:val="0"/>
        <w:spacing w:line="580" w:lineRule="exact"/>
        <w:jc w:val="both"/>
        <w:rPr>
          <w:rFonts w:hint="eastAsia" w:ascii="仿宋_GB2312" w:eastAsia="仿宋_GB2312"/>
          <w:b/>
          <w:sz w:val="32"/>
          <w:szCs w:val="32"/>
          <w:lang w:val="en-US" w:eastAsia="zh-CN"/>
        </w:rPr>
      </w:pPr>
    </w:p>
    <w:p>
      <w:pPr>
        <w:autoSpaceDE w:val="0"/>
        <w:autoSpaceDN w:val="0"/>
        <w:adjustRightInd w:val="0"/>
        <w:spacing w:line="580" w:lineRule="exact"/>
        <w:jc w:val="both"/>
        <w:rPr>
          <w:rFonts w:hint="eastAsia" w:ascii="仿宋_GB2312" w:eastAsia="仿宋_GB2312"/>
          <w:b/>
          <w:sz w:val="32"/>
          <w:szCs w:val="32"/>
          <w:lang w:val="en-US" w:eastAsia="zh-CN"/>
        </w:rPr>
      </w:pPr>
    </w:p>
    <w:p>
      <w:pPr>
        <w:autoSpaceDE w:val="0"/>
        <w:autoSpaceDN w:val="0"/>
        <w:adjustRightInd w:val="0"/>
        <w:spacing w:line="580" w:lineRule="exact"/>
        <w:jc w:val="both"/>
        <w:rPr>
          <w:rFonts w:hint="eastAsia" w:ascii="仿宋_GB2312" w:eastAsia="仿宋_GB2312"/>
          <w:b/>
          <w:sz w:val="32"/>
          <w:szCs w:val="32"/>
          <w:lang w:val="en-US" w:eastAsia="zh-CN"/>
        </w:rPr>
      </w:pPr>
    </w:p>
    <w:p>
      <w:pPr>
        <w:autoSpaceDE w:val="0"/>
        <w:autoSpaceDN w:val="0"/>
        <w:adjustRightInd w:val="0"/>
        <w:spacing w:line="580" w:lineRule="exact"/>
        <w:jc w:val="both"/>
        <w:rPr>
          <w:rFonts w:hint="eastAsia" w:ascii="仿宋_GB2312" w:eastAsia="仿宋_GB2312"/>
          <w:b/>
          <w:sz w:val="32"/>
          <w:szCs w:val="32"/>
          <w:lang w:val="en-US" w:eastAsia="zh-CN"/>
        </w:rPr>
      </w:pPr>
    </w:p>
    <w:p>
      <w:pPr>
        <w:autoSpaceDE w:val="0"/>
        <w:autoSpaceDN w:val="0"/>
        <w:adjustRightInd w:val="0"/>
        <w:spacing w:line="580" w:lineRule="exact"/>
        <w:jc w:val="both"/>
        <w:rPr>
          <w:rFonts w:ascii="仿宋_GB2312" w:eastAsia="仿宋_GB2312"/>
          <w:b/>
          <w:sz w:val="32"/>
          <w:szCs w:val="32"/>
        </w:rPr>
      </w:pPr>
    </w:p>
    <w:p>
      <w:pPr>
        <w:autoSpaceDE w:val="0"/>
        <w:autoSpaceDN w:val="0"/>
        <w:adjustRightInd w:val="0"/>
        <w:spacing w:line="580" w:lineRule="exact"/>
        <w:jc w:val="both"/>
        <w:rPr>
          <w:rFonts w:hint="eastAsia" w:ascii="仿宋_GB2312" w:eastAsia="仿宋_GB2312"/>
          <w:b/>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0.74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w:t>
      </w:r>
      <w:r>
        <w:rPr>
          <w:rFonts w:hint="eastAsia" w:ascii="仿宋_GB2312" w:eastAsia="仿宋_GB2312"/>
          <w:sz w:val="28"/>
          <w:szCs w:val="28"/>
          <w:lang w:val="en-US" w:eastAsia="zh-CN"/>
        </w:rPr>
        <w:t>0.74</w:t>
      </w:r>
      <w:r>
        <w:rPr>
          <w:rFonts w:hint="eastAsia" w:ascii="仿宋_GB2312" w:eastAsia="仿宋_GB2312"/>
          <w:sz w:val="28"/>
          <w:szCs w:val="28"/>
        </w:rPr>
        <w:t>万元。其中：</w:t>
      </w:r>
    </w:p>
    <w:p>
      <w:pPr>
        <w:spacing w:line="560" w:lineRule="exact"/>
        <w:ind w:firstLine="560" w:firstLineChars="200"/>
        <w:rPr>
          <w:rFonts w:hint="eastAsia" w:ascii="仿宋_GB2312" w:eastAsia="仿宋_GB2312"/>
          <w:color w:val="000000"/>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eastAsia="仿宋_GB2312"/>
          <w:sz w:val="28"/>
          <w:szCs w:val="28"/>
          <w:lang w:eastAsia="zh-CN"/>
        </w:rPr>
        <w:t>是</w:t>
      </w:r>
      <w:r>
        <w:rPr>
          <w:rFonts w:hint="eastAsia" w:ascii="仿宋_GB2312" w:eastAsia="仿宋_GB2312"/>
          <w:sz w:val="28"/>
          <w:szCs w:val="28"/>
        </w:rPr>
        <w:t>因公出国(境)费用根据年度出国审批情况作为追加项目管理，单位不做年初预算，本年也没有出国审批项目发生；202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年度因公出国(境)费用主要用于出国的会议、培训等事项，202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年度组织因公出国(境)团组0个、0人次。</w:t>
      </w:r>
    </w:p>
    <w:p>
      <w:pPr>
        <w:spacing w:line="560" w:lineRule="exact"/>
        <w:ind w:firstLine="600"/>
        <w:rPr>
          <w:rFonts w:hint="eastAsia" w:ascii="仿宋_GB2312" w:eastAsia="仿宋_GB2312"/>
          <w:sz w:val="28"/>
          <w:szCs w:val="28"/>
          <w:highlight w:val="red"/>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default" w:ascii="仿宋_GB2312" w:eastAsia="仿宋_GB2312"/>
          <w:sz w:val="28"/>
          <w:szCs w:val="28"/>
          <w:lang w:eastAsia="zh-CN"/>
        </w:rPr>
        <w:t>万</w:t>
      </w:r>
      <w:r>
        <w:rPr>
          <w:rFonts w:hint="eastAsia" w:ascii="仿宋_GB2312" w:eastAsia="仿宋_GB2312"/>
          <w:sz w:val="28"/>
          <w:szCs w:val="28"/>
        </w:rPr>
        <w:t>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eastAsia="仿宋_GB2312"/>
          <w:sz w:val="28"/>
          <w:szCs w:val="28"/>
          <w:lang w:eastAsia="zh-CN"/>
        </w:rPr>
        <w:t>本</w:t>
      </w:r>
      <w:r>
        <w:rPr>
          <w:rFonts w:hint="eastAsia" w:ascii="仿宋_GB2312" w:eastAsia="仿宋_GB2312"/>
          <w:sz w:val="28"/>
          <w:szCs w:val="28"/>
        </w:rPr>
        <w:t>年</w:t>
      </w:r>
      <w:r>
        <w:rPr>
          <w:rFonts w:hint="eastAsia" w:ascii="仿宋_GB2312" w:eastAsia="仿宋_GB2312"/>
          <w:sz w:val="28"/>
          <w:szCs w:val="28"/>
          <w:lang w:eastAsia="zh-CN"/>
        </w:rPr>
        <w:t>度无</w:t>
      </w:r>
      <w:r>
        <w:rPr>
          <w:rFonts w:hint="eastAsia" w:ascii="仿宋_GB2312" w:eastAsia="仿宋_GB2312"/>
          <w:sz w:val="28"/>
          <w:szCs w:val="28"/>
        </w:rPr>
        <w:t>公务接待</w:t>
      </w:r>
      <w:r>
        <w:rPr>
          <w:rFonts w:hint="eastAsia" w:ascii="仿宋_GB2312" w:eastAsia="仿宋_GB2312"/>
          <w:sz w:val="28"/>
          <w:szCs w:val="28"/>
          <w:lang w:eastAsia="zh-CN"/>
        </w:rPr>
        <w:t>支出</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2024年度公务接待费主要用于公务接待事项。</w:t>
      </w:r>
      <w:r>
        <w:rPr>
          <w:rFonts w:hint="eastAsia" w:ascii="仿宋_GB2312" w:eastAsia="仿宋_GB2312"/>
          <w:sz w:val="28"/>
          <w:szCs w:val="28"/>
          <w:highlight w:val="none"/>
        </w:rPr>
        <w:t>公务接待</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批次，公务接待</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0.74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0.74</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万元，主要原因：本年度</w:t>
      </w:r>
      <w:r>
        <w:rPr>
          <w:rFonts w:hint="eastAsia" w:ascii="仿宋_GB2312" w:eastAsia="仿宋_GB2312"/>
          <w:sz w:val="28"/>
          <w:szCs w:val="28"/>
          <w:lang w:eastAsia="zh-CN"/>
        </w:rPr>
        <w:t>新购车辆</w:t>
      </w:r>
      <w:r>
        <w:rPr>
          <w:rFonts w:hint="eastAsia" w:ascii="仿宋_GB2312" w:eastAsia="仿宋_GB2312"/>
          <w:sz w:val="28"/>
          <w:szCs w:val="28"/>
          <w:lang w:val="en-US" w:eastAsia="zh-CN"/>
        </w:rPr>
        <w:t>0</w:t>
      </w:r>
      <w:r>
        <w:rPr>
          <w:rFonts w:hint="eastAsia" w:ascii="仿宋_GB2312" w:eastAsia="仿宋_GB2312"/>
          <w:sz w:val="28"/>
          <w:szCs w:val="28"/>
        </w:rPr>
        <w:t>辆，202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0.74</w:t>
      </w:r>
      <w:r>
        <w:rPr>
          <w:rFonts w:hint="eastAsia" w:ascii="仿宋_GB2312" w:eastAsia="仿宋_GB2312"/>
          <w:sz w:val="28"/>
          <w:szCs w:val="28"/>
        </w:rPr>
        <w:t>万元，主要原因：</w:t>
      </w:r>
      <w:r>
        <w:rPr>
          <w:rFonts w:hint="eastAsia" w:ascii="仿宋_GB2312" w:eastAsia="仿宋_GB2312"/>
          <w:sz w:val="28"/>
          <w:szCs w:val="28"/>
          <w:lang w:eastAsia="zh-CN"/>
        </w:rPr>
        <w:t>原因是</w:t>
      </w:r>
      <w:r>
        <w:rPr>
          <w:rFonts w:hint="eastAsia" w:ascii="仿宋_GB2312" w:eastAsia="仿宋_GB2312"/>
          <w:sz w:val="28"/>
          <w:szCs w:val="28"/>
        </w:rPr>
        <w:t>严格落实公务用车使用规定，认真贯彻厉行节约反对浪费的有关要求，本着节俭高效的原则,进一步加强公务用车管理,减少费用支出。202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万元，比上年增加（减少）</w:t>
      </w:r>
      <w:r>
        <w:rPr>
          <w:rFonts w:hint="eastAsia" w:ascii="仿宋_GB2312" w:eastAsia="仿宋_GB2312"/>
          <w:sz w:val="28"/>
          <w:szCs w:val="28"/>
          <w:lang w:val="en-US" w:eastAsia="zh-CN"/>
        </w:rPr>
        <w:t>0</w:t>
      </w:r>
      <w:r>
        <w:rPr>
          <w:rFonts w:hint="eastAsia" w:ascii="仿宋_GB2312" w:eastAsia="仿宋_GB2312"/>
          <w:sz w:val="28"/>
          <w:szCs w:val="28"/>
        </w:rPr>
        <w:t>万元，增加（减少）原因：本单位不在机关运行经费统计范围之内。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highlight w:val="none"/>
          <w:lang w:eastAsia="zh-CN"/>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年度政府采购支出总额</w:t>
      </w:r>
      <w:r>
        <w:rPr>
          <w:rFonts w:ascii="仿宋_GB2312" w:eastAsia="仿宋_GB2312"/>
          <w:sz w:val="28"/>
          <w:szCs w:val="28"/>
          <w:highlight w:val="none"/>
        </w:rPr>
        <w:t>0.55</w:t>
      </w:r>
      <w:r>
        <w:rPr>
          <w:rFonts w:hint="eastAsia" w:ascii="仿宋_GB2312" w:eastAsia="仿宋_GB2312"/>
          <w:sz w:val="28"/>
          <w:szCs w:val="28"/>
          <w:highlight w:val="none"/>
        </w:rPr>
        <w:t>万元，其中：政府采购货物支出</w:t>
      </w:r>
      <w:r>
        <w:rPr>
          <w:rFonts w:hint="eastAsia" w:ascii="仿宋_GB2312" w:eastAsia="仿宋_GB2312"/>
          <w:sz w:val="28"/>
          <w:szCs w:val="28"/>
          <w:highlight w:val="none"/>
          <w:lang w:val="en-US" w:eastAsia="zh-CN"/>
        </w:rPr>
        <w:t>0.07</w:t>
      </w:r>
      <w:r>
        <w:rPr>
          <w:rFonts w:hint="eastAsia" w:ascii="仿宋_GB2312" w:eastAsia="仿宋_GB2312"/>
          <w:sz w:val="28"/>
          <w:szCs w:val="28"/>
          <w:highlight w:val="none"/>
        </w:rPr>
        <w:t>万元，政府采购工程支出</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万元，政府采购服务支出</w:t>
      </w:r>
      <w:r>
        <w:rPr>
          <w:rFonts w:hint="eastAsia" w:ascii="仿宋_GB2312" w:eastAsia="仿宋_GB2312"/>
          <w:sz w:val="28"/>
          <w:szCs w:val="28"/>
          <w:highlight w:val="none"/>
          <w:lang w:val="en-US" w:eastAsia="zh-CN"/>
        </w:rPr>
        <w:t>0.48</w:t>
      </w:r>
      <w:r>
        <w:rPr>
          <w:rFonts w:hint="eastAsia" w:ascii="仿宋_GB2312" w:eastAsia="仿宋_GB2312"/>
          <w:sz w:val="28"/>
          <w:szCs w:val="28"/>
          <w:highlight w:val="none"/>
        </w:rPr>
        <w:t>万元。授予中小企业合同金额</w:t>
      </w:r>
      <w:r>
        <w:rPr>
          <w:rFonts w:ascii="仿宋_GB2312" w:eastAsia="仿宋_GB2312"/>
          <w:sz w:val="28"/>
          <w:szCs w:val="28"/>
          <w:highlight w:val="none"/>
        </w:rPr>
        <w:t>0.28</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eastAsia="zh-CN"/>
        </w:rPr>
        <w:t>50.66</w:t>
      </w:r>
      <w:r>
        <w:rPr>
          <w:rFonts w:hint="eastAsia" w:ascii="仿宋_GB2312" w:eastAsia="仿宋_GB2312"/>
          <w:sz w:val="28"/>
          <w:szCs w:val="28"/>
          <w:highlight w:val="none"/>
        </w:rPr>
        <w:t>%，其中：授予小微企业合同金额</w:t>
      </w:r>
      <w:r>
        <w:rPr>
          <w:rFonts w:ascii="仿宋_GB2312" w:eastAsia="仿宋_GB2312"/>
          <w:sz w:val="28"/>
          <w:szCs w:val="28"/>
          <w:highlight w:val="none"/>
        </w:rPr>
        <w:t>0.28</w:t>
      </w:r>
      <w:r>
        <w:rPr>
          <w:rFonts w:hint="eastAsia" w:ascii="仿宋_GB2312" w:eastAsia="仿宋_GB2312"/>
          <w:sz w:val="28"/>
          <w:szCs w:val="28"/>
          <w:highlight w:val="none"/>
        </w:rPr>
        <w:t>万元，占政府采购支出总额的</w:t>
      </w:r>
      <w:r>
        <w:rPr>
          <w:rFonts w:ascii="仿宋_GB2312" w:eastAsia="仿宋_GB2312"/>
          <w:sz w:val="28"/>
          <w:szCs w:val="28"/>
          <w:highlight w:val="none"/>
        </w:rPr>
        <w:t>50.66</w:t>
      </w:r>
      <w:r>
        <w:rPr>
          <w:rFonts w:hint="eastAsia" w:ascii="仿宋_GB2312" w:eastAsia="仿宋_GB2312"/>
          <w:sz w:val="28"/>
          <w:szCs w:val="28"/>
          <w:highlight w:val="none"/>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12月31日，北京市大兴区礼贤新航城幼儿园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教育支出（类）普通教育（款）学前教育（项）：反映各部门举办的学前教育支出。政府各部门对社会组织等举办的幼儿园的资助，如捐赠、补贴等，也在本科目中反映。</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.社会保障和就业支出（类）行政事业单位养老支出（款）机关事业单位基本养老保险缴费支出（项）：反映机关事业单位实施养老保险制度由单位缴纳的基本养老费支出。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.卫生健康支出（类）行政事业单位医疗（款）公务员医疗补助（项）：反映财政部门安排的公务员医疗补助经费。</w:t>
      </w:r>
    </w:p>
    <w:p>
      <w:pPr>
        <w:ind w:firstLine="420" w:firstLineChars="150"/>
        <w:rPr>
          <w:rFonts w:hint="default" w:ascii="黑体" w:eastAsia="仿宋_GB2312"/>
          <w:sz w:val="32"/>
          <w:szCs w:val="32"/>
          <w:lang w:val="en-US" w:eastAsia="zh-CN"/>
        </w:rPr>
      </w:pPr>
      <w:r>
        <w:rPr>
          <w:rFonts w:hint="eastAsia" w:ascii="仿宋_GB2312" w:eastAsia="仿宋_GB2312"/>
          <w:sz w:val="28"/>
          <w:szCs w:val="28"/>
          <w:lang w:val="en-US" w:eastAsia="zh-CN"/>
        </w:rPr>
        <w:t>12.住房保障支出（类）住房改革支出（款）购房补贴（项）：反映按房改政策规定，行政事业单位向符合条件职工（含离退休人员）、军队（含武警）向转役复员离退休人员发放的用于购买住房的补贴。</w:t>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仿宋_GB2312" w:eastAsia="仿宋_GB2312"/>
          <w:sz w:val="28"/>
          <w:szCs w:val="28"/>
        </w:rPr>
      </w:pPr>
      <w:r>
        <w:rPr>
          <w:rFonts w:hint="eastAsia" w:ascii="宋体" w:hAnsi="宋体" w:cs="宋体"/>
          <w:b/>
          <w:bCs/>
          <w:spacing w:val="40"/>
          <w:kern w:val="0"/>
          <w:sz w:val="32"/>
          <w:szCs w:val="32"/>
        </w:rPr>
        <w:t>第四部分 2024年度部门绩效评价情况</w:t>
      </w:r>
    </w:p>
    <w:p>
      <w:pPr>
        <w:spacing w:line="560" w:lineRule="exact"/>
        <w:ind w:firstLine="560" w:firstLineChars="200"/>
        <w:jc w:val="center"/>
      </w:pPr>
      <w:r>
        <w:rPr>
          <w:rFonts w:hint="eastAsia" w:ascii="黑体" w:hAnsi="黑体" w:eastAsia="黑体" w:cs="黑体"/>
          <w:sz w:val="28"/>
          <w:szCs w:val="28"/>
          <w:lang w:eastAsia="zh-CN"/>
        </w:rPr>
        <w:t>项目支出绩效自评表（详见附件）</w:t>
      </w:r>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文星标宋">
    <w:altName w:val="微软雅黑"/>
    <w:panose1 w:val="02010604000101010101"/>
    <w:charset w:val="86"/>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C5611E"/>
    <w:multiLevelType w:val="singleLevel"/>
    <w:tmpl w:val="84C5611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891E6A"/>
    <w:rsid w:val="04C3537C"/>
    <w:rsid w:val="053E2CEE"/>
    <w:rsid w:val="05856AD5"/>
    <w:rsid w:val="06273402"/>
    <w:rsid w:val="079004AC"/>
    <w:rsid w:val="07A1571D"/>
    <w:rsid w:val="09E81BCC"/>
    <w:rsid w:val="0BA148CA"/>
    <w:rsid w:val="0C1165C4"/>
    <w:rsid w:val="0D6214AA"/>
    <w:rsid w:val="0D6D544B"/>
    <w:rsid w:val="0DD136FE"/>
    <w:rsid w:val="0F542F2C"/>
    <w:rsid w:val="0F7A6F7F"/>
    <w:rsid w:val="0F8E2C57"/>
    <w:rsid w:val="1059665E"/>
    <w:rsid w:val="10AC13BA"/>
    <w:rsid w:val="10D20D7B"/>
    <w:rsid w:val="114C66F9"/>
    <w:rsid w:val="14123C2A"/>
    <w:rsid w:val="145A6C1B"/>
    <w:rsid w:val="14B73493"/>
    <w:rsid w:val="167A2FF9"/>
    <w:rsid w:val="1764587C"/>
    <w:rsid w:val="18581C69"/>
    <w:rsid w:val="1AEC0734"/>
    <w:rsid w:val="1D686669"/>
    <w:rsid w:val="1DEF20B0"/>
    <w:rsid w:val="1F095C2A"/>
    <w:rsid w:val="1FF7AB17"/>
    <w:rsid w:val="214243FA"/>
    <w:rsid w:val="21AD613C"/>
    <w:rsid w:val="22467189"/>
    <w:rsid w:val="257A14F5"/>
    <w:rsid w:val="27196C26"/>
    <w:rsid w:val="27D2612D"/>
    <w:rsid w:val="281713B7"/>
    <w:rsid w:val="294D2BB7"/>
    <w:rsid w:val="29EF086F"/>
    <w:rsid w:val="29F23E8A"/>
    <w:rsid w:val="2AE454A2"/>
    <w:rsid w:val="2BC34C59"/>
    <w:rsid w:val="2CB03B88"/>
    <w:rsid w:val="2EFFE297"/>
    <w:rsid w:val="301437CA"/>
    <w:rsid w:val="31046251"/>
    <w:rsid w:val="349D1F0A"/>
    <w:rsid w:val="34DD0473"/>
    <w:rsid w:val="37E56DDC"/>
    <w:rsid w:val="3A8E35DC"/>
    <w:rsid w:val="3C684897"/>
    <w:rsid w:val="41656898"/>
    <w:rsid w:val="41DE61F7"/>
    <w:rsid w:val="433E495C"/>
    <w:rsid w:val="47BF63C2"/>
    <w:rsid w:val="489F2FD7"/>
    <w:rsid w:val="4AC27CB3"/>
    <w:rsid w:val="4BF72BEF"/>
    <w:rsid w:val="4D022930"/>
    <w:rsid w:val="4F382FDD"/>
    <w:rsid w:val="4FA90297"/>
    <w:rsid w:val="4FC41A43"/>
    <w:rsid w:val="5088762A"/>
    <w:rsid w:val="51DB3C59"/>
    <w:rsid w:val="550C0952"/>
    <w:rsid w:val="55473FDA"/>
    <w:rsid w:val="55762E42"/>
    <w:rsid w:val="55FF6E63"/>
    <w:rsid w:val="57A7B272"/>
    <w:rsid w:val="57A8352A"/>
    <w:rsid w:val="58470068"/>
    <w:rsid w:val="58747CAC"/>
    <w:rsid w:val="58F26FF9"/>
    <w:rsid w:val="59170968"/>
    <w:rsid w:val="594D22C8"/>
    <w:rsid w:val="5A1720F9"/>
    <w:rsid w:val="5AD053CB"/>
    <w:rsid w:val="5B4314B6"/>
    <w:rsid w:val="5B773940"/>
    <w:rsid w:val="5B9C37C2"/>
    <w:rsid w:val="5BA7C654"/>
    <w:rsid w:val="5DF716AE"/>
    <w:rsid w:val="5E40270F"/>
    <w:rsid w:val="5F9F507E"/>
    <w:rsid w:val="60A54109"/>
    <w:rsid w:val="6169605F"/>
    <w:rsid w:val="61CA2A1B"/>
    <w:rsid w:val="61D01CDF"/>
    <w:rsid w:val="64C0607C"/>
    <w:rsid w:val="64DB0A9B"/>
    <w:rsid w:val="65110961"/>
    <w:rsid w:val="65756C86"/>
    <w:rsid w:val="674D385B"/>
    <w:rsid w:val="6751773B"/>
    <w:rsid w:val="676F09E1"/>
    <w:rsid w:val="6A8D2838"/>
    <w:rsid w:val="6BBA3B00"/>
    <w:rsid w:val="6C9F4AA4"/>
    <w:rsid w:val="6E661D1D"/>
    <w:rsid w:val="700F5EF7"/>
    <w:rsid w:val="71691990"/>
    <w:rsid w:val="71793A80"/>
    <w:rsid w:val="72312642"/>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E096221"/>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61"/>
    <w:basedOn w:val="11"/>
    <w:qFormat/>
    <w:uiPriority w:val="0"/>
    <w:rPr>
      <w:rFonts w:hint="eastAsia" w:ascii="宋体" w:hAnsi="宋体" w:eastAsia="宋体" w:cs="宋体"/>
      <w:color w:val="000000"/>
      <w:sz w:val="13"/>
      <w:szCs w:val="13"/>
      <w:u w:val="none"/>
    </w:rPr>
  </w:style>
  <w:style w:type="character" w:customStyle="1" w:styleId="21">
    <w:name w:val="font41"/>
    <w:basedOn w:val="11"/>
    <w:qFormat/>
    <w:uiPriority w:val="0"/>
    <w:rPr>
      <w:rFonts w:hint="default" w:ascii="Arial" w:hAnsi="Arial" w:cs="Arial"/>
      <w:color w:val="000000"/>
      <w:sz w:val="18"/>
      <w:szCs w:val="18"/>
      <w:u w:val="none"/>
    </w:rPr>
  </w:style>
  <w:style w:type="character" w:customStyle="1" w:styleId="22">
    <w:name w:val="font5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1184.06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783.01</c:v>
                </c:pt>
                <c:pt idx="1">
                  <c:v>443.05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3764</Words>
  <Characters>4290</Characters>
  <Lines>44</Lines>
  <Paragraphs>12</Paragraphs>
  <TotalTime>183</TotalTime>
  <ScaleCrop>false</ScaleCrop>
  <LinksUpToDate>false</LinksUpToDate>
  <CharactersWithSpaces>4309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2025-09-22T03:32:00Z</cp:lastPrinted>
  <dcterms:modified xsi:type="dcterms:W3CDTF">2025-09-26T01:21:50Z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A7F78878FB63AC2F75B4B7682BD79272</vt:lpwstr>
  </property>
  <property fmtid="{D5CDD505-2E9C-101B-9397-08002B2CF9AE}" pid="4" name="KSOTemplateDocerSaveRecord">
    <vt:lpwstr>eyJoZGlkIjoiYjY2YTY1NzMwM2RiOTBhOWVkMzFhNDgyOTE2NjlhOGYiLCJ1c2VySWQiOiIzNDc2ODQ5ODYifQ==</vt:lpwstr>
  </property>
</Properties>
</file>