
<file path=[Content_Types].xml><?xml version="1.0" encoding="utf-8"?>
<Types xmlns="http://schemas.openxmlformats.org/package/2006/content-types">
  <Default Extension="xml" ContentType="application/xml"/>
  <Default Extension="xlsx" ContentType="application/vnd.openxmlformats-officedocument.spreadsheetml.sheet"/>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sz w:val="32"/>
          <w:szCs w:val="3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r>
        <w:rPr>
          <w:rFonts w:hint="eastAsia" w:ascii="黑体" w:eastAsia="黑体"/>
          <w:sz w:val="72"/>
          <w:szCs w:val="72"/>
        </w:rPr>
        <w:t>202</w:t>
      </w:r>
      <w:r>
        <w:rPr>
          <w:rFonts w:hint="eastAsia" w:ascii="黑体" w:eastAsia="黑体"/>
          <w:sz w:val="72"/>
          <w:szCs w:val="72"/>
          <w:lang w:val="en-US" w:eastAsia="zh-CN"/>
        </w:rPr>
        <w:t>4</w:t>
      </w:r>
      <w:r>
        <w:rPr>
          <w:rFonts w:hint="eastAsia" w:ascii="黑体" w:eastAsia="黑体"/>
          <w:sz w:val="72"/>
          <w:szCs w:val="72"/>
        </w:rPr>
        <w:t>年度部门决算（</w:t>
      </w:r>
      <w:r>
        <w:rPr>
          <w:rFonts w:hint="eastAsia" w:ascii="黑体" w:eastAsia="黑体"/>
          <w:sz w:val="72"/>
          <w:szCs w:val="72"/>
          <w:lang w:val="en-US" w:eastAsia="zh-CN"/>
        </w:rPr>
        <w:t>公开</w:t>
      </w:r>
      <w:r>
        <w:rPr>
          <w:rFonts w:ascii="黑体" w:eastAsia="黑体"/>
          <w:sz w:val="72"/>
          <w:szCs w:val="72"/>
        </w:rPr>
        <w:t>）</w:t>
      </w: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32"/>
          <w:szCs w:val="32"/>
        </w:rPr>
      </w:pPr>
    </w:p>
    <w:p>
      <w:pPr>
        <w:spacing w:line="500" w:lineRule="exact"/>
        <w:ind w:firstLine="645"/>
        <w:jc w:val="center"/>
        <w:rPr>
          <w:rFonts w:ascii="宋体" w:hAnsi="宋体" w:cs="宋体"/>
          <w:b/>
          <w:bCs/>
          <w:kern w:val="0"/>
          <w:sz w:val="44"/>
          <w:szCs w:val="36"/>
        </w:rPr>
      </w:pPr>
      <w:r>
        <w:rPr>
          <w:rFonts w:hint="eastAsia" w:ascii="宋体" w:hAnsi="宋体" w:cs="宋体"/>
          <w:b/>
          <w:bCs/>
          <w:kern w:val="0"/>
          <w:sz w:val="44"/>
          <w:szCs w:val="36"/>
        </w:rPr>
        <w:t>目    录</w:t>
      </w:r>
    </w:p>
    <w:p>
      <w:pPr>
        <w:spacing w:line="500" w:lineRule="exact"/>
        <w:ind w:firstLine="645"/>
        <w:jc w:val="center"/>
        <w:rPr>
          <w:rFonts w:hint="eastAsia" w:ascii="宋体" w:hAnsi="宋体" w:cs="宋体"/>
          <w:b/>
          <w:bCs/>
          <w:kern w:val="0"/>
          <w:sz w:val="36"/>
          <w:szCs w:val="36"/>
        </w:rPr>
      </w:pPr>
    </w:p>
    <w:p>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第一部分 202</w:t>
      </w:r>
      <w:r>
        <w:rPr>
          <w:rFonts w:hint="eastAsia" w:ascii="宋体" w:hAnsi="宋体" w:cs="宋体"/>
          <w:bCs/>
          <w:spacing w:val="40"/>
          <w:kern w:val="0"/>
          <w:sz w:val="32"/>
          <w:szCs w:val="32"/>
          <w:lang w:val="en-US" w:eastAsia="zh-CN"/>
        </w:rPr>
        <w:t>4</w:t>
      </w:r>
      <w:r>
        <w:rPr>
          <w:rFonts w:hint="eastAsia" w:ascii="宋体" w:hAnsi="宋体" w:cs="宋体"/>
          <w:bCs/>
          <w:spacing w:val="40"/>
          <w:kern w:val="0"/>
          <w:sz w:val="32"/>
          <w:szCs w:val="32"/>
        </w:rPr>
        <w:t>年度部门决算报表</w:t>
      </w:r>
    </w:p>
    <w:p>
      <w:pPr>
        <w:tabs>
          <w:tab w:val="center" w:pos="6979"/>
        </w:tabs>
        <w:spacing w:line="500" w:lineRule="exact"/>
        <w:ind w:firstLine="2400" w:firstLineChars="600"/>
        <w:jc w:val="left"/>
        <w:rPr>
          <w:rFonts w:hint="eastAsia"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w:t>
      </w:r>
      <w:r>
        <w:rPr>
          <w:rFonts w:ascii="仿宋_GB2312" w:hAnsi="仿宋" w:eastAsia="仿宋_GB2312" w:cs="宋体"/>
          <w:bCs/>
          <w:spacing w:val="40"/>
          <w:kern w:val="0"/>
          <w:sz w:val="32"/>
          <w:szCs w:val="32"/>
        </w:rPr>
        <w:t>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七</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八</w:t>
      </w:r>
      <w:r>
        <w:rPr>
          <w:rFonts w:hint="eastAsia" w:ascii="仿宋_GB2312" w:hAnsi="仿宋" w:eastAsia="仿宋_GB2312" w:cs="宋体"/>
          <w:bCs/>
          <w:spacing w:val="40"/>
          <w:kern w:val="0"/>
          <w:sz w:val="32"/>
          <w:szCs w:val="32"/>
        </w:rPr>
        <w:t>、</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九</w:t>
      </w:r>
      <w:r>
        <w:rPr>
          <w:rFonts w:hint="eastAsia" w:ascii="仿宋_GB2312" w:hAnsi="仿宋" w:eastAsia="仿宋_GB2312" w:cs="宋体"/>
          <w:bCs/>
          <w:spacing w:val="40"/>
          <w:kern w:val="0"/>
          <w:sz w:val="32"/>
          <w:szCs w:val="32"/>
        </w:rPr>
        <w:t>、国有资本经营预算财政拨款支出决算表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十、财政拨款“三公”经费支出决算表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十一、政府采购情况表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w:t>
      </w:r>
      <w:r>
        <w:rPr>
          <w:rFonts w:hint="eastAsia" w:ascii="仿宋_GB2312" w:hAnsi="仿宋" w:eastAsia="仿宋_GB2312" w:cs="宋体"/>
          <w:bCs/>
          <w:spacing w:val="40"/>
          <w:kern w:val="0"/>
          <w:sz w:val="32"/>
          <w:szCs w:val="32"/>
          <w:lang w:eastAsia="zh-CN"/>
        </w:rPr>
        <w:t>二</w:t>
      </w:r>
      <w:r>
        <w:rPr>
          <w:rFonts w:hint="eastAsia" w:ascii="仿宋_GB2312" w:hAnsi="仿宋" w:eastAsia="仿宋_GB2312" w:cs="宋体"/>
          <w:bCs/>
          <w:spacing w:val="40"/>
          <w:kern w:val="0"/>
          <w:sz w:val="32"/>
          <w:szCs w:val="32"/>
        </w:rPr>
        <w:t>、政府购买服务决算公开情况表</w:t>
      </w:r>
    </w:p>
    <w:p>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年度部门决算说明</w:t>
      </w:r>
    </w:p>
    <w:p>
      <w:pPr>
        <w:tabs>
          <w:tab w:val="center" w:pos="6979"/>
        </w:tabs>
        <w:spacing w:line="500" w:lineRule="exact"/>
        <w:ind w:firstLine="1600" w:firstLineChars="400"/>
        <w:jc w:val="left"/>
        <w:rPr>
          <w:rFonts w:hint="eastAsia"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w:t>
      </w:r>
      <w:r>
        <w:rPr>
          <w:rFonts w:hint="eastAsia" w:ascii="宋体" w:hAnsi="宋体" w:cs="宋体"/>
          <w:spacing w:val="40"/>
          <w:kern w:val="0"/>
          <w:sz w:val="32"/>
          <w:szCs w:val="32"/>
        </w:rPr>
        <w:t>其他重要事项的情况说明</w:t>
      </w:r>
    </w:p>
    <w:p>
      <w:pPr>
        <w:tabs>
          <w:tab w:val="center" w:pos="6979"/>
        </w:tabs>
        <w:spacing w:line="500" w:lineRule="exact"/>
        <w:ind w:firstLine="1600" w:firstLineChars="400"/>
        <w:jc w:val="left"/>
        <w:rPr>
          <w:rFonts w:hint="eastAsia" w:ascii="宋体" w:hAnsi="宋体" w:cs="宋体"/>
          <w:spacing w:val="40"/>
          <w:kern w:val="0"/>
          <w:sz w:val="36"/>
          <w:szCs w:val="32"/>
        </w:rPr>
      </w:pPr>
      <w:r>
        <w:rPr>
          <w:rFonts w:hint="eastAsia" w:ascii="宋体" w:hAnsi="宋体" w:cs="宋体"/>
          <w:spacing w:val="40"/>
          <w:kern w:val="0"/>
          <w:sz w:val="32"/>
          <w:szCs w:val="32"/>
        </w:rPr>
        <w:t>第四部分 202</w:t>
      </w:r>
      <w:r>
        <w:rPr>
          <w:rFonts w:hint="eastAsia" w:ascii="宋体" w:hAnsi="宋体" w:cs="宋体"/>
          <w:spacing w:val="40"/>
          <w:kern w:val="0"/>
          <w:sz w:val="32"/>
          <w:szCs w:val="32"/>
          <w:lang w:val="en-US" w:eastAsia="zh-CN"/>
        </w:rPr>
        <w:t>4</w:t>
      </w:r>
      <w:r>
        <w:rPr>
          <w:rFonts w:hint="eastAsia" w:ascii="宋体" w:hAnsi="宋体" w:cs="宋体"/>
          <w:spacing w:val="40"/>
          <w:kern w:val="0"/>
          <w:sz w:val="32"/>
          <w:szCs w:val="32"/>
        </w:rPr>
        <w:t>年度部门绩效评价情况</w:t>
      </w: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r>
        <w:rPr>
          <w:rFonts w:hint="eastAsia" w:ascii="宋体" w:hAnsi="宋体" w:cs="宋体"/>
          <w:b/>
          <w:bCs/>
          <w:spacing w:val="40"/>
          <w:kern w:val="0"/>
          <w:sz w:val="44"/>
          <w:szCs w:val="44"/>
        </w:rPr>
        <w:t xml:space="preserve">第一部分 </w:t>
      </w:r>
      <w:r>
        <w:rPr>
          <w:rFonts w:hint="eastAsia" w:ascii="宋体" w:hAnsi="宋体" w:cs="宋体"/>
          <w:b/>
          <w:bCs/>
          <w:spacing w:val="40"/>
          <w:kern w:val="0"/>
          <w:sz w:val="44"/>
          <w:szCs w:val="44"/>
          <w:lang w:eastAsia="zh-CN"/>
        </w:rPr>
        <w:t>2024</w:t>
      </w:r>
      <w:r>
        <w:rPr>
          <w:rFonts w:hint="eastAsia" w:ascii="宋体" w:hAnsi="宋体" w:cs="宋体"/>
          <w:b/>
          <w:bCs/>
          <w:spacing w:val="40"/>
          <w:kern w:val="0"/>
          <w:sz w:val="44"/>
          <w:szCs w:val="44"/>
        </w:rPr>
        <w:t>年度部门决算报表</w:t>
      </w:r>
    </w:p>
    <w:p>
      <w:pPr>
        <w:pStyle w:val="2"/>
        <w:rPr>
          <w:b w:val="0"/>
          <w:bCs w:val="0"/>
        </w:rPr>
        <w:sectPr>
          <w:footerReference r:id="rId3" w:type="default"/>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sz w:val="28"/>
          <w:szCs w:val="28"/>
        </w:rPr>
        <w:t xml:space="preserve">   </w:t>
      </w:r>
      <w:r>
        <w:rPr>
          <w:rFonts w:hint="eastAsia" w:ascii="仿宋_GB2312" w:eastAsia="仿宋_GB2312"/>
          <w:b w:val="0"/>
          <w:bCs w:val="0"/>
          <w:sz w:val="28"/>
          <w:szCs w:val="28"/>
        </w:rPr>
        <w:t>报表详见附件。</w:t>
      </w:r>
    </w:p>
    <w:p>
      <w:pPr>
        <w:tabs>
          <w:tab w:val="center" w:pos="6979"/>
        </w:tabs>
        <w:spacing w:before="156" w:beforeLines="50" w:after="156" w:afterLines="50"/>
        <w:jc w:val="center"/>
        <w:rPr>
          <w:rFonts w:hint="eastAsia"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年度部门决算说明</w:t>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一、单位基本情况</w:t>
      </w:r>
    </w:p>
    <w:p>
      <w:pPr>
        <w:tabs>
          <w:tab w:val="center" w:pos="6979"/>
        </w:tabs>
        <w:spacing w:line="580" w:lineRule="exact"/>
        <w:ind w:firstLine="840" w:firstLineChars="300"/>
        <w:rPr>
          <w:rFonts w:hint="eastAsia" w:ascii="仿宋_GB2312" w:eastAsia="仿宋_GB2312"/>
          <w:kern w:val="0"/>
          <w:sz w:val="28"/>
          <w:szCs w:val="28"/>
        </w:rPr>
      </w:pPr>
      <w:r>
        <w:rPr>
          <w:rFonts w:hint="eastAsia" w:ascii="仿宋_GB2312" w:eastAsia="仿宋_GB2312"/>
          <w:kern w:val="0"/>
          <w:sz w:val="28"/>
          <w:szCs w:val="28"/>
        </w:rPr>
        <w:t>1.主要职责:本单位主要职责是负责幼儿的保育教育工作。</w:t>
      </w:r>
    </w:p>
    <w:p>
      <w:pPr>
        <w:tabs>
          <w:tab w:val="center" w:pos="6979"/>
        </w:tabs>
        <w:spacing w:line="580" w:lineRule="exact"/>
        <w:ind w:firstLine="560" w:firstLineChars="200"/>
        <w:rPr>
          <w:rFonts w:hint="eastAsia" w:ascii="仿宋_GB2312" w:eastAsia="仿宋_GB2312"/>
          <w:kern w:val="0"/>
          <w:sz w:val="28"/>
          <w:szCs w:val="28"/>
        </w:rPr>
      </w:pPr>
      <w:r>
        <w:rPr>
          <w:rFonts w:hint="eastAsia" w:ascii="仿宋_GB2312" w:eastAsia="仿宋_GB2312"/>
          <w:kern w:val="0"/>
          <w:sz w:val="28"/>
          <w:szCs w:val="28"/>
        </w:rPr>
        <w:t xml:space="preserve">  2.机构情况:本单位</w:t>
      </w:r>
      <w:r>
        <w:rPr>
          <w:rFonts w:hint="eastAsia" w:ascii="仿宋_GB2312" w:eastAsia="仿宋_GB2312"/>
          <w:kern w:val="0"/>
          <w:sz w:val="28"/>
          <w:szCs w:val="28"/>
          <w:lang w:val="en-US" w:eastAsia="zh-CN"/>
        </w:rPr>
        <w:t>设有园长室、副园长室、安保室、保教室、保健室、财务室、保洁室、保安室、中控室等部门。</w:t>
      </w:r>
    </w:p>
    <w:p>
      <w:pPr>
        <w:tabs>
          <w:tab w:val="center" w:pos="6979"/>
        </w:tabs>
        <w:spacing w:line="580" w:lineRule="exact"/>
        <w:rPr>
          <w:rFonts w:hint="eastAsia" w:ascii="黑体" w:eastAsia="黑体"/>
          <w:b/>
          <w:sz w:val="28"/>
          <w:szCs w:val="28"/>
        </w:rPr>
      </w:pPr>
      <w:r>
        <w:rPr>
          <w:rFonts w:hint="eastAsia" w:ascii="仿宋_GB2312" w:eastAsia="仿宋_GB2312"/>
          <w:b/>
          <w:sz w:val="32"/>
          <w:szCs w:val="32"/>
        </w:rPr>
        <w:t xml:space="preserve">   </w:t>
      </w:r>
      <w:r>
        <w:rPr>
          <w:rFonts w:hint="eastAsia" w:ascii="黑体" w:eastAsia="黑体"/>
          <w:b/>
          <w:sz w:val="28"/>
          <w:szCs w:val="28"/>
        </w:rPr>
        <w:t>二、收入支出决算总体情况说明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1582.75</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lang w:val="en-US" w:eastAsia="zh-CN"/>
        </w:rPr>
        <w:t>136.12</w:t>
      </w:r>
      <w:r>
        <w:rPr>
          <w:rFonts w:hint="eastAsia" w:ascii="仿宋_GB2312" w:eastAsia="仿宋_GB2312"/>
          <w:sz w:val="28"/>
          <w:szCs w:val="28"/>
        </w:rPr>
        <w:t>万元，增长</w:t>
      </w:r>
      <w:r>
        <w:rPr>
          <w:rFonts w:hint="eastAsia" w:ascii="仿宋_GB2312" w:eastAsia="仿宋_GB2312"/>
          <w:sz w:val="28"/>
          <w:szCs w:val="28"/>
          <w:lang w:val="en-US" w:eastAsia="zh-CN"/>
        </w:rPr>
        <w:t>9.41</w:t>
      </w:r>
      <w:r>
        <w:rPr>
          <w:rFonts w:hint="eastAsia" w:ascii="仿宋_GB2312" w:eastAsia="仿宋_GB2312"/>
          <w:sz w:val="28"/>
          <w:szCs w:val="28"/>
        </w:rPr>
        <w:t>%。</w:t>
      </w:r>
    </w:p>
    <w:p>
      <w:pPr>
        <w:tabs>
          <w:tab w:val="center" w:pos="6979"/>
        </w:tabs>
        <w:spacing w:line="580" w:lineRule="exact"/>
        <w:ind w:firstLine="570"/>
        <w:rPr>
          <w:rFonts w:hint="eastAsia" w:ascii="仿宋_GB2312" w:eastAsia="仿宋_GB2312"/>
          <w:sz w:val="28"/>
          <w:szCs w:val="28"/>
          <w:highlight w:val="none"/>
        </w:rPr>
      </w:pPr>
      <w:r>
        <w:rPr>
          <w:rFonts w:hint="eastAsia" w:ascii="仿宋_GB2312" w:eastAsia="仿宋_GB2312"/>
          <w:sz w:val="28"/>
          <w:szCs w:val="28"/>
          <w:highlight w:val="none"/>
        </w:rPr>
        <w:t>（一</w:t>
      </w:r>
      <w:r>
        <w:rPr>
          <w:rFonts w:ascii="仿宋_GB2312" w:eastAsia="仿宋_GB2312"/>
          <w:sz w:val="28"/>
          <w:szCs w:val="28"/>
          <w:highlight w:val="none"/>
        </w:rPr>
        <w:t>）</w:t>
      </w:r>
      <w:r>
        <w:rPr>
          <w:rFonts w:hint="eastAsia" w:ascii="仿宋_GB2312" w:eastAsia="仿宋_GB2312"/>
          <w:sz w:val="28"/>
          <w:szCs w:val="28"/>
          <w:highlight w:val="none"/>
        </w:rPr>
        <w:t>收入决算</w:t>
      </w:r>
      <w:r>
        <w:rPr>
          <w:rFonts w:ascii="仿宋_GB2312" w:eastAsia="仿宋_GB2312"/>
          <w:sz w:val="28"/>
          <w:szCs w:val="28"/>
          <w:highlight w:val="none"/>
        </w:rPr>
        <w:t>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年度本年收入合计</w:t>
      </w:r>
      <w:r>
        <w:rPr>
          <w:rFonts w:ascii="仿宋_GB2312" w:eastAsia="仿宋_GB2312"/>
          <w:sz w:val="28"/>
          <w:szCs w:val="28"/>
        </w:rPr>
        <w:t>1560.99</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lang w:val="en-US" w:eastAsia="zh-CN"/>
        </w:rPr>
        <w:t>115.91</w:t>
      </w:r>
      <w:r>
        <w:rPr>
          <w:rFonts w:hint="eastAsia" w:ascii="仿宋_GB2312" w:eastAsia="仿宋_GB2312"/>
          <w:sz w:val="28"/>
          <w:szCs w:val="28"/>
        </w:rPr>
        <w:t>万元，增长</w:t>
      </w:r>
      <w:r>
        <w:rPr>
          <w:rFonts w:hint="eastAsia" w:ascii="仿宋_GB2312" w:eastAsia="仿宋_GB2312"/>
          <w:sz w:val="28"/>
          <w:szCs w:val="28"/>
          <w:lang w:val="en-US" w:eastAsia="zh-CN"/>
        </w:rPr>
        <w:t>8.02</w:t>
      </w:r>
      <w:r>
        <w:rPr>
          <w:rFonts w:hint="eastAsia" w:ascii="仿宋_GB2312" w:eastAsia="仿宋_GB2312"/>
          <w:sz w:val="28"/>
          <w:szCs w:val="28"/>
        </w:rPr>
        <w:t>%</w:t>
      </w:r>
      <w:r>
        <w:rPr>
          <w:rFonts w:hint="eastAsia" w:ascii="仿宋_GB2312" w:eastAsia="仿宋_GB2312"/>
          <w:sz w:val="28"/>
          <w:szCs w:val="28"/>
          <w:lang w:eastAsia="zh-CN"/>
        </w:rPr>
        <w:t>。</w:t>
      </w:r>
    </w:p>
    <w:p>
      <w:pPr>
        <w:numPr>
          <w:ilvl w:val="0"/>
          <w:numId w:val="0"/>
        </w:numPr>
        <w:tabs>
          <w:tab w:val="center" w:pos="6979"/>
        </w:tabs>
        <w:spacing w:line="580" w:lineRule="exact"/>
        <w:ind w:firstLine="560" w:firstLineChars="200"/>
        <w:rPr>
          <w:rFonts w:hint="eastAsia" w:ascii="仿宋_GB2312" w:eastAsia="仿宋_GB2312"/>
          <w:sz w:val="28"/>
          <w:szCs w:val="28"/>
          <w:lang w:eastAsia="zh-CN"/>
        </w:rPr>
      </w:pPr>
      <w:r>
        <w:rPr>
          <w:rFonts w:hint="eastAsia" w:ascii="仿宋_GB2312" w:eastAsia="仿宋_GB2312"/>
          <w:sz w:val="28"/>
          <w:szCs w:val="28"/>
          <w:lang w:val="en-US" w:eastAsia="zh-CN"/>
        </w:rPr>
        <w:t>1.</w:t>
      </w:r>
      <w:r>
        <w:rPr>
          <w:rFonts w:hint="eastAsia" w:ascii="仿宋_GB2312" w:eastAsia="仿宋_GB2312"/>
          <w:sz w:val="28"/>
          <w:szCs w:val="28"/>
        </w:rPr>
        <w:t>财政拨款收入</w:t>
      </w:r>
      <w:r>
        <w:rPr>
          <w:rFonts w:ascii="仿宋_GB2312" w:eastAsia="仿宋_GB2312"/>
          <w:sz w:val="28"/>
          <w:szCs w:val="28"/>
        </w:rPr>
        <w:t>1560.99</w:t>
      </w:r>
      <w:r>
        <w:rPr>
          <w:rFonts w:hint="eastAsia" w:ascii="仿宋_GB2312" w:eastAsia="仿宋_GB2312"/>
          <w:sz w:val="28"/>
          <w:szCs w:val="28"/>
        </w:rPr>
        <w:t>万元，占收入合计的</w:t>
      </w:r>
      <w:r>
        <w:rPr>
          <w:rFonts w:hint="eastAsia" w:ascii="仿宋_GB2312" w:eastAsia="仿宋_GB2312"/>
          <w:sz w:val="28"/>
          <w:szCs w:val="28"/>
          <w:lang w:eastAsia="zh-CN"/>
        </w:rPr>
        <w:t>100%。</w:t>
      </w:r>
      <w:r>
        <w:rPr>
          <w:rFonts w:hint="eastAsia" w:ascii="仿宋_GB2312" w:eastAsia="仿宋_GB2312"/>
          <w:sz w:val="28"/>
          <w:szCs w:val="28"/>
        </w:rPr>
        <w:t>其中：</w:t>
      </w:r>
      <w:r>
        <w:rPr>
          <w:rFonts w:hint="eastAsia" w:ascii="仿宋_GB2312" w:eastAsia="仿宋_GB2312"/>
          <w:sz w:val="28"/>
          <w:szCs w:val="28"/>
          <w:lang w:eastAsia="zh-CN"/>
        </w:rPr>
        <w:t>一般公共预算财政拨款收入</w:t>
      </w:r>
      <w:r>
        <w:rPr>
          <w:rFonts w:ascii="仿宋_GB2312" w:eastAsia="仿宋_GB2312"/>
          <w:sz w:val="28"/>
          <w:szCs w:val="28"/>
        </w:rPr>
        <w:t>1560.99</w:t>
      </w:r>
      <w:r>
        <w:rPr>
          <w:rFonts w:hint="eastAsia" w:ascii="仿宋_GB2312" w:eastAsia="仿宋_GB2312"/>
          <w:sz w:val="28"/>
          <w:szCs w:val="28"/>
        </w:rPr>
        <w:t>万元，占收入合计的</w:t>
      </w:r>
      <w:r>
        <w:rPr>
          <w:rFonts w:hint="eastAsia" w:ascii="仿宋_GB2312" w:eastAsia="仿宋_GB2312"/>
          <w:sz w:val="28"/>
          <w:szCs w:val="28"/>
          <w:lang w:val="en-US" w:eastAsia="zh-CN"/>
        </w:rPr>
        <w:t>100</w:t>
      </w:r>
      <w:r>
        <w:rPr>
          <w:rFonts w:hint="eastAsia" w:ascii="仿宋_GB2312" w:eastAsia="仿宋_GB2312"/>
          <w:sz w:val="28"/>
          <w:szCs w:val="28"/>
          <w:highlight w:val="none"/>
        </w:rPr>
        <w:t>%；</w:t>
      </w:r>
      <w:r>
        <w:rPr>
          <w:rFonts w:hint="eastAsia" w:ascii="仿宋_GB2312" w:eastAsia="仿宋_GB2312"/>
          <w:sz w:val="28"/>
          <w:szCs w:val="28"/>
          <w:lang w:eastAsia="zh-CN"/>
        </w:rPr>
        <w:t>政府性基金预算财政拨款收入</w:t>
      </w:r>
      <w:r>
        <w:rPr>
          <w:rFonts w:hint="eastAsia" w:ascii="仿宋_GB2312" w:eastAsia="仿宋_GB2312"/>
          <w:sz w:val="28"/>
          <w:szCs w:val="28"/>
          <w:lang w:val="en-US" w:eastAsia="zh-CN"/>
        </w:rPr>
        <w:t>0</w:t>
      </w:r>
      <w:r>
        <w:rPr>
          <w:rFonts w:hint="eastAsia" w:ascii="仿宋_GB2312" w:eastAsia="仿宋_GB2312"/>
          <w:sz w:val="28"/>
          <w:szCs w:val="28"/>
        </w:rPr>
        <w:t>万元，占收入合计的</w:t>
      </w:r>
      <w:r>
        <w:rPr>
          <w:rFonts w:hint="eastAsia" w:ascii="仿宋_GB2312" w:eastAsia="仿宋_GB2312"/>
          <w:sz w:val="28"/>
          <w:szCs w:val="28"/>
          <w:lang w:val="en-US" w:eastAsia="zh-CN"/>
        </w:rPr>
        <w:t>0</w:t>
      </w:r>
      <w:r>
        <w:rPr>
          <w:rFonts w:hint="eastAsia" w:ascii="仿宋_GB2312" w:eastAsia="仿宋_GB2312"/>
          <w:color w:val="auto"/>
          <w:sz w:val="28"/>
          <w:szCs w:val="28"/>
          <w:highlight w:val="none"/>
        </w:rPr>
        <w:t>%</w:t>
      </w:r>
      <w:r>
        <w:rPr>
          <w:rFonts w:hint="eastAsia" w:ascii="仿宋_GB2312" w:eastAsia="仿宋_GB2312"/>
          <w:sz w:val="28"/>
          <w:szCs w:val="28"/>
          <w:highlight w:val="none"/>
        </w:rPr>
        <w:t>；</w:t>
      </w:r>
      <w:r>
        <w:rPr>
          <w:rFonts w:hint="eastAsia" w:ascii="仿宋_GB2312" w:eastAsia="仿宋_GB2312"/>
          <w:sz w:val="28"/>
          <w:szCs w:val="28"/>
          <w:lang w:eastAsia="zh-CN"/>
        </w:rPr>
        <w:t>国有资本经营预算财政拨款收入</w:t>
      </w:r>
      <w:r>
        <w:rPr>
          <w:rFonts w:hint="eastAsia" w:ascii="仿宋_GB2312" w:eastAsia="仿宋_GB2312"/>
          <w:sz w:val="28"/>
          <w:szCs w:val="28"/>
          <w:lang w:val="en-US" w:eastAsia="zh-CN"/>
        </w:rPr>
        <w:t>0</w:t>
      </w:r>
      <w:r>
        <w:rPr>
          <w:rFonts w:hint="eastAsia" w:ascii="仿宋_GB2312" w:eastAsia="仿宋_GB2312"/>
          <w:sz w:val="28"/>
          <w:szCs w:val="28"/>
        </w:rPr>
        <w:t>万元，占收入合计的</w:t>
      </w:r>
      <w:r>
        <w:rPr>
          <w:rFonts w:hint="eastAsia" w:ascii="仿宋_GB2312" w:eastAsia="仿宋_GB2312"/>
          <w:sz w:val="28"/>
          <w:szCs w:val="28"/>
          <w:lang w:val="en-US" w:eastAsia="zh-CN"/>
        </w:rPr>
        <w:t>0</w:t>
      </w:r>
      <w:r>
        <w:rPr>
          <w:rFonts w:hint="eastAsia" w:ascii="仿宋_GB2312" w:eastAsia="仿宋_GB2312"/>
          <w:sz w:val="28"/>
          <w:szCs w:val="28"/>
          <w:highlight w:val="none"/>
        </w:rPr>
        <w:t>%</w:t>
      </w:r>
      <w:r>
        <w:rPr>
          <w:rFonts w:hint="eastAsia" w:ascii="仿宋_GB2312" w:eastAsia="仿宋_GB2312"/>
          <w:sz w:val="28"/>
          <w:szCs w:val="28"/>
        </w:rPr>
        <w:t>；</w:t>
      </w:r>
    </w:p>
    <w:p>
      <w:pPr>
        <w:numPr>
          <w:ilvl w:val="0"/>
          <w:numId w:val="0"/>
        </w:numPr>
        <w:tabs>
          <w:tab w:val="center" w:pos="6979"/>
        </w:tabs>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lang w:val="en-US" w:eastAsia="zh-CN"/>
        </w:rPr>
        <w:t>2.</w:t>
      </w:r>
      <w:r>
        <w:rPr>
          <w:rFonts w:hint="eastAsia" w:ascii="仿宋_GB2312" w:eastAsia="仿宋_GB2312"/>
          <w:sz w:val="28"/>
          <w:szCs w:val="28"/>
        </w:rPr>
        <w:t>上级补助收入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pPr>
        <w:numPr>
          <w:ilvl w:val="0"/>
          <w:numId w:val="0"/>
        </w:numPr>
        <w:tabs>
          <w:tab w:val="center" w:pos="6979"/>
        </w:tabs>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lang w:val="en-US" w:eastAsia="zh-CN"/>
        </w:rPr>
        <w:t>3.</w:t>
      </w:r>
      <w:r>
        <w:rPr>
          <w:rFonts w:hint="eastAsia" w:ascii="仿宋_GB2312" w:eastAsia="仿宋_GB2312"/>
          <w:sz w:val="28"/>
          <w:szCs w:val="28"/>
          <w:highlight w:val="none"/>
        </w:rPr>
        <w:t>事业收入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4.经营收入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5.附属单位上缴收入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6.其他收入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pPr>
        <w:pStyle w:val="2"/>
        <w:ind w:firstLine="0"/>
        <w:jc w:val="center"/>
      </w:pPr>
      <w:r>
        <w:rPr>
          <w:rFonts w:hint="eastAsia" w:ascii="仿宋_GB2312" w:eastAsia="仿宋_GB2312"/>
          <w:color w:val="000000"/>
          <w:sz w:val="32"/>
          <w:szCs w:val="32"/>
          <w:highlight w:val="none"/>
          <w:lang w:val="en-US" w:eastAsia="zh-CN"/>
        </w:rPr>
        <w:t>图1：收入决算</w:t>
      </w:r>
    </w:p>
    <w:p>
      <w:pPr>
        <w:pStyle w:val="3"/>
        <w:ind w:firstLine="420"/>
        <w:jc w:val="center"/>
      </w:pPr>
      <w:r>
        <w:drawing>
          <wp:inline distT="0" distB="0" distL="0" distR="0">
            <wp:extent cx="4036695" cy="2328545"/>
            <wp:effectExtent l="0" t="0" r="20955" b="14605"/>
            <wp:docPr id="3" name="图表 3"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年度本年支出合计</w:t>
      </w:r>
      <w:r>
        <w:rPr>
          <w:rFonts w:ascii="仿宋_GB2312" w:eastAsia="仿宋_GB2312"/>
          <w:sz w:val="28"/>
          <w:szCs w:val="28"/>
        </w:rPr>
        <w:t>1582.75</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lang w:val="en-US" w:eastAsia="zh-CN"/>
        </w:rPr>
        <w:t>136.88</w:t>
      </w:r>
      <w:r>
        <w:rPr>
          <w:rFonts w:hint="eastAsia" w:ascii="仿宋_GB2312" w:eastAsia="仿宋_GB2312"/>
          <w:sz w:val="28"/>
          <w:szCs w:val="28"/>
        </w:rPr>
        <w:t>万元，增长</w:t>
      </w:r>
      <w:r>
        <w:rPr>
          <w:rFonts w:hint="eastAsia" w:ascii="仿宋_GB2312" w:eastAsia="仿宋_GB2312"/>
          <w:sz w:val="28"/>
          <w:szCs w:val="28"/>
          <w:lang w:val="en-US" w:eastAsia="zh-CN"/>
        </w:rPr>
        <w:t>9.47</w:t>
      </w:r>
      <w:r>
        <w:rPr>
          <w:rFonts w:hint="eastAsia" w:ascii="仿宋_GB2312" w:eastAsia="仿宋_GB2312"/>
          <w:sz w:val="28"/>
          <w:szCs w:val="28"/>
        </w:rPr>
        <w:t>%，其中：基本支</w:t>
      </w:r>
      <w:r>
        <w:rPr>
          <w:rFonts w:hint="eastAsia" w:ascii="仿宋_GB2312" w:eastAsia="仿宋_GB2312"/>
          <w:sz w:val="28"/>
          <w:szCs w:val="28"/>
          <w:highlight w:val="none"/>
        </w:rPr>
        <w:t>出</w:t>
      </w:r>
      <w:r>
        <w:rPr>
          <w:rFonts w:ascii="仿宋_GB2312" w:eastAsia="仿宋_GB2312"/>
          <w:sz w:val="28"/>
          <w:szCs w:val="28"/>
          <w:highlight w:val="none"/>
        </w:rPr>
        <w:t>443.89</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28.05</w:t>
      </w:r>
      <w:r>
        <w:rPr>
          <w:rFonts w:hint="eastAsia" w:ascii="仿宋_GB2312" w:eastAsia="仿宋_GB2312"/>
          <w:sz w:val="28"/>
          <w:szCs w:val="28"/>
          <w:highlight w:val="none"/>
        </w:rPr>
        <w:t>%；项目支出</w:t>
      </w:r>
      <w:r>
        <w:rPr>
          <w:rFonts w:ascii="仿宋_GB2312" w:eastAsia="仿宋_GB2312"/>
          <w:sz w:val="28"/>
          <w:szCs w:val="28"/>
          <w:highlight w:val="none"/>
        </w:rPr>
        <w:t>1138.86</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71.95</w:t>
      </w:r>
      <w:r>
        <w:rPr>
          <w:rFonts w:hint="eastAsia" w:ascii="仿宋_GB2312" w:eastAsia="仿宋_GB2312"/>
          <w:sz w:val="28"/>
          <w:szCs w:val="28"/>
          <w:highlight w:val="none"/>
        </w:rPr>
        <w:t>%;上缴上级支出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%；经营支出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%；对附属单位补助支出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r>
        <w:rPr>
          <w:rFonts w:hint="eastAsia" w:ascii="仿宋_GB2312" w:eastAsia="仿宋_GB2312"/>
          <w:sz w:val="28"/>
          <w:szCs w:val="28"/>
        </w:rPr>
        <w:t>。</w:t>
      </w:r>
    </w:p>
    <w:p>
      <w:pPr>
        <w:spacing w:line="560" w:lineRule="exact"/>
        <w:ind w:firstLine="640"/>
        <w:rPr>
          <w:rFonts w:hint="eastAsia" w:ascii="仿宋_GB2312" w:eastAsia="仿宋_GB2312" w:cs="Droid Sans"/>
          <w:color w:val="000000"/>
          <w:sz w:val="32"/>
          <w:szCs w:val="32"/>
          <w:highlight w:val="none"/>
          <w:lang w:eastAsia="zh-CN"/>
        </w:rPr>
      </w:pPr>
    </w:p>
    <w:p>
      <w:pPr>
        <w:pStyle w:val="2"/>
        <w:ind w:firstLine="642"/>
        <w:jc w:val="center"/>
        <w:rPr>
          <w:rFonts w:ascii="仿宋_GB2312" w:eastAsia="仿宋_GB2312"/>
          <w:color w:val="000000"/>
          <w:sz w:val="32"/>
        </w:rPr>
      </w:pPr>
      <w:r>
        <w:rPr>
          <w:rFonts w:hint="eastAsia" w:ascii="仿宋_GB2312" w:eastAsia="仿宋_GB2312"/>
          <w:color w:val="000000"/>
          <w:sz w:val="32"/>
        </w:rPr>
        <w:t>图2：基本支出和项目支出情况</w:t>
      </w:r>
    </w:p>
    <w:p>
      <w:pPr>
        <w:jc w:val="center"/>
        <w:rPr>
          <w:rFonts w:ascii="黑体" w:eastAsia="黑体"/>
          <w:b/>
          <w:sz w:val="28"/>
          <w:szCs w:val="28"/>
        </w:rPr>
      </w:pPr>
      <w:r>
        <w:drawing>
          <wp:inline distT="0" distB="0" distL="114300" distR="114300">
            <wp:extent cx="4572000" cy="2743200"/>
            <wp:effectExtent l="4445" t="4445" r="14605" b="14605"/>
            <wp:docPr id="1" name="图表 3" title="{{pieChart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三</w:t>
      </w:r>
      <w:r>
        <w:rPr>
          <w:rFonts w:ascii="黑体" w:eastAsia="黑体"/>
          <w:b/>
          <w:sz w:val="28"/>
          <w:szCs w:val="28"/>
        </w:rPr>
        <w:t>、财政拨款</w:t>
      </w:r>
      <w:r>
        <w:rPr>
          <w:rFonts w:hint="eastAsia" w:ascii="黑体" w:eastAsia="黑体"/>
          <w:b/>
          <w:sz w:val="28"/>
          <w:szCs w:val="28"/>
        </w:rPr>
        <w:t>收入支出决算</w:t>
      </w:r>
      <w:r>
        <w:rPr>
          <w:rFonts w:ascii="黑体" w:eastAsia="黑体"/>
          <w:b/>
          <w:sz w:val="28"/>
          <w:szCs w:val="28"/>
        </w:rPr>
        <w:t>总体情况说明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年度财政拨款收、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1582.75</w:t>
      </w:r>
      <w:r>
        <w:rPr>
          <w:rFonts w:hint="eastAsia" w:ascii="仿宋_GB2312" w:eastAsia="仿宋_GB2312"/>
          <w:sz w:val="28"/>
          <w:szCs w:val="28"/>
        </w:rPr>
        <w:t>万元，比上年</w:t>
      </w:r>
      <w:r>
        <w:rPr>
          <w:rFonts w:ascii="仿宋_GB2312" w:eastAsia="仿宋_GB2312"/>
          <w:sz w:val="28"/>
          <w:szCs w:val="28"/>
        </w:rPr>
        <w:t>增加</w:t>
      </w:r>
      <w:r>
        <w:rPr>
          <w:rFonts w:hint="eastAsia" w:ascii="仿宋_GB2312" w:eastAsia="仿宋_GB2312"/>
          <w:sz w:val="28"/>
          <w:szCs w:val="28"/>
          <w:lang w:val="en-US" w:eastAsia="zh-CN"/>
        </w:rPr>
        <w:t>136.88</w:t>
      </w:r>
      <w:r>
        <w:rPr>
          <w:rFonts w:hint="eastAsia" w:ascii="仿宋_GB2312" w:eastAsia="仿宋_GB2312"/>
          <w:sz w:val="28"/>
          <w:szCs w:val="28"/>
        </w:rPr>
        <w:t>万元，增长</w:t>
      </w:r>
      <w:r>
        <w:rPr>
          <w:rFonts w:hint="eastAsia" w:ascii="仿宋_GB2312" w:eastAsia="仿宋_GB2312"/>
          <w:sz w:val="28"/>
          <w:szCs w:val="28"/>
          <w:lang w:val="en-US" w:eastAsia="zh-CN"/>
        </w:rPr>
        <w:t>9.47</w:t>
      </w:r>
      <w:r>
        <w:rPr>
          <w:rFonts w:hint="eastAsia" w:ascii="仿宋_GB2312" w:eastAsia="仿宋_GB2312"/>
          <w:sz w:val="28"/>
          <w:szCs w:val="28"/>
        </w:rPr>
        <w:t>%。主要原因：</w:t>
      </w:r>
      <w:r>
        <w:rPr>
          <w:rFonts w:hint="eastAsia" w:ascii="仿宋_GB2312" w:eastAsia="仿宋_GB2312"/>
          <w:sz w:val="28"/>
          <w:szCs w:val="28"/>
          <w:lang w:val="en-US" w:eastAsia="zh-CN"/>
        </w:rPr>
        <w:t>2024年9月在职教师调入3人，调出1人，净增2人；新增员额制教师12人，员额制项目经费增长；同年和悦分园扩班，幼儿数增长，综合定额经费增长</w:t>
      </w:r>
      <w:r>
        <w:rPr>
          <w:rFonts w:hint="eastAsia" w:ascii="仿宋_GB2312" w:eastAsia="仿宋_GB2312"/>
          <w:sz w:val="28"/>
          <w:szCs w:val="28"/>
        </w:rPr>
        <w:t>。</w:t>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四、一般公共预算财政拨款支出决算情况说明</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（一）一般公共预算财政拨款支出决算总体情况</w:t>
      </w:r>
    </w:p>
    <w:p>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年度一般公共预算财政拨款支出</w:t>
      </w:r>
      <w:r>
        <w:rPr>
          <w:rFonts w:ascii="仿宋_GB2312" w:eastAsia="仿宋_GB2312"/>
          <w:sz w:val="28"/>
          <w:szCs w:val="28"/>
        </w:rPr>
        <w:t>1582.75</w:t>
      </w:r>
      <w:r>
        <w:rPr>
          <w:rFonts w:hint="eastAsia" w:ascii="仿宋_GB2312" w:eastAsia="仿宋_GB2312"/>
          <w:sz w:val="28"/>
          <w:szCs w:val="28"/>
        </w:rPr>
        <w:t>万元，主要用于以下方面（按大类）：一般公共服务支出</w:t>
      </w:r>
      <w:r>
        <w:rPr>
          <w:rFonts w:hint="eastAsia" w:ascii="仿宋_GB2312" w:eastAsia="仿宋_GB2312"/>
          <w:sz w:val="28"/>
          <w:szCs w:val="28"/>
          <w:lang w:val="en-US" w:eastAsia="zh-CN"/>
        </w:rPr>
        <w:t>0</w:t>
      </w:r>
      <w:r>
        <w:rPr>
          <w:rFonts w:hint="eastAsia" w:ascii="仿宋_GB2312" w:eastAsia="仿宋_GB2312"/>
          <w:sz w:val="28"/>
          <w:szCs w:val="28"/>
        </w:rPr>
        <w:t>万元，占本年财政拨款支出</w:t>
      </w:r>
      <w:r>
        <w:rPr>
          <w:rFonts w:hint="eastAsia" w:ascii="仿宋_GB2312" w:eastAsia="仿宋_GB2312"/>
          <w:sz w:val="28"/>
          <w:szCs w:val="28"/>
          <w:lang w:val="en-US" w:eastAsia="zh-CN"/>
        </w:rPr>
        <w:t>0</w:t>
      </w:r>
      <w:r>
        <w:rPr>
          <w:rFonts w:hint="eastAsia" w:ascii="仿宋_GB2312" w:eastAsia="仿宋_GB2312"/>
          <w:sz w:val="28"/>
          <w:szCs w:val="28"/>
        </w:rPr>
        <w:t>%；教育支出</w:t>
      </w:r>
      <w:r>
        <w:rPr>
          <w:rFonts w:hint="eastAsia" w:ascii="仿宋_GB2312" w:eastAsia="仿宋_GB2312"/>
          <w:sz w:val="28"/>
          <w:szCs w:val="28"/>
          <w:lang w:val="en-US" w:eastAsia="zh-CN"/>
        </w:rPr>
        <w:t>1503.66</w:t>
      </w:r>
      <w:r>
        <w:rPr>
          <w:rFonts w:hint="eastAsia" w:ascii="仿宋_GB2312" w:eastAsia="仿宋_GB2312"/>
          <w:sz w:val="28"/>
          <w:szCs w:val="28"/>
        </w:rPr>
        <w:t>万元，占本年财政拨款支出</w:t>
      </w:r>
      <w:r>
        <w:rPr>
          <w:rFonts w:hint="eastAsia" w:ascii="仿宋_GB2312" w:eastAsia="仿宋_GB2312"/>
          <w:sz w:val="28"/>
          <w:szCs w:val="28"/>
          <w:lang w:val="en-US" w:eastAsia="zh-CN"/>
        </w:rPr>
        <w:t>95</w:t>
      </w:r>
      <w:r>
        <w:rPr>
          <w:rFonts w:hint="eastAsia" w:ascii="仿宋_GB2312" w:eastAsia="仿宋_GB2312"/>
          <w:sz w:val="28"/>
          <w:szCs w:val="28"/>
        </w:rPr>
        <w:t>%。社会保障和就业支出</w:t>
      </w:r>
      <w:r>
        <w:rPr>
          <w:rFonts w:hint="eastAsia" w:ascii="仿宋_GB2312" w:eastAsia="仿宋_GB2312"/>
          <w:sz w:val="28"/>
          <w:szCs w:val="28"/>
          <w:lang w:val="en-US" w:eastAsia="zh-CN"/>
        </w:rPr>
        <w:t>33.8</w:t>
      </w:r>
      <w:r>
        <w:rPr>
          <w:rFonts w:hint="eastAsia" w:ascii="仿宋_GB2312" w:eastAsia="仿宋_GB2312"/>
          <w:sz w:val="28"/>
          <w:szCs w:val="28"/>
        </w:rPr>
        <w:t>万元，占本年财政拨款支出</w:t>
      </w:r>
      <w:r>
        <w:rPr>
          <w:rFonts w:hint="eastAsia" w:ascii="仿宋_GB2312" w:eastAsia="仿宋_GB2312"/>
          <w:sz w:val="28"/>
          <w:szCs w:val="28"/>
          <w:lang w:val="en-US" w:eastAsia="zh-CN"/>
        </w:rPr>
        <w:t>2.14</w:t>
      </w:r>
      <w:r>
        <w:rPr>
          <w:rFonts w:hint="eastAsia" w:ascii="仿宋_GB2312" w:eastAsia="仿宋_GB2312"/>
          <w:sz w:val="28"/>
          <w:szCs w:val="28"/>
        </w:rPr>
        <w:t>%。卫生健康支出</w:t>
      </w:r>
      <w:r>
        <w:rPr>
          <w:rFonts w:hint="eastAsia" w:ascii="仿宋_GB2312" w:eastAsia="仿宋_GB2312"/>
          <w:sz w:val="28"/>
          <w:szCs w:val="28"/>
          <w:lang w:val="en-US" w:eastAsia="zh-CN"/>
        </w:rPr>
        <w:t>24.29</w:t>
      </w:r>
      <w:r>
        <w:rPr>
          <w:rFonts w:hint="eastAsia" w:ascii="仿宋_GB2312" w:eastAsia="仿宋_GB2312"/>
          <w:sz w:val="28"/>
          <w:szCs w:val="28"/>
        </w:rPr>
        <w:t>万元，占本年财政拨款支出1.</w:t>
      </w:r>
      <w:r>
        <w:rPr>
          <w:rFonts w:hint="eastAsia" w:ascii="仿宋_GB2312" w:eastAsia="仿宋_GB2312"/>
          <w:sz w:val="28"/>
          <w:szCs w:val="28"/>
          <w:lang w:val="en-US" w:eastAsia="zh-CN"/>
        </w:rPr>
        <w:t>53</w:t>
      </w:r>
      <w:r>
        <w:rPr>
          <w:rFonts w:hint="eastAsia" w:ascii="仿宋_GB2312" w:eastAsia="仿宋_GB2312"/>
          <w:sz w:val="28"/>
          <w:szCs w:val="28"/>
        </w:rPr>
        <w:t>%。</w:t>
      </w:r>
      <w:r>
        <w:rPr>
          <w:rFonts w:hint="eastAsia" w:ascii="仿宋_GB2312" w:eastAsia="仿宋_GB2312"/>
          <w:sz w:val="28"/>
          <w:szCs w:val="28"/>
          <w:lang w:val="en-US" w:eastAsia="zh-CN"/>
        </w:rPr>
        <w:t>住房保障支出</w:t>
      </w:r>
      <w:r>
        <w:rPr>
          <w:rFonts w:hint="eastAsia" w:ascii="仿宋_GB2312" w:eastAsia="仿宋_GB2312"/>
          <w:sz w:val="28"/>
          <w:szCs w:val="28"/>
        </w:rPr>
        <w:t>出</w:t>
      </w:r>
      <w:r>
        <w:rPr>
          <w:rFonts w:hint="eastAsia" w:ascii="仿宋_GB2312" w:eastAsia="仿宋_GB2312"/>
          <w:sz w:val="28"/>
          <w:szCs w:val="28"/>
          <w:lang w:val="en-US" w:eastAsia="zh-CN"/>
        </w:rPr>
        <w:t>21</w:t>
      </w:r>
      <w:r>
        <w:rPr>
          <w:rFonts w:hint="eastAsia" w:ascii="仿宋_GB2312" w:eastAsia="仿宋_GB2312"/>
          <w:sz w:val="28"/>
          <w:szCs w:val="28"/>
        </w:rPr>
        <w:t>万元，占本年财政拨款支出</w:t>
      </w:r>
      <w:r>
        <w:rPr>
          <w:rFonts w:hint="eastAsia" w:ascii="仿宋_GB2312" w:eastAsia="仿宋_GB2312"/>
          <w:sz w:val="28"/>
          <w:szCs w:val="28"/>
          <w:lang w:val="en-US" w:eastAsia="zh-CN"/>
        </w:rPr>
        <w:t>1.33</w:t>
      </w:r>
      <w:r>
        <w:rPr>
          <w:rFonts w:hint="eastAsia" w:ascii="仿宋_GB2312" w:eastAsia="仿宋_GB2312"/>
          <w:sz w:val="28"/>
          <w:szCs w:val="28"/>
        </w:rPr>
        <w:t>%。</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（二）一般公共预算财政拨款支出决算具体情况</w:t>
      </w:r>
    </w:p>
    <w:p>
      <w:pPr>
        <w:numPr>
          <w:ilvl w:val="0"/>
          <w:numId w:val="0"/>
        </w:num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1、</w:t>
      </w:r>
      <w:r>
        <w:rPr>
          <w:rFonts w:hint="eastAsia" w:ascii="仿宋_GB2312" w:eastAsia="仿宋_GB2312"/>
          <w:sz w:val="28"/>
          <w:szCs w:val="28"/>
        </w:rPr>
        <w:t>教育支出”(类) 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1412.13</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1503.66</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106.48</w:t>
      </w:r>
      <w:r>
        <w:rPr>
          <w:rFonts w:hint="eastAsia" w:ascii="仿宋_GB2312" w:eastAsia="仿宋_GB2312"/>
          <w:sz w:val="28"/>
          <w:szCs w:val="28"/>
        </w:rPr>
        <w:t>%。主要原因：</w:t>
      </w:r>
      <w:r>
        <w:rPr>
          <w:rFonts w:hint="eastAsia" w:ascii="仿宋_GB2312" w:eastAsia="仿宋_GB2312"/>
          <w:sz w:val="28"/>
          <w:szCs w:val="28"/>
          <w:lang w:val="en-US" w:eastAsia="zh-CN"/>
        </w:rPr>
        <w:t>2024年9月在职教师调入3人，调出1人，净增2人；新增员额制教师12人，员额制项目经费增长；同年和悦分园扩班，幼儿数增长，综合定额经费增长</w:t>
      </w:r>
      <w:r>
        <w:rPr>
          <w:rFonts w:hint="eastAsia" w:ascii="仿宋_GB2312" w:eastAsia="仿宋_GB2312"/>
          <w:sz w:val="28"/>
          <w:szCs w:val="28"/>
        </w:rPr>
        <w:t>。</w:t>
      </w:r>
    </w:p>
    <w:p>
      <w:pPr>
        <w:numPr>
          <w:ilvl w:val="0"/>
          <w:numId w:val="1"/>
        </w:num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“社会保障和就业支出”(类)202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30.57</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33.8</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110.57</w:t>
      </w:r>
      <w:r>
        <w:rPr>
          <w:rFonts w:hint="eastAsia" w:ascii="仿宋_GB2312" w:eastAsia="仿宋_GB2312"/>
          <w:sz w:val="28"/>
          <w:szCs w:val="28"/>
        </w:rPr>
        <w:t>%。主要原因：</w:t>
      </w:r>
      <w:r>
        <w:rPr>
          <w:rFonts w:hint="eastAsia" w:ascii="仿宋_GB2312" w:eastAsia="仿宋_GB2312"/>
          <w:sz w:val="28"/>
          <w:szCs w:val="28"/>
          <w:lang w:val="en-US" w:eastAsia="zh-CN"/>
        </w:rPr>
        <w:t>2024年9月在职教师调入3人，调出1人，净增2人，因此</w:t>
      </w:r>
      <w:r>
        <w:rPr>
          <w:rFonts w:hint="eastAsia" w:ascii="仿宋_GB2312" w:eastAsia="仿宋_GB2312"/>
          <w:sz w:val="28"/>
          <w:szCs w:val="28"/>
        </w:rPr>
        <w:t>行政事业单位养老支出</w:t>
      </w:r>
      <w:r>
        <w:rPr>
          <w:rFonts w:hint="eastAsia" w:ascii="仿宋_GB2312" w:eastAsia="仿宋_GB2312"/>
          <w:sz w:val="28"/>
          <w:szCs w:val="28"/>
          <w:lang w:val="en-US" w:eastAsia="zh-CN"/>
        </w:rPr>
        <w:t>增加。</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lang w:val="en-US" w:eastAsia="zh-CN"/>
        </w:rPr>
        <w:t>3、</w:t>
      </w:r>
      <w:r>
        <w:rPr>
          <w:rFonts w:hint="eastAsia" w:ascii="仿宋_GB2312" w:eastAsia="仿宋_GB2312"/>
          <w:sz w:val="28"/>
          <w:szCs w:val="28"/>
        </w:rPr>
        <w:t>“卫生健康支出”（类）202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22.6</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24.29</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107.48</w:t>
      </w:r>
      <w:r>
        <w:rPr>
          <w:rFonts w:hint="eastAsia" w:ascii="仿宋_GB2312" w:eastAsia="仿宋_GB2312"/>
          <w:sz w:val="28"/>
          <w:szCs w:val="28"/>
        </w:rPr>
        <w:t>%。主要原因：</w:t>
      </w:r>
      <w:r>
        <w:rPr>
          <w:rFonts w:hint="eastAsia" w:ascii="仿宋_GB2312" w:eastAsia="仿宋_GB2312"/>
          <w:sz w:val="28"/>
          <w:szCs w:val="28"/>
          <w:lang w:val="en-US" w:eastAsia="zh-CN"/>
        </w:rPr>
        <w:t>2024年9月在职教师调入3人，调出1人，净增2人，因此行</w:t>
      </w:r>
      <w:r>
        <w:rPr>
          <w:rFonts w:hint="eastAsia" w:ascii="仿宋_GB2312" w:eastAsia="仿宋_GB2312"/>
          <w:sz w:val="28"/>
          <w:szCs w:val="28"/>
        </w:rPr>
        <w:t>政事业单位医疗</w:t>
      </w:r>
      <w:r>
        <w:rPr>
          <w:rFonts w:hint="eastAsia" w:ascii="仿宋_GB2312" w:eastAsia="仿宋_GB2312"/>
          <w:sz w:val="28"/>
          <w:szCs w:val="28"/>
          <w:lang w:val="en-US" w:eastAsia="zh-CN"/>
        </w:rPr>
        <w:t>支出增加。</w:t>
      </w:r>
    </w:p>
    <w:p>
      <w:pPr>
        <w:spacing w:line="580" w:lineRule="exact"/>
        <w:ind w:firstLine="560" w:firstLineChars="200"/>
        <w:rPr>
          <w:rFonts w:hint="eastAsia" w:ascii="黑体" w:eastAsia="黑体"/>
          <w:b/>
          <w:sz w:val="28"/>
          <w:szCs w:val="28"/>
        </w:rPr>
      </w:pPr>
      <w:r>
        <w:rPr>
          <w:rFonts w:hint="eastAsia" w:ascii="黑体" w:eastAsia="黑体"/>
          <w:b/>
          <w:sz w:val="28"/>
          <w:szCs w:val="28"/>
        </w:rPr>
        <w:t>五、政府性基金预算财政拨款支出决算情况说明</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本单位202</w:t>
      </w:r>
      <w:r>
        <w:rPr>
          <w:rFonts w:hint="eastAsia" w:ascii="仿宋_GB2312" w:eastAsia="仿宋_GB2312"/>
          <w:sz w:val="28"/>
          <w:szCs w:val="28"/>
          <w:lang w:val="en-US" w:eastAsia="zh-CN"/>
        </w:rPr>
        <w:t>4</w:t>
      </w:r>
      <w:r>
        <w:rPr>
          <w:rFonts w:hint="eastAsia" w:ascii="仿宋_GB2312" w:eastAsia="仿宋_GB2312"/>
          <w:sz w:val="28"/>
          <w:szCs w:val="28"/>
        </w:rPr>
        <w:t>年无政府性基金预算财政拨款支出情况。</w:t>
      </w:r>
    </w:p>
    <w:p>
      <w:pPr>
        <w:spacing w:line="580" w:lineRule="exact"/>
        <w:ind w:firstLine="560" w:firstLineChars="200"/>
        <w:rPr>
          <w:rFonts w:hint="eastAsia" w:ascii="黑体" w:eastAsia="黑体"/>
          <w:b/>
          <w:sz w:val="28"/>
          <w:szCs w:val="28"/>
        </w:rPr>
      </w:pPr>
    </w:p>
    <w:p>
      <w:pPr>
        <w:spacing w:line="580" w:lineRule="exact"/>
        <w:ind w:firstLine="560" w:firstLineChars="200"/>
        <w:rPr>
          <w:rFonts w:hint="eastAsia" w:ascii="黑体" w:eastAsia="黑体"/>
          <w:b/>
          <w:sz w:val="28"/>
          <w:szCs w:val="28"/>
        </w:rPr>
      </w:pPr>
      <w:r>
        <w:rPr>
          <w:rFonts w:hint="eastAsia" w:ascii="黑体" w:eastAsia="黑体"/>
          <w:b/>
          <w:sz w:val="28"/>
          <w:szCs w:val="28"/>
        </w:rPr>
        <w:t>六、国有资本经营预算财</w:t>
      </w:r>
      <w:r>
        <w:rPr>
          <w:rFonts w:ascii="黑体" w:eastAsia="黑体"/>
          <w:b/>
          <w:sz w:val="28"/>
          <w:szCs w:val="28"/>
        </w:rPr>
        <w:t>政拨款</w:t>
      </w:r>
      <w:r>
        <w:rPr>
          <w:rFonts w:hint="eastAsia" w:ascii="黑体" w:eastAsia="黑体"/>
          <w:b/>
          <w:sz w:val="28"/>
          <w:szCs w:val="28"/>
        </w:rPr>
        <w:t>收支情况</w:t>
      </w:r>
    </w:p>
    <w:p>
      <w:pPr>
        <w:ind w:firstLine="537" w:firstLineChars="192"/>
        <w:rPr>
          <w:rFonts w:hint="eastAsia" w:ascii="仿宋_GB2312" w:eastAsia="仿宋_GB2312"/>
          <w:sz w:val="28"/>
          <w:szCs w:val="28"/>
        </w:rPr>
      </w:pPr>
      <w:r>
        <w:rPr>
          <w:rFonts w:hint="eastAsia" w:ascii="仿宋_GB2312" w:eastAsia="仿宋_GB2312"/>
          <w:sz w:val="28"/>
          <w:szCs w:val="28"/>
        </w:rPr>
        <w:t>本单位202</w:t>
      </w:r>
      <w:r>
        <w:rPr>
          <w:rFonts w:hint="eastAsia" w:ascii="仿宋_GB2312" w:eastAsia="仿宋_GB2312"/>
          <w:sz w:val="28"/>
          <w:szCs w:val="28"/>
          <w:lang w:val="en-US" w:eastAsia="zh-CN"/>
        </w:rPr>
        <w:t>4</w:t>
      </w:r>
      <w:r>
        <w:rPr>
          <w:rFonts w:hint="eastAsia" w:ascii="仿宋_GB2312" w:eastAsia="仿宋_GB2312"/>
          <w:sz w:val="28"/>
          <w:szCs w:val="28"/>
        </w:rPr>
        <w:t>年度无国有资本经营预算财</w:t>
      </w:r>
      <w:r>
        <w:rPr>
          <w:rFonts w:ascii="仿宋_GB2312" w:eastAsia="仿宋_GB2312"/>
          <w:sz w:val="28"/>
          <w:szCs w:val="28"/>
        </w:rPr>
        <w:t>政拨款</w:t>
      </w:r>
      <w:r>
        <w:rPr>
          <w:rFonts w:hint="eastAsia" w:ascii="仿宋_GB2312" w:eastAsia="仿宋_GB2312"/>
          <w:sz w:val="28"/>
          <w:szCs w:val="28"/>
        </w:rPr>
        <w:t>安排的支出</w:t>
      </w:r>
    </w:p>
    <w:p>
      <w:pPr>
        <w:spacing w:line="580" w:lineRule="exact"/>
        <w:ind w:firstLine="548" w:firstLineChars="196"/>
        <w:rPr>
          <w:rFonts w:hint="eastAsia" w:ascii="黑体" w:eastAsia="黑体"/>
          <w:sz w:val="28"/>
          <w:szCs w:val="28"/>
        </w:rPr>
      </w:pPr>
      <w:r>
        <w:rPr>
          <w:rFonts w:hint="eastAsia" w:ascii="黑体" w:eastAsia="黑体"/>
          <w:b/>
          <w:sz w:val="28"/>
          <w:szCs w:val="28"/>
        </w:rPr>
        <w:t>七、财政拨款基本支出决算情况说明</w:t>
      </w:r>
    </w:p>
    <w:p>
      <w:pPr>
        <w:numPr>
          <w:ilvl w:val="0"/>
          <w:numId w:val="0"/>
        </w:numPr>
        <w:ind w:firstLine="560" w:firstLineChars="200"/>
        <w:rPr>
          <w:rFonts w:hint="eastAsia" w:ascii="仿宋_GB2312" w:eastAsia="仿宋_GB2312"/>
          <w:sz w:val="28"/>
          <w:szCs w:val="28"/>
          <w:lang w:val="en-US" w:eastAsia="zh-CN"/>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年度使用一般公共预算财政拨款安排基本支出</w:t>
      </w:r>
      <w:r>
        <w:rPr>
          <w:rFonts w:ascii="仿宋_GB2312" w:eastAsia="仿宋_GB2312"/>
          <w:sz w:val="28"/>
          <w:szCs w:val="28"/>
        </w:rPr>
        <w:t>443.89</w:t>
      </w:r>
      <w:r>
        <w:rPr>
          <w:rFonts w:hint="eastAsia" w:ascii="仿宋_GB2312" w:eastAsia="仿宋_GB2312"/>
          <w:sz w:val="28"/>
          <w:szCs w:val="28"/>
        </w:rPr>
        <w:t>万元，其中：（1）工资福利支出包括基本工资</w:t>
      </w:r>
      <w:r>
        <w:rPr>
          <w:rFonts w:ascii="仿宋_GB2312" w:eastAsia="仿宋_GB2312"/>
          <w:sz w:val="28"/>
          <w:szCs w:val="28"/>
        </w:rPr>
        <w:t>、津贴补贴、绩效工资、</w:t>
      </w:r>
      <w:r>
        <w:rPr>
          <w:rFonts w:hint="eastAsia" w:ascii="仿宋_GB2312" w:eastAsia="仿宋_GB2312"/>
          <w:sz w:val="28"/>
          <w:szCs w:val="28"/>
        </w:rPr>
        <w:t>机关事业单位基本养老保险缴费、职业年金缴费、职工基本医疗保险缴费、公务员医疗补助缴费、其他</w:t>
      </w:r>
      <w:r>
        <w:rPr>
          <w:rFonts w:ascii="仿宋_GB2312" w:eastAsia="仿宋_GB2312"/>
          <w:sz w:val="28"/>
          <w:szCs w:val="28"/>
        </w:rPr>
        <w:t>社会保障缴费、</w:t>
      </w:r>
      <w:r>
        <w:rPr>
          <w:rFonts w:hint="eastAsia" w:ascii="仿宋_GB2312" w:eastAsia="仿宋_GB2312"/>
          <w:sz w:val="28"/>
          <w:szCs w:val="28"/>
        </w:rPr>
        <w:t>住房公积金；（2）商品和服务支出包括</w:t>
      </w:r>
      <w:r>
        <w:rPr>
          <w:rFonts w:ascii="仿宋_GB2312" w:eastAsia="仿宋_GB2312"/>
          <w:sz w:val="28"/>
          <w:szCs w:val="28"/>
        </w:rPr>
        <w:t>办公费、水费、电费、取暖费、维修（护）费、培训费</w:t>
      </w:r>
      <w:r>
        <w:rPr>
          <w:rFonts w:hint="eastAsia" w:ascii="仿宋_GB2312" w:eastAsia="仿宋_GB2312"/>
          <w:sz w:val="28"/>
          <w:szCs w:val="28"/>
        </w:rPr>
        <w:t>、</w:t>
      </w:r>
      <w:r>
        <w:rPr>
          <w:rFonts w:ascii="仿宋_GB2312" w:eastAsia="仿宋_GB2312"/>
          <w:sz w:val="28"/>
          <w:szCs w:val="28"/>
        </w:rPr>
        <w:t>福利费</w:t>
      </w:r>
      <w:r>
        <w:rPr>
          <w:rFonts w:hint="eastAsia" w:ascii="仿宋_GB2312" w:eastAsia="仿宋_GB2312"/>
          <w:sz w:val="28"/>
          <w:szCs w:val="28"/>
          <w:lang w:eastAsia="zh-CN"/>
        </w:rPr>
        <w:t>。</w:t>
      </w:r>
    </w:p>
    <w:p>
      <w:pPr>
        <w:autoSpaceDE w:val="0"/>
        <w:autoSpaceDN w:val="0"/>
        <w:adjustRightInd w:val="0"/>
        <w:spacing w:line="580" w:lineRule="exact"/>
        <w:jc w:val="both"/>
        <w:rPr>
          <w:rFonts w:hint="eastAsia" w:ascii="宋体" w:hAnsi="宋体"/>
          <w:b/>
          <w:spacing w:val="40"/>
          <w:sz w:val="32"/>
          <w:szCs w:val="32"/>
        </w:rPr>
      </w:pPr>
    </w:p>
    <w:p>
      <w:pPr>
        <w:tabs>
          <w:tab w:val="center" w:pos="6979"/>
        </w:tabs>
        <w:jc w:val="center"/>
        <w:rPr>
          <w:rFonts w:hint="eastAsia" w:ascii="宋体" w:hAnsi="宋体" w:cs="宋体"/>
          <w:b/>
          <w:spacing w:val="40"/>
          <w:kern w:val="0"/>
          <w:sz w:val="32"/>
          <w:szCs w:val="32"/>
        </w:rPr>
      </w:pPr>
      <w:r>
        <w:rPr>
          <w:rFonts w:hint="eastAsia" w:ascii="宋体" w:hAnsi="宋体" w:cs="宋体"/>
          <w:b/>
          <w:bCs/>
          <w:spacing w:val="40"/>
          <w:kern w:val="0"/>
          <w:sz w:val="32"/>
          <w:szCs w:val="32"/>
        </w:rPr>
        <w:t>第三部分</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w:t>
      </w:r>
      <w:r>
        <w:rPr>
          <w:rFonts w:hint="eastAsia" w:ascii="宋体" w:hAnsi="宋体" w:cs="宋体"/>
          <w:b/>
          <w:spacing w:val="40"/>
          <w:kern w:val="0"/>
          <w:sz w:val="32"/>
          <w:szCs w:val="32"/>
        </w:rPr>
        <w:t>其他重要事项的情况说明</w:t>
      </w:r>
    </w:p>
    <w:p>
      <w:pPr>
        <w:spacing w:line="560" w:lineRule="exact"/>
        <w:ind w:firstLine="560" w:firstLineChars="200"/>
        <w:rPr>
          <w:rFonts w:hint="eastAsia" w:ascii="黑体" w:eastAsia="黑体"/>
          <w:sz w:val="28"/>
          <w:szCs w:val="28"/>
        </w:rPr>
      </w:pPr>
      <w:r>
        <w:rPr>
          <w:rFonts w:hint="eastAsia" w:ascii="黑体" w:eastAsia="黑体"/>
          <w:sz w:val="28"/>
          <w:szCs w:val="28"/>
        </w:rPr>
        <w:t>一、“三公”经费财政拨款决算情况</w:t>
      </w:r>
    </w:p>
    <w:p>
      <w:pPr>
        <w:spacing w:line="560" w:lineRule="exact"/>
        <w:ind w:firstLine="600"/>
        <w:rPr>
          <w:rFonts w:ascii="仿宋_GB2312" w:eastAsia="仿宋_GB2312"/>
          <w:sz w:val="28"/>
          <w:szCs w:val="28"/>
        </w:rPr>
      </w:pPr>
      <w:r>
        <w:rPr>
          <w:rFonts w:hint="eastAsia" w:ascii="仿宋_GB2312" w:eastAsia="仿宋_GB2312"/>
          <w:sz w:val="28"/>
          <w:szCs w:val="28"/>
          <w:lang w:eastAsia="zh-CN"/>
        </w:rPr>
        <w:t>2024</w:t>
      </w:r>
      <w:r>
        <w:rPr>
          <w:rFonts w:hint="eastAsia" w:ascii="仿宋_GB2312" w:eastAsia="仿宋_GB2312"/>
          <w:sz w:val="28"/>
          <w:szCs w:val="28"/>
        </w:rPr>
        <w:t>年度“三公”经费财政拨款决算数</w:t>
      </w:r>
      <w:r>
        <w:rPr>
          <w:rFonts w:ascii="仿宋_GB2312" w:eastAsia="仿宋_GB2312"/>
          <w:sz w:val="28"/>
          <w:szCs w:val="28"/>
        </w:rPr>
        <w:t>0.47</w:t>
      </w:r>
      <w:r>
        <w:rPr>
          <w:rFonts w:hint="eastAsia" w:ascii="仿宋_GB2312" w:eastAsia="仿宋_GB2312"/>
          <w:sz w:val="28"/>
          <w:szCs w:val="28"/>
        </w:rPr>
        <w:t>万元，比</w:t>
      </w:r>
      <w:r>
        <w:rPr>
          <w:rFonts w:hint="eastAsia" w:ascii="仿宋_GB2312" w:eastAsia="仿宋_GB2312"/>
          <w:sz w:val="28"/>
          <w:szCs w:val="28"/>
          <w:lang w:eastAsia="zh-CN"/>
        </w:rPr>
        <w:t>2024</w:t>
      </w:r>
      <w:r>
        <w:rPr>
          <w:rFonts w:hint="eastAsia" w:ascii="仿宋_GB2312" w:eastAsia="仿宋_GB2312"/>
          <w:sz w:val="28"/>
          <w:szCs w:val="28"/>
        </w:rPr>
        <w:t>年度“三公”经费财政拨款年初预算</w:t>
      </w:r>
      <w:r>
        <w:rPr>
          <w:rFonts w:ascii="仿宋_GB2312" w:eastAsia="仿宋_GB2312"/>
          <w:sz w:val="28"/>
          <w:szCs w:val="28"/>
        </w:rPr>
        <w:t>0.1</w:t>
      </w:r>
      <w:r>
        <w:rPr>
          <w:rFonts w:hint="eastAsia" w:ascii="仿宋_GB2312" w:eastAsia="仿宋_GB2312"/>
          <w:sz w:val="28"/>
          <w:szCs w:val="28"/>
        </w:rPr>
        <w:t>万元增加</w:t>
      </w:r>
      <w:r>
        <w:rPr>
          <w:rFonts w:hint="eastAsia" w:ascii="仿宋_GB2312" w:eastAsia="仿宋_GB2312"/>
          <w:sz w:val="28"/>
          <w:szCs w:val="28"/>
          <w:lang w:val="en-US" w:eastAsia="zh-CN"/>
        </w:rPr>
        <w:t>0.37</w:t>
      </w:r>
      <w:r>
        <w:rPr>
          <w:rFonts w:hint="eastAsia" w:ascii="仿宋_GB2312" w:eastAsia="仿宋_GB2312"/>
          <w:sz w:val="28"/>
          <w:szCs w:val="28"/>
        </w:rPr>
        <w:t>万元。其中：</w:t>
      </w:r>
    </w:p>
    <w:p>
      <w:pPr>
        <w:spacing w:line="560" w:lineRule="exact"/>
        <w:ind w:firstLine="600"/>
        <w:rPr>
          <w:rFonts w:hint="eastAsia" w:ascii="仿宋_GB2312" w:eastAsia="仿宋_GB2312"/>
          <w:sz w:val="28"/>
          <w:szCs w:val="28"/>
          <w:lang w:eastAsia="zh-CN"/>
        </w:rPr>
      </w:pPr>
      <w:r>
        <w:rPr>
          <w:rFonts w:hint="eastAsia" w:ascii="仿宋_GB2312" w:eastAsia="仿宋_GB2312"/>
          <w:sz w:val="28"/>
          <w:szCs w:val="28"/>
        </w:rPr>
        <w:t>因公出国（境）费用。202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hint="eastAsia" w:ascii="仿宋_GB2312" w:eastAsia="仿宋_GB2312"/>
          <w:sz w:val="28"/>
          <w:szCs w:val="28"/>
          <w:lang w:val="en-US" w:eastAsia="zh-CN"/>
        </w:rPr>
        <w:t>0</w:t>
      </w:r>
      <w:r>
        <w:rPr>
          <w:rFonts w:hint="eastAsia" w:ascii="仿宋_GB2312" w:eastAsia="仿宋_GB2312"/>
          <w:sz w:val="28"/>
          <w:szCs w:val="28"/>
        </w:rPr>
        <w:t>万元</w:t>
      </w:r>
      <w:r>
        <w:rPr>
          <w:rFonts w:hint="eastAsia" w:ascii="仿宋_GB2312" w:eastAsia="仿宋_GB2312"/>
          <w:sz w:val="28"/>
          <w:szCs w:val="28"/>
          <w:lang w:eastAsia="zh-CN"/>
        </w:rPr>
        <w:t>增减无变化，保持一致</w:t>
      </w:r>
      <w:r>
        <w:rPr>
          <w:rFonts w:hint="eastAsia" w:ascii="仿宋_GB2312" w:eastAsia="仿宋_GB2312"/>
          <w:sz w:val="28"/>
          <w:szCs w:val="28"/>
        </w:rPr>
        <w:t>。主要原因：是因公出国（境）费用根据年度出国审批情况作为追加项目管理，单位不做年初预算，本年也没有出国审批项目发生；2024年度因公出国（境）费用主要用于出国（境）的会议、培训交流等事项等，2024年度组织因公出国（境）团组0个、0人次</w:t>
      </w:r>
      <w:r>
        <w:rPr>
          <w:rFonts w:hint="eastAsia" w:ascii="仿宋_GB2312" w:eastAsia="仿宋_GB2312"/>
          <w:sz w:val="28"/>
          <w:szCs w:val="28"/>
          <w:lang w:eastAsia="zh-CN"/>
        </w:rPr>
        <w:t>。</w:t>
      </w:r>
    </w:p>
    <w:p>
      <w:pPr>
        <w:spacing w:line="560" w:lineRule="exact"/>
        <w:ind w:firstLine="600"/>
        <w:rPr>
          <w:rFonts w:hint="eastAsia" w:ascii="仿宋_GB2312" w:eastAsia="仿宋_GB2312"/>
          <w:sz w:val="28"/>
          <w:szCs w:val="28"/>
          <w:lang w:eastAsia="zh-CN"/>
        </w:rPr>
      </w:pPr>
      <w:r>
        <w:rPr>
          <w:rFonts w:ascii="仿宋_GB2312" w:eastAsia="仿宋_GB2312"/>
          <w:sz w:val="28"/>
          <w:szCs w:val="28"/>
        </w:rPr>
        <w:t>2</w:t>
      </w:r>
      <w:r>
        <w:rPr>
          <w:rFonts w:hint="eastAsia" w:ascii="仿宋_GB2312" w:eastAsia="仿宋_GB2312"/>
          <w:sz w:val="28"/>
          <w:szCs w:val="28"/>
        </w:rPr>
        <w:t>.公务接待费。202</w:t>
      </w:r>
      <w:r>
        <w:rPr>
          <w:rFonts w:hint="eastAsia" w:ascii="仿宋_GB2312" w:eastAsia="仿宋_GB2312"/>
          <w:sz w:val="28"/>
          <w:szCs w:val="28"/>
          <w:lang w:val="en-US" w:eastAsia="zh-CN"/>
        </w:rPr>
        <w:t>4</w:t>
      </w:r>
      <w:r>
        <w:rPr>
          <w:rFonts w:hint="eastAsia" w:ascii="仿宋_GB2312" w:eastAsia="仿宋_GB2312"/>
          <w:sz w:val="28"/>
          <w:szCs w:val="28"/>
        </w:rPr>
        <w:t>年度决算数0万元，比202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年度年初预算数0.</w:t>
      </w:r>
      <w:r>
        <w:rPr>
          <w:rFonts w:hint="eastAsia" w:ascii="仿宋_GB2312" w:eastAsia="仿宋_GB2312"/>
          <w:sz w:val="28"/>
          <w:szCs w:val="28"/>
          <w:lang w:val="en-US" w:eastAsia="zh-CN"/>
        </w:rPr>
        <w:t>1</w:t>
      </w:r>
      <w:r>
        <w:rPr>
          <w:rFonts w:hint="eastAsia" w:ascii="仿宋_GB2312" w:eastAsia="仿宋_GB2312"/>
          <w:sz w:val="28"/>
          <w:szCs w:val="28"/>
        </w:rPr>
        <w:t>万元减少0.</w:t>
      </w:r>
      <w:r>
        <w:rPr>
          <w:rFonts w:hint="eastAsia" w:ascii="仿宋_GB2312" w:eastAsia="仿宋_GB2312"/>
          <w:sz w:val="28"/>
          <w:szCs w:val="28"/>
          <w:lang w:val="en-US" w:eastAsia="zh-CN"/>
        </w:rPr>
        <w:t>1</w:t>
      </w:r>
      <w:r>
        <w:rPr>
          <w:rFonts w:hint="eastAsia" w:ascii="仿宋_GB2312" w:eastAsia="仿宋_GB2312"/>
          <w:sz w:val="28"/>
          <w:szCs w:val="28"/>
        </w:rPr>
        <w:t>万元。主要原因：本单位本年未产生公务接待费</w:t>
      </w:r>
      <w:r>
        <w:rPr>
          <w:rFonts w:hint="eastAsia" w:ascii="仿宋_GB2312" w:eastAsia="仿宋_GB2312"/>
          <w:sz w:val="28"/>
          <w:szCs w:val="28"/>
          <w:lang w:eastAsia="zh-CN"/>
        </w:rPr>
        <w:t>，</w:t>
      </w:r>
      <w:r>
        <w:rPr>
          <w:rFonts w:hint="eastAsia" w:ascii="仿宋_GB2312" w:eastAsia="仿宋_GB2312"/>
          <w:sz w:val="28"/>
          <w:szCs w:val="28"/>
        </w:rPr>
        <w:t>2024年度公务接待费主要用于公务接待事项。公务接待0批次，公务接待0人次</w:t>
      </w:r>
      <w:r>
        <w:rPr>
          <w:rFonts w:hint="eastAsia" w:ascii="仿宋_GB2312" w:eastAsia="仿宋_GB2312"/>
          <w:sz w:val="28"/>
          <w:szCs w:val="28"/>
          <w:lang w:eastAsia="zh-CN"/>
        </w:rPr>
        <w:t>。</w:t>
      </w:r>
    </w:p>
    <w:p>
      <w:pPr>
        <w:spacing w:line="560" w:lineRule="exact"/>
        <w:ind w:firstLine="600"/>
        <w:rPr>
          <w:rFonts w:hint="eastAsia" w:ascii="仿宋_GB2312" w:eastAsia="仿宋_GB2312"/>
          <w:sz w:val="28"/>
          <w:szCs w:val="28"/>
          <w:lang w:eastAsia="zh-CN"/>
        </w:rPr>
      </w:pPr>
    </w:p>
    <w:p>
      <w:pPr>
        <w:spacing w:line="560" w:lineRule="exact"/>
        <w:ind w:firstLine="560" w:firstLineChars="200"/>
        <w:rPr>
          <w:rFonts w:hint="eastAsia" w:ascii="仿宋_GB2312" w:eastAsia="仿宋_GB2312"/>
          <w:sz w:val="28"/>
          <w:szCs w:val="28"/>
        </w:rPr>
      </w:pPr>
      <w:r>
        <w:rPr>
          <w:rFonts w:ascii="仿宋_GB2312" w:eastAsia="仿宋_GB2312"/>
          <w:sz w:val="28"/>
          <w:szCs w:val="28"/>
        </w:rPr>
        <w:t>3</w:t>
      </w:r>
      <w:r>
        <w:rPr>
          <w:rFonts w:hint="eastAsia" w:ascii="仿宋_GB2312" w:eastAsia="仿宋_GB2312"/>
          <w:sz w:val="28"/>
          <w:szCs w:val="28"/>
        </w:rPr>
        <w:t>.公务用车购置及运行维护费。202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0.47</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年度年初预算数0万元增加</w:t>
      </w:r>
      <w:r>
        <w:rPr>
          <w:rFonts w:hint="eastAsia" w:ascii="仿宋_GB2312" w:eastAsia="仿宋_GB2312"/>
          <w:sz w:val="28"/>
          <w:szCs w:val="28"/>
          <w:lang w:val="en-US" w:eastAsia="zh-CN"/>
        </w:rPr>
        <w:t>0.47</w:t>
      </w:r>
      <w:r>
        <w:rPr>
          <w:rFonts w:hint="eastAsia" w:ascii="仿宋_GB2312" w:eastAsia="仿宋_GB2312"/>
          <w:sz w:val="28"/>
          <w:szCs w:val="28"/>
        </w:rPr>
        <w:t>万元。其中，</w:t>
      </w:r>
      <w:r>
        <w:rPr>
          <w:rFonts w:hint="eastAsia" w:ascii="仿宋_GB2312" w:eastAsia="仿宋_GB2312"/>
          <w:sz w:val="28"/>
          <w:szCs w:val="28"/>
          <w:lang w:eastAsia="zh-CN"/>
        </w:rPr>
        <w:t>公</w:t>
      </w:r>
      <w:r>
        <w:rPr>
          <w:rFonts w:hint="eastAsia" w:ascii="仿宋_GB2312" w:eastAsia="仿宋_GB2312"/>
          <w:sz w:val="28"/>
          <w:szCs w:val="28"/>
        </w:rPr>
        <w:t>务用车购置费2024年度决算数</w:t>
      </w:r>
      <w:r>
        <w:rPr>
          <w:rFonts w:hint="eastAsia" w:ascii="仿宋_GB2312" w:eastAsia="仿宋_GB2312"/>
          <w:sz w:val="28"/>
          <w:szCs w:val="28"/>
          <w:lang w:val="en-US" w:eastAsia="zh-CN"/>
        </w:rPr>
        <w:t>0</w:t>
      </w:r>
      <w:r>
        <w:rPr>
          <w:rFonts w:hint="eastAsia" w:ascii="仿宋_GB2312" w:eastAsia="仿宋_GB2312"/>
          <w:sz w:val="28"/>
          <w:szCs w:val="28"/>
        </w:rPr>
        <w:t>万元，主要原因：本年度</w:t>
      </w:r>
      <w:r>
        <w:rPr>
          <w:rFonts w:hint="eastAsia" w:ascii="仿宋_GB2312" w:eastAsia="仿宋_GB2312"/>
          <w:sz w:val="28"/>
          <w:szCs w:val="28"/>
          <w:lang w:eastAsia="zh-CN"/>
        </w:rPr>
        <w:t>无</w:t>
      </w:r>
      <w:r>
        <w:rPr>
          <w:rFonts w:hint="eastAsia" w:ascii="仿宋_GB2312" w:eastAsia="仿宋_GB2312"/>
          <w:sz w:val="28"/>
          <w:szCs w:val="28"/>
        </w:rPr>
        <w:t>新购车辆。202</w:t>
      </w:r>
      <w:r>
        <w:rPr>
          <w:rFonts w:hint="eastAsia" w:ascii="仿宋_GB2312" w:eastAsia="仿宋_GB2312"/>
          <w:sz w:val="28"/>
          <w:szCs w:val="28"/>
          <w:lang w:val="en-US" w:eastAsia="zh-CN"/>
        </w:rPr>
        <w:t>4</w:t>
      </w:r>
      <w:r>
        <w:rPr>
          <w:rFonts w:hint="eastAsia" w:ascii="仿宋_GB2312" w:eastAsia="仿宋_GB2312"/>
          <w:sz w:val="28"/>
          <w:szCs w:val="28"/>
        </w:rPr>
        <w:t>年度购置（更新）</w:t>
      </w:r>
      <w:r>
        <w:rPr>
          <w:rFonts w:hint="eastAsia" w:ascii="仿宋_GB2312" w:eastAsia="仿宋_GB2312"/>
          <w:sz w:val="28"/>
          <w:szCs w:val="28"/>
          <w:lang w:val="en-US" w:eastAsia="zh-CN"/>
        </w:rPr>
        <w:t>0</w:t>
      </w:r>
      <w:r>
        <w:rPr>
          <w:rFonts w:hint="eastAsia" w:ascii="仿宋_GB2312" w:eastAsia="仿宋_GB2312"/>
          <w:sz w:val="28"/>
          <w:szCs w:val="28"/>
        </w:rPr>
        <w:t>辆。公务用车运行维护费202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0.47</w:t>
      </w:r>
      <w:r>
        <w:rPr>
          <w:rFonts w:hint="eastAsia" w:ascii="仿宋_GB2312" w:eastAsia="仿宋_GB2312"/>
          <w:sz w:val="28"/>
          <w:szCs w:val="28"/>
        </w:rPr>
        <w:t>万元，主要原因:</w:t>
      </w:r>
      <w:r>
        <w:rPr>
          <w:rFonts w:hint="eastAsia" w:ascii="仿宋_GB2312" w:eastAsia="仿宋_GB2312"/>
          <w:sz w:val="28"/>
          <w:szCs w:val="28"/>
          <w:lang w:eastAsia="zh-CN"/>
        </w:rPr>
        <w:t>主要原因：2023年新购公务车于2024年提车，追加公务用车运行维护费，用于保险等支出。</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年度公务用车保有量1辆</w:t>
      </w:r>
      <w:bookmarkStart w:id="0" w:name="_GoBack"/>
      <w:bookmarkEnd w:id="0"/>
      <w:r>
        <w:rPr>
          <w:rFonts w:hint="eastAsia" w:ascii="仿宋_GB2312" w:eastAsia="仿宋_GB2312"/>
          <w:sz w:val="28"/>
          <w:szCs w:val="28"/>
        </w:rPr>
        <w:t>。</w:t>
      </w:r>
    </w:p>
    <w:p>
      <w:pPr>
        <w:tabs>
          <w:tab w:val="center" w:pos="6979"/>
        </w:tabs>
        <w:spacing w:line="580" w:lineRule="exact"/>
        <w:ind w:firstLine="570"/>
        <w:rPr>
          <w:rFonts w:hint="eastAsia" w:ascii="仿宋_GB2312" w:eastAsia="仿宋_GB2312"/>
          <w:sz w:val="28"/>
          <w:szCs w:val="28"/>
        </w:rPr>
      </w:pPr>
    </w:p>
    <w:p>
      <w:pPr>
        <w:tabs>
          <w:tab w:val="center" w:pos="6979"/>
        </w:tabs>
        <w:ind w:firstLine="554" w:firstLineChars="198"/>
        <w:rPr>
          <w:rFonts w:hint="eastAsia" w:ascii="黑体" w:eastAsia="黑体"/>
          <w:sz w:val="28"/>
          <w:szCs w:val="28"/>
        </w:rPr>
      </w:pPr>
      <w:r>
        <w:rPr>
          <w:rFonts w:hint="eastAsia" w:ascii="黑体" w:eastAsia="黑体"/>
          <w:sz w:val="28"/>
          <w:szCs w:val="28"/>
        </w:rPr>
        <w:t>二、机关运行经费支出情况</w:t>
      </w:r>
    </w:p>
    <w:p>
      <w:pPr>
        <w:ind w:left="540"/>
        <w:rPr>
          <w:rFonts w:hint="eastAsia" w:ascii="仿宋_GB2312" w:eastAsia="仿宋_GB2312"/>
          <w:sz w:val="28"/>
          <w:szCs w:val="28"/>
        </w:rPr>
      </w:pPr>
      <w:r>
        <w:rPr>
          <w:rFonts w:hint="eastAsia" w:ascii="仿宋_GB2312" w:eastAsia="仿宋_GB2312"/>
          <w:sz w:val="28"/>
          <w:szCs w:val="28"/>
        </w:rPr>
        <w:t>本单位不在机关运行经费统计范围之内。</w:t>
      </w:r>
    </w:p>
    <w:p>
      <w:pPr>
        <w:ind w:left="540"/>
        <w:rPr>
          <w:rFonts w:hint="eastAsia" w:ascii="黑体" w:eastAsia="黑体"/>
          <w:sz w:val="28"/>
          <w:szCs w:val="28"/>
        </w:rPr>
      </w:pPr>
      <w:r>
        <w:rPr>
          <w:rFonts w:hint="eastAsia" w:ascii="黑体" w:eastAsia="黑体"/>
          <w:sz w:val="28"/>
          <w:szCs w:val="28"/>
        </w:rPr>
        <w:t>三、政府采购支出情况</w:t>
      </w:r>
    </w:p>
    <w:p>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年度政府采购支出总额</w:t>
      </w:r>
      <w:r>
        <w:rPr>
          <w:rFonts w:ascii="仿宋_GB2312" w:eastAsia="仿宋_GB2312"/>
          <w:sz w:val="28"/>
          <w:szCs w:val="28"/>
        </w:rPr>
        <w:t>57.87</w:t>
      </w:r>
      <w:r>
        <w:rPr>
          <w:rFonts w:hint="eastAsia" w:ascii="仿宋_GB2312" w:eastAsia="仿宋_GB2312"/>
          <w:sz w:val="28"/>
          <w:szCs w:val="28"/>
        </w:rPr>
        <w:t>万元，其中：政府采购货物支出</w:t>
      </w:r>
      <w:r>
        <w:rPr>
          <w:rFonts w:hint="eastAsia" w:ascii="仿宋_GB2312" w:eastAsia="仿宋_GB2312"/>
          <w:sz w:val="28"/>
          <w:szCs w:val="28"/>
          <w:lang w:val="en-US" w:eastAsia="zh-CN"/>
        </w:rPr>
        <w:t>0</w:t>
      </w:r>
      <w:r>
        <w:rPr>
          <w:rFonts w:hint="eastAsia" w:ascii="仿宋_GB2312" w:eastAsia="仿宋_GB2312"/>
          <w:sz w:val="28"/>
          <w:szCs w:val="28"/>
        </w:rPr>
        <w:t>万元，政府采购工程支出</w:t>
      </w:r>
      <w:r>
        <w:rPr>
          <w:rFonts w:hint="eastAsia" w:ascii="仿宋_GB2312" w:eastAsia="仿宋_GB2312"/>
          <w:sz w:val="28"/>
          <w:szCs w:val="28"/>
          <w:lang w:val="en-US" w:eastAsia="zh-CN"/>
        </w:rPr>
        <w:t>0</w:t>
      </w:r>
      <w:r>
        <w:rPr>
          <w:rFonts w:hint="eastAsia" w:ascii="仿宋_GB2312" w:eastAsia="仿宋_GB2312"/>
          <w:sz w:val="28"/>
          <w:szCs w:val="28"/>
        </w:rPr>
        <w:t>万元，政府采购服务支出</w:t>
      </w:r>
      <w:r>
        <w:rPr>
          <w:rFonts w:hint="eastAsia" w:ascii="仿宋_GB2312" w:eastAsia="仿宋_GB2312"/>
          <w:sz w:val="28"/>
          <w:szCs w:val="28"/>
          <w:lang w:val="en-US" w:eastAsia="zh-CN"/>
        </w:rPr>
        <w:t>57.87</w:t>
      </w:r>
      <w:r>
        <w:rPr>
          <w:rFonts w:hint="eastAsia" w:ascii="仿宋_GB2312" w:eastAsia="仿宋_GB2312"/>
          <w:sz w:val="28"/>
          <w:szCs w:val="28"/>
        </w:rPr>
        <w:t>万元。授予中小企业合同金额</w:t>
      </w:r>
      <w:r>
        <w:rPr>
          <w:rFonts w:ascii="仿宋_GB2312" w:eastAsia="仿宋_GB2312"/>
          <w:sz w:val="28"/>
          <w:szCs w:val="28"/>
        </w:rPr>
        <w:t>57.6</w:t>
      </w:r>
      <w:r>
        <w:rPr>
          <w:rFonts w:hint="eastAsia" w:ascii="仿宋_GB2312" w:eastAsia="仿宋_GB2312"/>
          <w:sz w:val="28"/>
          <w:szCs w:val="28"/>
        </w:rPr>
        <w:t>万元，占政府采购支出总额的</w:t>
      </w:r>
      <w:r>
        <w:rPr>
          <w:rFonts w:hint="eastAsia" w:ascii="仿宋_GB2312" w:eastAsia="仿宋_GB2312"/>
          <w:sz w:val="28"/>
          <w:szCs w:val="28"/>
          <w:lang w:eastAsia="zh-CN"/>
        </w:rPr>
        <w:t>99.53</w:t>
      </w:r>
      <w:r>
        <w:rPr>
          <w:rFonts w:hint="eastAsia" w:ascii="仿宋_GB2312" w:eastAsia="仿宋_GB2312"/>
          <w:sz w:val="28"/>
          <w:szCs w:val="28"/>
        </w:rPr>
        <w:t>%，其中：授予小微企业合同金额</w:t>
      </w:r>
      <w:r>
        <w:rPr>
          <w:rFonts w:hint="eastAsia" w:ascii="仿宋_GB2312" w:eastAsia="仿宋_GB2312"/>
          <w:sz w:val="28"/>
          <w:szCs w:val="28"/>
          <w:lang w:val="en-US" w:eastAsia="zh-CN"/>
        </w:rPr>
        <w:t>57.6</w:t>
      </w:r>
      <w:r>
        <w:rPr>
          <w:rFonts w:hint="eastAsia" w:ascii="仿宋_GB2312" w:eastAsia="仿宋_GB2312"/>
          <w:sz w:val="28"/>
          <w:szCs w:val="28"/>
        </w:rPr>
        <w:t>万元，占政府采购支出总额的</w:t>
      </w:r>
      <w:r>
        <w:rPr>
          <w:rFonts w:hint="eastAsia" w:ascii="仿宋_GB2312" w:eastAsia="仿宋_GB2312"/>
          <w:sz w:val="28"/>
          <w:szCs w:val="28"/>
          <w:lang w:val="en-US" w:eastAsia="zh-CN"/>
        </w:rPr>
        <w:t>99.53</w:t>
      </w:r>
      <w:r>
        <w:rPr>
          <w:rFonts w:hint="eastAsia" w:ascii="仿宋_GB2312" w:eastAsia="仿宋_GB2312"/>
          <w:sz w:val="28"/>
          <w:szCs w:val="28"/>
        </w:rPr>
        <w:t>%。</w:t>
      </w:r>
    </w:p>
    <w:p>
      <w:pPr>
        <w:ind w:firstLine="560" w:firstLineChars="200"/>
        <w:rPr>
          <w:rFonts w:hint="eastAsia" w:ascii="黑体" w:eastAsia="黑体"/>
          <w:sz w:val="28"/>
          <w:szCs w:val="28"/>
          <w:highlight w:val="yellow"/>
        </w:rPr>
      </w:pPr>
      <w:r>
        <w:rPr>
          <w:rFonts w:hint="eastAsia" w:ascii="黑体" w:eastAsia="黑体"/>
          <w:sz w:val="28"/>
          <w:szCs w:val="28"/>
          <w:highlight w:val="none"/>
        </w:rPr>
        <w:t>四、国有资产占用情况</w:t>
      </w:r>
    </w:p>
    <w:p>
      <w:pPr>
        <w:ind w:firstLine="560" w:firstLineChars="200"/>
        <w:rPr>
          <w:rFonts w:ascii="仿宋_GB2312" w:eastAsia="仿宋_GB2312"/>
          <w:sz w:val="32"/>
          <w:szCs w:val="32"/>
        </w:rPr>
      </w:pPr>
      <w:r>
        <w:rPr>
          <w:rFonts w:hint="eastAsia" w:ascii="仿宋_GB2312" w:eastAsia="仿宋_GB2312"/>
          <w:sz w:val="28"/>
          <w:szCs w:val="28"/>
          <w:lang w:eastAsia="zh-CN"/>
        </w:rPr>
        <w:t>截至</w:t>
      </w:r>
      <w:r>
        <w:rPr>
          <w:rFonts w:hint="eastAsia" w:ascii="仿宋_GB2312" w:eastAsia="仿宋_GB2312"/>
          <w:sz w:val="28"/>
          <w:szCs w:val="28"/>
          <w:lang w:val="en-US" w:eastAsia="zh-CN"/>
        </w:rPr>
        <w:t>12月31日，北京市大兴区庞各庄第二幼儿园</w:t>
      </w:r>
      <w:r>
        <w:rPr>
          <w:rFonts w:hint="eastAsia" w:ascii="仿宋_GB2312" w:eastAsia="仿宋_GB2312"/>
          <w:sz w:val="28"/>
          <w:szCs w:val="28"/>
          <w:lang w:eastAsia="zh-CN"/>
        </w:rPr>
        <w:t>共有</w:t>
      </w:r>
      <w:r>
        <w:rPr>
          <w:rFonts w:hint="eastAsia" w:ascii="仿宋_GB2312" w:eastAsia="仿宋_GB2312"/>
          <w:sz w:val="28"/>
          <w:szCs w:val="28"/>
        </w:rPr>
        <w:t>车辆</w:t>
      </w:r>
      <w:r>
        <w:rPr>
          <w:rFonts w:hint="eastAsia" w:ascii="仿宋_GB2312" w:eastAsia="仿宋_GB2312"/>
          <w:sz w:val="28"/>
          <w:szCs w:val="28"/>
          <w:lang w:val="en-US" w:eastAsia="zh-CN"/>
        </w:rPr>
        <w:t>1</w:t>
      </w:r>
      <w:r>
        <w:rPr>
          <w:rFonts w:hint="eastAsia" w:ascii="仿宋_GB2312" w:eastAsia="仿宋_GB2312"/>
          <w:sz w:val="28"/>
          <w:szCs w:val="28"/>
        </w:rPr>
        <w:t>台；单位价值100万元</w:t>
      </w:r>
      <w:r>
        <w:rPr>
          <w:rFonts w:hint="eastAsia" w:ascii="仿宋_GB2312" w:eastAsia="仿宋_GB2312"/>
          <w:sz w:val="28"/>
          <w:szCs w:val="28"/>
          <w:lang w:eastAsia="zh-CN"/>
        </w:rPr>
        <w:t>（含）</w:t>
      </w:r>
      <w:r>
        <w:rPr>
          <w:rFonts w:hint="eastAsia" w:ascii="仿宋_GB2312" w:eastAsia="仿宋_GB2312"/>
          <w:sz w:val="28"/>
          <w:szCs w:val="28"/>
        </w:rPr>
        <w:t>以上的设备</w:t>
      </w:r>
      <w:r>
        <w:rPr>
          <w:rFonts w:hint="eastAsia" w:ascii="仿宋_GB2312" w:eastAsia="仿宋_GB2312"/>
          <w:sz w:val="28"/>
          <w:szCs w:val="28"/>
          <w:lang w:val="en-US" w:eastAsia="zh-CN"/>
        </w:rPr>
        <w:t>0</w:t>
      </w:r>
      <w:r>
        <w:rPr>
          <w:rFonts w:hint="eastAsia" w:ascii="仿宋_GB2312" w:eastAsia="仿宋_GB2312"/>
          <w:sz w:val="28"/>
          <w:szCs w:val="28"/>
        </w:rPr>
        <w:t>台（套）。</w:t>
      </w:r>
    </w:p>
    <w:p>
      <w:pPr>
        <w:ind w:firstLine="537" w:firstLineChars="192"/>
        <w:rPr>
          <w:rFonts w:ascii="黑体" w:eastAsia="黑体"/>
          <w:sz w:val="28"/>
          <w:szCs w:val="28"/>
        </w:rPr>
      </w:pPr>
      <w:r>
        <w:rPr>
          <w:rFonts w:hint="eastAsia" w:ascii="黑体" w:eastAsia="黑体"/>
          <w:sz w:val="28"/>
          <w:szCs w:val="28"/>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ascii="仿宋_GB2312" w:eastAsia="仿宋_GB2312"/>
          <w:sz w:val="28"/>
          <w:szCs w:val="28"/>
        </w:rPr>
        <w:t>政府购买服务决算0</w:t>
      </w:r>
      <w:r>
        <w:rPr>
          <w:rFonts w:hint="eastAsia" w:ascii="仿宋_GB2312" w:eastAsia="仿宋_GB2312"/>
          <w:sz w:val="28"/>
          <w:szCs w:val="28"/>
        </w:rPr>
        <w:t>万元。</w:t>
      </w:r>
    </w:p>
    <w:p>
      <w:pPr>
        <w:ind w:firstLine="560" w:firstLineChars="200"/>
        <w:jc w:val="left"/>
        <w:rPr>
          <w:rFonts w:hint="eastAsia" w:ascii="仿宋_GB2312" w:eastAsia="仿宋_GB2312"/>
          <w:color w:val="000000"/>
          <w:sz w:val="32"/>
          <w:szCs w:val="32"/>
        </w:rPr>
      </w:pPr>
      <w:r>
        <w:rPr>
          <w:rFonts w:hint="eastAsia" w:ascii="黑体" w:eastAsia="黑体"/>
          <w:sz w:val="28"/>
          <w:szCs w:val="28"/>
        </w:rPr>
        <w:t>六、</w:t>
      </w:r>
      <w:r>
        <w:rPr>
          <w:rFonts w:ascii="黑体" w:eastAsia="黑体"/>
          <w:sz w:val="28"/>
          <w:szCs w:val="28"/>
        </w:rPr>
        <w:t>专业名词解释</w:t>
      </w:r>
    </w:p>
    <w:p>
      <w:pPr>
        <w:ind w:firstLine="560" w:firstLineChars="200"/>
        <w:rPr>
          <w:rFonts w:hint="eastAsia"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pPr>
        <w:ind w:firstLine="560" w:firstLineChars="200"/>
        <w:rPr>
          <w:rFonts w:hint="eastAsia"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pPr>
        <w:ind w:firstLine="560" w:firstLineChars="200"/>
        <w:rPr>
          <w:rFonts w:ascii="仿宋_GB2312" w:eastAsia="仿宋_GB2312"/>
          <w:sz w:val="28"/>
          <w:szCs w:val="28"/>
        </w:rPr>
      </w:pPr>
      <w:r>
        <w:rPr>
          <w:rFonts w:hint="eastAsia" w:ascii="仿宋_GB2312" w:eastAsia="仿宋_GB2312"/>
          <w:sz w:val="28"/>
          <w:szCs w:val="28"/>
        </w:rPr>
        <w:t>3.“三公”经费：</w:t>
      </w:r>
      <w:r>
        <w:rPr>
          <w:rFonts w:hint="eastAsia" w:ascii="仿宋_GB2312" w:hAnsi="宋体" w:eastAsia="仿宋_GB2312"/>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pPr>
        <w:ind w:firstLine="420" w:firstLineChars="150"/>
        <w:rPr>
          <w:rFonts w:hint="eastAsia" w:ascii="仿宋_GB2312" w:eastAsia="仿宋_GB2312"/>
          <w:sz w:val="28"/>
          <w:szCs w:val="28"/>
        </w:rPr>
      </w:pPr>
      <w:r>
        <w:rPr>
          <w:rFonts w:hint="eastAsia" w:ascii="仿宋_GB2312" w:eastAsia="仿宋_GB2312"/>
          <w:sz w:val="28"/>
          <w:szCs w:val="28"/>
        </w:rPr>
        <w:t>4</w:t>
      </w:r>
      <w:r>
        <w:rPr>
          <w:rFonts w:ascii="仿宋_GB2312" w:eastAsia="仿宋_GB2312"/>
          <w:sz w:val="28"/>
          <w:szCs w:val="28"/>
        </w:rPr>
        <w:t>.</w:t>
      </w:r>
      <w:r>
        <w:rPr>
          <w:rFonts w:hint="eastAsia" w:ascii="仿宋_GB2312" w:eastAsia="仿宋_GB2312"/>
          <w:sz w:val="28"/>
          <w:szCs w:val="28"/>
        </w:rPr>
        <w:t>政府采购</w:t>
      </w:r>
      <w:r>
        <w:rPr>
          <w:rFonts w:ascii="仿宋_GB2312" w:eastAsia="仿宋_GB2312"/>
          <w:sz w:val="28"/>
          <w:szCs w:val="28"/>
        </w:rPr>
        <w:t>：</w:t>
      </w:r>
      <w:r>
        <w:rPr>
          <w:rFonts w:hint="eastAsia" w:ascii="仿宋_GB2312" w:eastAsia="仿宋_GB2312"/>
          <w:sz w:val="28"/>
          <w:szCs w:val="28"/>
        </w:rPr>
        <w:t>指</w:t>
      </w:r>
      <w:r>
        <w:rPr>
          <w:rFonts w:ascii="仿宋_GB2312" w:eastAsia="仿宋_GB2312"/>
          <w:sz w:val="28"/>
          <w:szCs w:val="28"/>
        </w:rPr>
        <w:t>各级国家机关、事业单位和团体组织，使用</w:t>
      </w:r>
      <w:r>
        <w:rPr>
          <w:rFonts w:hint="eastAsia" w:ascii="仿宋_GB2312" w:eastAsia="仿宋_GB2312"/>
          <w:sz w:val="28"/>
          <w:szCs w:val="28"/>
        </w:rPr>
        <w:t>财政性</w:t>
      </w:r>
      <w:r>
        <w:rPr>
          <w:rFonts w:ascii="仿宋_GB2312" w:eastAsia="仿宋_GB2312"/>
          <w:sz w:val="28"/>
          <w:szCs w:val="28"/>
        </w:rPr>
        <w:t>资金采购依法制定的集中目录以内的或者采购限额标准以上的货物、工程和服务的行为</w:t>
      </w:r>
      <w:r>
        <w:rPr>
          <w:rFonts w:hint="eastAsia" w:ascii="仿宋_GB2312" w:eastAsia="仿宋_GB2312"/>
          <w:sz w:val="28"/>
          <w:szCs w:val="28"/>
        </w:rPr>
        <w:t>，是规范财政支出管理和强化预算约束的有效措施</w:t>
      </w:r>
      <w:r>
        <w:rPr>
          <w:rFonts w:ascii="仿宋_GB2312" w:eastAsia="仿宋_GB2312"/>
          <w:sz w:val="28"/>
          <w:szCs w:val="28"/>
        </w:rPr>
        <w:t>。</w:t>
      </w:r>
    </w:p>
    <w:p>
      <w:pPr>
        <w:ind w:firstLine="420" w:firstLineChars="150"/>
        <w:rPr>
          <w:rFonts w:hint="eastAsia" w:ascii="仿宋_GB2312" w:eastAsia="仿宋_GB2312"/>
          <w:sz w:val="28"/>
          <w:szCs w:val="28"/>
        </w:rPr>
      </w:pPr>
      <w:r>
        <w:rPr>
          <w:rFonts w:hint="eastAsia" w:ascii="仿宋_GB2312" w:eastAsia="仿宋_GB2312"/>
          <w:sz w:val="28"/>
          <w:szCs w:val="28"/>
        </w:rPr>
        <w:t>5</w:t>
      </w:r>
      <w:r>
        <w:rPr>
          <w:rFonts w:ascii="仿宋_GB2312" w:eastAsia="仿宋_GB2312"/>
          <w:sz w:val="28"/>
          <w:szCs w:val="28"/>
        </w:rPr>
        <w:t>.政府购买服务：</w:t>
      </w:r>
      <w:r>
        <w:rPr>
          <w:rFonts w:hint="eastAsia" w:ascii="仿宋_GB2312" w:eastAsia="仿宋_GB2312"/>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pPr>
        <w:ind w:firstLine="420" w:firstLineChars="150"/>
        <w:rPr>
          <w:rFonts w:hint="eastAsia" w:ascii="仿宋_GB2312" w:eastAsia="仿宋_GB2312"/>
          <w:sz w:val="28"/>
          <w:szCs w:val="28"/>
        </w:rPr>
      </w:pPr>
      <w:r>
        <w:rPr>
          <w:rFonts w:hint="eastAsia" w:ascii="仿宋_GB2312" w:eastAsia="仿宋_GB2312"/>
          <w:sz w:val="28"/>
          <w:szCs w:val="28"/>
        </w:rPr>
        <w:t>6. 社会保障和就业支出（类）行政事业单位养老支出（款）机关事业单位基本养老保险缴费支出（项)：反映机关事业单位实施养老保险制度由单位缴纳的基本养老保险支出。</w:t>
      </w:r>
    </w:p>
    <w:p>
      <w:pPr>
        <w:ind w:firstLine="420" w:firstLineChars="150"/>
        <w:rPr>
          <w:rFonts w:hint="eastAsia" w:ascii="仿宋_GB2312" w:eastAsia="仿宋_GB2312"/>
          <w:sz w:val="28"/>
          <w:szCs w:val="28"/>
        </w:rPr>
      </w:pPr>
      <w:r>
        <w:rPr>
          <w:rFonts w:ascii="仿宋_GB2312" w:eastAsia="仿宋_GB2312"/>
          <w:sz w:val="28"/>
          <w:szCs w:val="28"/>
        </w:rPr>
        <w:t>7.</w:t>
      </w:r>
      <w:r>
        <w:rPr>
          <w:rFonts w:hint="eastAsia" w:ascii="仿宋_GB2312" w:eastAsia="仿宋_GB2312"/>
          <w:sz w:val="28"/>
          <w:szCs w:val="28"/>
        </w:rPr>
        <w:t>社会保障和就业支出（类）行政事业单位养老支出（款）机关事业单位职业年金缴费支出（项)：反映机关事业单位实施养老保险制度由单位实际缴纳的职业年金支出。</w:t>
      </w:r>
    </w:p>
    <w:p>
      <w:pPr>
        <w:ind w:firstLine="420" w:firstLineChars="150"/>
        <w:rPr>
          <w:rFonts w:ascii="仿宋_GB2312" w:eastAsia="仿宋_GB2312"/>
          <w:sz w:val="28"/>
          <w:szCs w:val="28"/>
        </w:rPr>
      </w:pPr>
      <w:r>
        <w:rPr>
          <w:rFonts w:hint="eastAsia" w:ascii="仿宋_GB2312" w:eastAsia="仿宋_GB2312"/>
          <w:sz w:val="28"/>
          <w:szCs w:val="28"/>
        </w:rPr>
        <w:t>8</w:t>
      </w:r>
      <w:r>
        <w:rPr>
          <w:rFonts w:ascii="仿宋_GB2312" w:eastAsia="仿宋_GB2312"/>
          <w:sz w:val="28"/>
          <w:szCs w:val="28"/>
        </w:rPr>
        <w:t>.</w:t>
      </w:r>
      <w:r>
        <w:rPr>
          <w:rFonts w:hint="eastAsia" w:ascii="仿宋_GB2312" w:eastAsia="仿宋_GB2312"/>
          <w:sz w:val="28"/>
          <w:szCs w:val="28"/>
        </w:rPr>
        <w:t>教育支出（类）普通教育（款）学前教育（项)：反映各部门举办的学前教育支出。政府各部门对社会组织等举办的幼儿园的资助，如捐赠、补贴等，也在本科目中反映。</w:t>
      </w:r>
    </w:p>
    <w:p>
      <w:pPr>
        <w:ind w:firstLine="420" w:firstLineChars="150"/>
        <w:rPr>
          <w:rFonts w:ascii="仿宋_GB2312" w:eastAsia="仿宋_GB2312"/>
          <w:sz w:val="28"/>
          <w:szCs w:val="28"/>
        </w:rPr>
      </w:pPr>
      <w:r>
        <w:rPr>
          <w:rFonts w:hint="eastAsia" w:ascii="仿宋_GB2312" w:eastAsia="仿宋_GB2312"/>
          <w:sz w:val="28"/>
          <w:szCs w:val="28"/>
        </w:rPr>
        <w:t>9</w:t>
      </w:r>
      <w:r>
        <w:rPr>
          <w:rFonts w:ascii="仿宋_GB2312" w:eastAsia="仿宋_GB2312"/>
          <w:sz w:val="28"/>
          <w:szCs w:val="28"/>
        </w:rPr>
        <w:t>.</w:t>
      </w:r>
      <w:r>
        <w:rPr>
          <w:rFonts w:hint="eastAsia" w:ascii="仿宋_GB2312" w:eastAsia="仿宋_GB2312"/>
          <w:sz w:val="28"/>
          <w:szCs w:val="28"/>
        </w:rPr>
        <w:t>卫生健康支出（类）行政事业单位医疗（款）事业单位医疗（项)：反映财政部门安排的事业单位基本医疗保险缴费经费，未参加医疗保险的事业单位的公费医疗经费，按国家规定享受离休人员待遇的医疗经费。</w:t>
      </w:r>
    </w:p>
    <w:p>
      <w:pPr>
        <w:ind w:firstLine="420" w:firstLineChars="150"/>
        <w:rPr>
          <w:rFonts w:hint="eastAsia" w:ascii="宋体" w:hAnsi="宋体" w:cs="宋体"/>
          <w:b/>
          <w:bCs/>
          <w:spacing w:val="40"/>
          <w:kern w:val="0"/>
          <w:sz w:val="32"/>
          <w:szCs w:val="32"/>
        </w:rPr>
      </w:pPr>
      <w:r>
        <w:rPr>
          <w:rFonts w:hint="eastAsia" w:ascii="仿宋_GB2312" w:eastAsia="仿宋_GB2312"/>
          <w:sz w:val="28"/>
          <w:szCs w:val="28"/>
        </w:rPr>
        <w:t>1</w:t>
      </w:r>
      <w:r>
        <w:rPr>
          <w:rFonts w:ascii="仿宋_GB2312" w:eastAsia="仿宋_GB2312"/>
          <w:sz w:val="28"/>
          <w:szCs w:val="28"/>
        </w:rPr>
        <w:t>0.</w:t>
      </w:r>
      <w:r>
        <w:rPr>
          <w:rFonts w:hint="eastAsia" w:ascii="仿宋_GB2312" w:eastAsia="仿宋_GB2312"/>
          <w:sz w:val="28"/>
          <w:szCs w:val="28"/>
        </w:rPr>
        <w:t>卫生健康支出（类）行政事业单位医疗（款）公务员医疗补助（项)：反映财政部门安排的公务员医疗补助经费。</w:t>
      </w:r>
    </w:p>
    <w:p>
      <w:pPr>
        <w:jc w:val="both"/>
        <w:rPr>
          <w:rFonts w:hint="eastAsia" w:ascii="黑体" w:eastAsia="黑体"/>
          <w:sz w:val="32"/>
          <w:szCs w:val="32"/>
        </w:rPr>
      </w:pPr>
    </w:p>
    <w:p>
      <w:pPr>
        <w:ind w:firstLine="640" w:firstLineChars="200"/>
        <w:jc w:val="center"/>
        <w:rPr>
          <w:rFonts w:hint="eastAsia" w:ascii="黑体" w:eastAsia="黑体"/>
          <w:sz w:val="32"/>
          <w:szCs w:val="32"/>
        </w:rPr>
      </w:pPr>
      <w:r>
        <w:rPr>
          <w:rFonts w:hint="eastAsia" w:ascii="黑体" w:eastAsia="黑体"/>
          <w:sz w:val="32"/>
          <w:szCs w:val="32"/>
        </w:rPr>
        <w:t>第四部分  202</w:t>
      </w:r>
      <w:r>
        <w:rPr>
          <w:rFonts w:hint="eastAsia" w:ascii="黑体" w:eastAsia="黑体"/>
          <w:sz w:val="32"/>
          <w:szCs w:val="32"/>
          <w:lang w:val="en-US" w:eastAsia="zh-CN"/>
        </w:rPr>
        <w:t>4</w:t>
      </w:r>
      <w:r>
        <w:rPr>
          <w:rFonts w:hint="eastAsia" w:ascii="黑体" w:eastAsia="黑体"/>
          <w:sz w:val="32"/>
          <w:szCs w:val="32"/>
        </w:rPr>
        <w:t>年度部门绩效评价情况</w:t>
      </w:r>
    </w:p>
    <w:p>
      <w:pPr>
        <w:ind w:firstLine="560" w:firstLineChars="200"/>
        <w:rPr>
          <w:rFonts w:hint="eastAsia" w:ascii="黑体" w:eastAsia="黑体"/>
          <w:sz w:val="28"/>
          <w:szCs w:val="28"/>
          <w:highlight w:val="yellow"/>
        </w:rPr>
      </w:pPr>
    </w:p>
    <w:p>
      <w:pPr>
        <w:numPr>
          <w:ilvl w:val="0"/>
          <w:numId w:val="2"/>
        </w:numPr>
        <w:ind w:firstLine="560" w:firstLineChars="200"/>
        <w:rPr>
          <w:rFonts w:hint="eastAsia" w:ascii="黑体" w:eastAsia="黑体"/>
          <w:sz w:val="28"/>
          <w:szCs w:val="28"/>
          <w:highlight w:val="none"/>
          <w:lang w:eastAsia="zh-CN"/>
        </w:rPr>
      </w:pPr>
      <w:r>
        <w:rPr>
          <w:rFonts w:hint="eastAsia" w:ascii="黑体" w:eastAsia="黑体"/>
          <w:sz w:val="28"/>
          <w:szCs w:val="28"/>
          <w:highlight w:val="none"/>
        </w:rPr>
        <w:t>项目</w:t>
      </w:r>
      <w:r>
        <w:rPr>
          <w:rFonts w:ascii="黑体" w:eastAsia="黑体"/>
          <w:sz w:val="28"/>
          <w:szCs w:val="28"/>
          <w:highlight w:val="none"/>
        </w:rPr>
        <w:t>支出绩效自评表</w:t>
      </w:r>
      <w:r>
        <w:rPr>
          <w:rFonts w:hint="eastAsia" w:ascii="黑体" w:eastAsia="黑体"/>
          <w:sz w:val="28"/>
          <w:szCs w:val="28"/>
          <w:highlight w:val="none"/>
          <w:lang w:eastAsia="zh-CN"/>
        </w:rPr>
        <w:t>（详见附件）</w:t>
      </w:r>
    </w:p>
    <w:p>
      <w:pPr>
        <w:spacing w:line="480" w:lineRule="exact"/>
      </w:pPr>
    </w:p>
    <w:sectPr>
      <w:footerReference r:id="rId4" w:type="default"/>
      <w:footerReference r:id="rId5"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E00002FF" w:usb1="400004FF" w:usb2="00000000" w:usb3="00000000" w:csb0="2000019F" w:csb1="00000000"/>
  </w:font>
  <w:font w:name="仿宋_GB2312">
    <w:altName w:val="仿宋"/>
    <w:panose1 w:val="02010609030101010101"/>
    <w:charset w:val="86"/>
    <w:family w:val="auto"/>
    <w:pitch w:val="default"/>
    <w:sig w:usb0="00000000" w:usb1="00000000" w:usb2="00000000" w:usb3="00000000" w:csb0="00040000"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 w:name="Droid Sans">
    <w:altName w:val="微软雅黑"/>
    <w:panose1 w:val="00000000000000000000"/>
    <w:charset w:val="00"/>
    <w:family w:val="auto"/>
    <w:pitch w:val="default"/>
    <w:sig w:usb0="00000000" w:usb1="00000000" w:usb2="00000000"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3</w:t>
    </w:r>
    <w:r>
      <w:fldChar w:fldCharType="end"/>
    </w:r>
  </w:p>
  <w:p>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5</w:t>
    </w:r>
    <w:r>
      <w:fldChar w:fldCharType="end"/>
    </w:r>
  </w:p>
  <w:p>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15</w:t>
    </w:r>
    <w:r>
      <w:fldChar w:fldCharType="end"/>
    </w:r>
  </w:p>
  <w:p>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D7E84BE"/>
    <w:multiLevelType w:val="singleLevel"/>
    <w:tmpl w:val="8D7E84BE"/>
    <w:lvl w:ilvl="0" w:tentative="0">
      <w:start w:val="1"/>
      <w:numFmt w:val="chineseCounting"/>
      <w:suff w:val="nothing"/>
      <w:lvlText w:val="%1、"/>
      <w:lvlJc w:val="left"/>
      <w:rPr>
        <w:rFonts w:hint="eastAsia"/>
      </w:rPr>
    </w:lvl>
  </w:abstractNum>
  <w:abstractNum w:abstractNumId="1">
    <w:nsid w:val="1E059737"/>
    <w:multiLevelType w:val="singleLevel"/>
    <w:tmpl w:val="1E059737"/>
    <w:lvl w:ilvl="0" w:tentative="0">
      <w:start w:val="2"/>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mNWE4NzRhMTczNjJlZDE5ZTE5YTczN2QxMzcyMjA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2F120AB"/>
    <w:rsid w:val="032B5196"/>
    <w:rsid w:val="04C3537C"/>
    <w:rsid w:val="079004AC"/>
    <w:rsid w:val="0BA148CA"/>
    <w:rsid w:val="0C1165C4"/>
    <w:rsid w:val="0D6D544B"/>
    <w:rsid w:val="0DD136FE"/>
    <w:rsid w:val="0F542F2C"/>
    <w:rsid w:val="0F8E2C57"/>
    <w:rsid w:val="1059665E"/>
    <w:rsid w:val="1094028B"/>
    <w:rsid w:val="10AC13BA"/>
    <w:rsid w:val="145A6C1B"/>
    <w:rsid w:val="14A037FB"/>
    <w:rsid w:val="14B73493"/>
    <w:rsid w:val="167A2FF9"/>
    <w:rsid w:val="1764587C"/>
    <w:rsid w:val="18581C69"/>
    <w:rsid w:val="1AEC0734"/>
    <w:rsid w:val="1DEF20B0"/>
    <w:rsid w:val="1FF7AB17"/>
    <w:rsid w:val="214243FA"/>
    <w:rsid w:val="21AD613C"/>
    <w:rsid w:val="22467189"/>
    <w:rsid w:val="257A14F5"/>
    <w:rsid w:val="27196C26"/>
    <w:rsid w:val="29EF086F"/>
    <w:rsid w:val="2ACA0963"/>
    <w:rsid w:val="2BC34C59"/>
    <w:rsid w:val="2EFFE297"/>
    <w:rsid w:val="301437CA"/>
    <w:rsid w:val="349D1F0A"/>
    <w:rsid w:val="34DD0473"/>
    <w:rsid w:val="3A8E35DC"/>
    <w:rsid w:val="3C684897"/>
    <w:rsid w:val="433E495C"/>
    <w:rsid w:val="489F2FD7"/>
    <w:rsid w:val="4AC27CB3"/>
    <w:rsid w:val="4BF72BEF"/>
    <w:rsid w:val="4FA90297"/>
    <w:rsid w:val="4FC41A43"/>
    <w:rsid w:val="51DB3C59"/>
    <w:rsid w:val="550C0952"/>
    <w:rsid w:val="55762E42"/>
    <w:rsid w:val="57A7B272"/>
    <w:rsid w:val="58470068"/>
    <w:rsid w:val="58747CAC"/>
    <w:rsid w:val="5A1720F9"/>
    <w:rsid w:val="5B9C37C2"/>
    <w:rsid w:val="5BA7C654"/>
    <w:rsid w:val="5CE00385"/>
    <w:rsid w:val="5DB76275"/>
    <w:rsid w:val="5DF716AE"/>
    <w:rsid w:val="5F9F507E"/>
    <w:rsid w:val="60A54109"/>
    <w:rsid w:val="61D01CDF"/>
    <w:rsid w:val="64C0607C"/>
    <w:rsid w:val="65756C86"/>
    <w:rsid w:val="674D385B"/>
    <w:rsid w:val="676F09E1"/>
    <w:rsid w:val="6DA265FA"/>
    <w:rsid w:val="714561AB"/>
    <w:rsid w:val="71691990"/>
    <w:rsid w:val="71793A80"/>
    <w:rsid w:val="7357290B"/>
    <w:rsid w:val="756E3DEA"/>
    <w:rsid w:val="76FB1693"/>
    <w:rsid w:val="776A6E7F"/>
    <w:rsid w:val="798524E4"/>
    <w:rsid w:val="7A7F1C49"/>
    <w:rsid w:val="7B5B7AE6"/>
    <w:rsid w:val="7B7B6628"/>
    <w:rsid w:val="7BA7071E"/>
    <w:rsid w:val="7BDF6DA8"/>
    <w:rsid w:val="7C7EDC1A"/>
    <w:rsid w:val="7C9546D2"/>
    <w:rsid w:val="7CCED98D"/>
    <w:rsid w:val="7D08410F"/>
    <w:rsid w:val="7DB96DED"/>
    <w:rsid w:val="7DD3AD81"/>
    <w:rsid w:val="7DFFF77E"/>
    <w:rsid w:val="7F53A862"/>
    <w:rsid w:val="7F7FE70F"/>
    <w:rsid w:val="7FDF365A"/>
    <w:rsid w:val="7FEC8BC6"/>
    <w:rsid w:val="7FFF772F"/>
    <w:rsid w:val="95F35EF6"/>
    <w:rsid w:val="9BFFD860"/>
    <w:rsid w:val="A77B4E4D"/>
    <w:rsid w:val="AC5F73DE"/>
    <w:rsid w:val="B5DDD2C8"/>
    <w:rsid w:val="B9DFABD9"/>
    <w:rsid w:val="BC0D83FC"/>
    <w:rsid w:val="BF3BDEFB"/>
    <w:rsid w:val="BFB7A454"/>
    <w:rsid w:val="C75F6086"/>
    <w:rsid w:val="C7F7ED2D"/>
    <w:rsid w:val="CFAF854E"/>
    <w:rsid w:val="D8D7928E"/>
    <w:rsid w:val="D8FE3136"/>
    <w:rsid w:val="DDDE60B7"/>
    <w:rsid w:val="DE9F6A22"/>
    <w:rsid w:val="DF4FCE6A"/>
    <w:rsid w:val="DFD6CE7C"/>
    <w:rsid w:val="DFE93440"/>
    <w:rsid w:val="DFEF5C84"/>
    <w:rsid w:val="E4FED278"/>
    <w:rsid w:val="EDAA365C"/>
    <w:rsid w:val="EDADFC12"/>
    <w:rsid w:val="F2FD229B"/>
    <w:rsid w:val="F65F79E2"/>
    <w:rsid w:val="F776A00A"/>
    <w:rsid w:val="F7F709E9"/>
    <w:rsid w:val="F7FF3690"/>
    <w:rsid w:val="F9BD3900"/>
    <w:rsid w:val="FBF76749"/>
    <w:rsid w:val="FC8B9876"/>
    <w:rsid w:val="FCBFBAB5"/>
    <w:rsid w:val="FEDFF218"/>
    <w:rsid w:val="FEDFFFFF"/>
    <w:rsid w:val="FFBF8D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100" w:beforeAutospacing="1" w:after="100" w:afterAutospacing="1"/>
      <w:outlineLvl w:val="1"/>
    </w:pPr>
    <w:rPr>
      <w:rFonts w:ascii="Cambria" w:hAnsi="Cambria" w:eastAsia="黑体"/>
      <w:b/>
      <w:bCs/>
      <w:kern w:val="0"/>
      <w:sz w:val="36"/>
      <w:szCs w:val="32"/>
    </w:rPr>
  </w:style>
  <w:style w:type="character" w:default="1" w:styleId="11">
    <w:name w:val="Default Paragraph Font"/>
    <w:unhideWhenUsed/>
    <w:qFormat/>
    <w:uiPriority w:val="1"/>
  </w:style>
  <w:style w:type="table" w:default="1" w:styleId="10">
    <w:name w:val="Normal Table"/>
    <w:unhideWhenUsed/>
    <w:qFormat/>
    <w:uiPriority w:val="99"/>
    <w:tblPr>
      <w:tblLayout w:type="fixed"/>
      <w:tblCellMar>
        <w:top w:w="0" w:type="dxa"/>
        <w:left w:w="108" w:type="dxa"/>
        <w:bottom w:w="0" w:type="dxa"/>
        <w:right w:w="108" w:type="dxa"/>
      </w:tblCellMar>
    </w:tblPr>
  </w:style>
  <w:style w:type="paragraph" w:styleId="3">
    <w:name w:val="Normal Indent"/>
    <w:basedOn w:val="1"/>
    <w:qFormat/>
    <w:uiPriority w:val="0"/>
    <w:pPr>
      <w:ind w:firstLine="200" w:firstLineChars="200"/>
    </w:pPr>
  </w:style>
  <w:style w:type="paragraph" w:styleId="4">
    <w:name w:val="Body Text Indent"/>
    <w:basedOn w:val="1"/>
    <w:qFormat/>
    <w:uiPriority w:val="0"/>
    <w:pPr>
      <w:ind w:firstLine="645"/>
    </w:pPr>
    <w:rPr>
      <w:rFonts w:ascii="仿宋_GB2312" w:hAnsi="Calibri" w:eastAsia="仿宋_GB2312"/>
      <w:sz w:val="32"/>
      <w:szCs w:val="32"/>
    </w:rPr>
  </w:style>
  <w:style w:type="paragraph" w:styleId="5">
    <w:name w:val="Date"/>
    <w:basedOn w:val="1"/>
    <w:next w:val="1"/>
    <w:qFormat/>
    <w:uiPriority w:val="0"/>
    <w:pPr>
      <w:ind w:left="100" w:leftChars="2500"/>
    </w:pPr>
  </w:style>
  <w:style w:type="paragraph" w:styleId="6">
    <w:name w:val="Balloon Text"/>
    <w:basedOn w:val="1"/>
    <w:semiHidden/>
    <w:qFormat/>
    <w:uiPriority w:val="0"/>
    <w:rPr>
      <w:sz w:val="18"/>
      <w:szCs w:val="18"/>
    </w:rPr>
  </w:style>
  <w:style w:type="paragraph" w:styleId="7">
    <w:name w:val="footer"/>
    <w:basedOn w:val="1"/>
    <w:link w:val="14"/>
    <w:qFormat/>
    <w:uiPriority w:val="0"/>
    <w:pPr>
      <w:tabs>
        <w:tab w:val="center" w:pos="4153"/>
        <w:tab w:val="right" w:pos="8306"/>
      </w:tabs>
      <w:snapToGrid w:val="0"/>
      <w:jc w:val="left"/>
    </w:pPr>
    <w:rPr>
      <w:sz w:val="18"/>
      <w:szCs w:val="18"/>
    </w:rPr>
  </w:style>
  <w:style w:type="paragraph" w:styleId="8">
    <w:name w:val="header"/>
    <w:basedOn w:val="1"/>
    <w:link w:val="15"/>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9">
    <w:name w:val="Normal (Web)"/>
    <w:basedOn w:val="1"/>
    <w:unhideWhenUsed/>
    <w:qFormat/>
    <w:uiPriority w:val="0"/>
    <w:pPr>
      <w:spacing w:before="100" w:beforeAutospacing="1" w:after="100" w:afterAutospacing="1"/>
      <w:ind w:right="238"/>
      <w:jc w:val="left"/>
    </w:pPr>
    <w:rPr>
      <w:b/>
      <w:kern w:val="0"/>
      <w:sz w:val="24"/>
      <w:szCs w:val="20"/>
    </w:rPr>
  </w:style>
  <w:style w:type="character" w:styleId="12">
    <w:name w:val="Strong"/>
    <w:qFormat/>
    <w:uiPriority w:val="0"/>
    <w:rPr>
      <w:b/>
    </w:rPr>
  </w:style>
  <w:style w:type="character" w:styleId="13">
    <w:name w:val="page number"/>
    <w:qFormat/>
    <w:uiPriority w:val="0"/>
  </w:style>
  <w:style w:type="character" w:customStyle="1" w:styleId="14">
    <w:name w:val="页脚 Char"/>
    <w:link w:val="7"/>
    <w:qFormat/>
    <w:uiPriority w:val="0"/>
    <w:rPr>
      <w:rFonts w:eastAsia="宋体"/>
      <w:kern w:val="2"/>
      <w:sz w:val="18"/>
      <w:szCs w:val="18"/>
      <w:lang w:val="en-US" w:eastAsia="zh-CN" w:bidi="ar-SA"/>
    </w:rPr>
  </w:style>
  <w:style w:type="character" w:customStyle="1" w:styleId="15">
    <w:name w:val="页眉 Char"/>
    <w:link w:val="8"/>
    <w:qFormat/>
    <w:uiPriority w:val="0"/>
    <w:rPr>
      <w:rFonts w:ascii="Calibri" w:hAnsi="Calibri" w:eastAsia="宋体"/>
      <w:kern w:val="2"/>
      <w:sz w:val="18"/>
      <w:szCs w:val="18"/>
      <w:lang w:val="en-US" w:eastAsia="zh-CN" w:bidi="ar-SA"/>
    </w:rPr>
  </w:style>
  <w:style w:type="paragraph" w:customStyle="1" w:styleId="16">
    <w:name w:val="Char Char Char Char Char Char Char"/>
    <w:basedOn w:val="1"/>
    <w:qFormat/>
    <w:uiPriority w:val="0"/>
    <w:rPr>
      <w:rFonts w:ascii="Tahoma" w:hAnsi="Tahoma"/>
      <w:sz w:val="24"/>
      <w:szCs w:val="20"/>
    </w:rPr>
  </w:style>
  <w:style w:type="paragraph" w:customStyle="1" w:styleId="17">
    <w:name w:val="Char1 Char Char Char"/>
    <w:basedOn w:val="1"/>
    <w:qFormat/>
    <w:uiPriority w:val="0"/>
    <w:pPr>
      <w:widowControl/>
      <w:spacing w:after="160" w:line="240" w:lineRule="exact"/>
      <w:jc w:val="left"/>
    </w:pPr>
    <w:rPr>
      <w:szCs w:val="20"/>
    </w:rPr>
  </w:style>
  <w:style w:type="paragraph" w:customStyle="1" w:styleId="18">
    <w:name w:val="Char"/>
    <w:basedOn w:val="1"/>
    <w:qFormat/>
    <w:uiPriority w:val="0"/>
    <w:rPr>
      <w:rFonts w:ascii="Tahoma" w:hAnsi="Tahoma"/>
      <w:sz w:val="24"/>
      <w:szCs w:val="20"/>
    </w:rPr>
  </w:style>
  <w:style w:type="paragraph" w:customStyle="1" w:styleId="19">
    <w:name w:val="Char Char3 Char Char"/>
    <w:basedOn w:val="1"/>
    <w:qFormat/>
    <w:uiPriority w:val="0"/>
    <w:rPr>
      <w:szCs w:val="21"/>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chart" Target="charts/chart2.xml"/><Relationship Id="rId7" Type="http://schemas.openxmlformats.org/officeDocument/2006/relationships/chart" Target="charts/chart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package" Target="../embeddings/Workbook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Workbook2.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zh-CN" altLang="en-US" sz="1400" b="0"/>
              <a:t>收入决算</a:t>
            </a:r>
            <a:endParaRPr lang="zh-CN" altLang="en-US" sz="1400" b="0"/>
          </a:p>
        </c:rich>
      </c:tx>
      <c:layout/>
      <c:overlay val="0"/>
    </c:title>
    <c:autoTitleDeleted val="0"/>
    <c:plotArea>
      <c:layout/>
      <c:pieChart>
        <c:varyColors val="1"/>
        <c:ser>
          <c:idx val="0"/>
          <c:order val="0"/>
          <c:tx>
            <c:strRef>
              <c:f>Sheet1!$B$1</c:f>
              <c:strCache>
                <c:ptCount val="1"/>
                <c:pt idx="0">
                  <c:v>收入</c:v>
                </c:pt>
              </c:strCache>
            </c:strRef>
          </c:tx>
          <c:explosion val="0"/>
          <c:dPt>
            <c:idx val="0"/>
            <c:bubble3D val="0"/>
          </c:dPt>
          <c:dPt>
            <c:idx val="1"/>
            <c:bubble3D val="0"/>
          </c:dPt>
          <c:dPt>
            <c:idx val="2"/>
            <c:bubble3D val="0"/>
          </c:dPt>
          <c:dPt>
            <c:idx val="3"/>
            <c:bubble3D val="0"/>
          </c:dPt>
          <c:dPt>
            <c:idx val="4"/>
            <c:bubble3D val="0"/>
          </c:dPt>
          <c:dPt>
            <c:idx val="5"/>
            <c:bubble3D val="0"/>
          </c:dPt>
          <c:dLbls>
            <c:numFmt formatCode="0.00%" sourceLinked="0"/>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ext>
            </c:extLst>
          </c:dLbls>
          <c:cat>
            <c:strRef>
              <c:f>Sheet1!$A$2:$A$7</c:f>
              <c:strCache>
                <c:ptCount val="6"/>
                <c:pt idx="0">
                  <c:v>财政拨款收入</c:v>
                </c:pt>
                <c:pt idx="1">
                  <c:v>上级补助收入</c:v>
                </c:pt>
                <c:pt idx="2">
                  <c:v>事业收入</c:v>
                </c:pt>
                <c:pt idx="3">
                  <c:v>经营收入</c:v>
                </c:pt>
                <c:pt idx="4">
                  <c:v>附属单位上缴</c:v>
                </c:pt>
                <c:pt idx="5">
                  <c:v>其他收入</c:v>
                </c:pt>
              </c:strCache>
            </c:strRef>
          </c:cat>
          <c:val>
            <c:numRef>
              <c:f>Sheet1!$B$2:$B$7</c:f>
              <c:numCache>
                <c:formatCode>General</c:formatCode>
                <c:ptCount val="6"/>
                <c:pt idx="0">
                  <c:v>1560.99</c:v>
                </c:pt>
                <c:pt idx="1">
                  <c:v>0</c:v>
                </c:pt>
                <c:pt idx="2">
                  <c:v>0</c:v>
                </c:pt>
                <c:pt idx="3">
                  <c:v>0</c:v>
                </c:pt>
                <c:pt idx="4">
                  <c:v>0</c:v>
                </c:pt>
                <c:pt idx="5">
                  <c:v>0</c:v>
                </c:pt>
              </c:numCache>
            </c:numRef>
          </c:val>
        </c:ser>
        <c:dLbls>
          <c:showLegendKey val="0"/>
          <c:showVal val="1"/>
          <c:showCatName val="0"/>
          <c:showSerName val="0"/>
          <c:showPercent val="0"/>
          <c:showBubbleSize val="0"/>
          <c:showLeaderLines val="1"/>
        </c:dLbls>
        <c:firstSliceAng val="0"/>
      </c:pieChart>
    </c:plotArea>
    <c:legend>
      <c:legendPos val="r"/>
      <c:layout/>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legend>
    <c:plotVisOnly val="1"/>
    <c:dispBlanksAs val="gap"/>
    <c:showDLblsOverMax val="0"/>
  </c:chart>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solidFill>
                <a:latin typeface="+mn-lt"/>
                <a:ea typeface="+mn-ea"/>
                <a:cs typeface="+mn-cs"/>
              </a:defRPr>
            </a:pPr>
            <a:r>
              <a:rPr lang="zh-CN" altLang="en-US">
                <a:solidFill>
                  <a:schemeClr val="tx1"/>
                </a:solidFill>
              </a:rPr>
              <a:t>支出决算</a:t>
            </a:r>
            <a:endParaRPr lang="zh-CN" altLang="en-US">
              <a:solidFill>
                <a:schemeClr val="tx1"/>
              </a:solidFill>
            </a:endParaRPr>
          </a:p>
        </c:rich>
      </c:tx>
      <c:layout/>
      <c:overlay val="0"/>
      <c:spPr>
        <a:noFill/>
        <a:ln>
          <a:noFill/>
        </a:ln>
        <a:effectLst/>
      </c:spPr>
    </c:title>
    <c:autoTitleDeleted val="0"/>
    <c:plotArea>
      <c:layout/>
      <c:pieChart>
        <c:varyColors val="1"/>
        <c:ser>
          <c:idx val="0"/>
          <c:order val="0"/>
          <c:tx>
            <c:strRef>
              <c:f>Sheet0!$B$1</c:f>
              <c:strCache>
                <c:ptCount val="1"/>
                <c:pt idx="0">
                  <c:v>支出</c:v>
                </c:pt>
              </c:strCache>
            </c:strRef>
          </c:tx>
          <c:explosion val="0"/>
          <c:dPt>
            <c:idx val="0"/>
            <c:bubble3D val="0"/>
            <c:spPr>
              <a:solidFill>
                <a:srgbClr val="4F81BD"/>
              </a:solidFill>
              <a:ln w="19050">
                <a:solidFill>
                  <a:srgbClr val="FFFFFF"/>
                </a:solidFill>
              </a:ln>
              <a:effectLst/>
            </c:spPr>
          </c:dPt>
          <c:dPt>
            <c:idx val="1"/>
            <c:bubble3D val="0"/>
            <c:spPr>
              <a:solidFill>
                <a:srgbClr val="C0504D"/>
              </a:solidFill>
              <a:ln w="19050">
                <a:solidFill>
                  <a:srgbClr val="FFFFFF"/>
                </a:solidFill>
              </a:ln>
              <a:effectLst/>
            </c:spPr>
          </c:dPt>
          <c:dPt>
            <c:idx val="2"/>
            <c:bubble3D val="0"/>
            <c:spPr>
              <a:solidFill>
                <a:srgbClr val="9BBB59"/>
              </a:solidFill>
              <a:ln w="19050">
                <a:solidFill>
                  <a:srgbClr val="FFFFFF"/>
                </a:solidFill>
              </a:ln>
              <a:effectLst/>
            </c:spPr>
          </c:dPt>
          <c:dPt>
            <c:idx val="3"/>
            <c:bubble3D val="0"/>
            <c:spPr>
              <a:solidFill>
                <a:srgbClr val="8064A2"/>
              </a:solidFill>
              <a:ln w="19050">
                <a:solidFill>
                  <a:srgbClr val="FFFFFF"/>
                </a:solidFill>
              </a:ln>
              <a:effectLst/>
            </c:spPr>
          </c:dPt>
          <c:dPt>
            <c:idx val="4"/>
            <c:bubble3D val="0"/>
            <c:spPr>
              <a:solidFill>
                <a:srgbClr val="4BACC6"/>
              </a:solidFill>
              <a:ln w="19050">
                <a:solidFill>
                  <a:srgbClr val="FFFFFF"/>
                </a:solidFill>
              </a:ln>
              <a:effectLst/>
            </c:spPr>
          </c:dPt>
          <c:dLbls>
            <c:dLbl>
              <c:idx val="2"/>
              <c:layout>
                <c:manualLayout>
                  <c:x val="-0.03900372940115"/>
                  <c:y val="0.0328271436107878"/>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dLbl>
              <c:idx val="4"/>
              <c:layout>
                <c:manualLayout>
                  <c:x val="0.0389887693586102"/>
                  <c:y val="0.0105112295100623"/>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numFmt formatCode="0.00%"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rgbClr val="A6A6A6">
                          <a:lumMod val="35000"/>
                          <a:lumOff val="65000"/>
                        </a:srgbClr>
                      </a:solidFill>
                      <a:prstDash val="solid"/>
                      <a:round/>
                    </a:ln>
                    <a:effectLst/>
                  </c:spPr>
                </c15:leaderLines>
              </c:ext>
            </c:extLst>
          </c:dLbls>
          <c:cat>
            <c:strRef>
              <c:f>Sheet0!$A$2:$A$6</c:f>
              <c:strCache>
                <c:ptCount val="5"/>
                <c:pt idx="0">
                  <c:v>基本支出</c:v>
                </c:pt>
                <c:pt idx="1">
                  <c:v>项目支出</c:v>
                </c:pt>
                <c:pt idx="2">
                  <c:v>上缴上级支出</c:v>
                </c:pt>
                <c:pt idx="3">
                  <c:v>经营支出</c:v>
                </c:pt>
                <c:pt idx="4">
                  <c:v>对附属单位补助支出</c:v>
                </c:pt>
              </c:strCache>
            </c:strRef>
          </c:cat>
          <c:val>
            <c:numRef>
              <c:f>Sheet0!$B$2:$B$6</c:f>
              <c:numCache>
                <c:formatCode>General</c:formatCode>
                <c:ptCount val="5"/>
                <c:pt idx="0">
                  <c:v>443.89</c:v>
                </c:pt>
                <c:pt idx="1">
                  <c:v>1138.86</c:v>
                </c:pt>
                <c:pt idx="2">
                  <c:v>0</c:v>
                </c:pt>
                <c:pt idx="3">
                  <c:v>0</c:v>
                </c:pt>
                <c:pt idx="4">
                  <c:v>0</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b"/>
      <c:legendEntry>
        <c:idx val="0"/>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1"/>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2"/>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3"/>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4"/>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
    <c:plotVisOnly val="1"/>
    <c:dispBlanksAs val="gap"/>
    <c:showDLblsOverMax val="0"/>
  </c:chart>
  <c:spPr>
    <a:ln w="9525" cap="flat" cmpd="sng" algn="ctr">
      <a:solidFill>
        <a:srgbClr val="D9D9D9">
          <a:lumMod val="15000"/>
          <a:lumOff val="85000"/>
        </a:srgbClr>
      </a:solidFill>
      <a:prstDash val="solid"/>
      <a:round/>
    </a:ln>
    <a:effectLst/>
  </c:spPr>
  <c:txPr>
    <a:bodyPr/>
    <a:lstStyle/>
    <a:p>
      <a:pPr>
        <a:defRPr lang="zh-CN"/>
      </a:pPr>
    </a:p>
  </c:txPr>
  <c:externalData r:id="rId1">
    <c:autoUpdate val="0"/>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11</Pages>
  <Words>721</Words>
  <Characters>817</Characters>
  <Lines>44</Lines>
  <Paragraphs>12</Paragraphs>
  <TotalTime>2</TotalTime>
  <ScaleCrop>false</ScaleCrop>
  <LinksUpToDate>false</LinksUpToDate>
  <CharactersWithSpaces>837</CharactersWithSpaces>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2017-07-13T07:16:00Z</dcterms:created>
  <dc:creator>常程</dc:creator>
  <cp:lastModifiedBy>pc</cp:lastModifiedBy>
  <cp:lastPrinted>2020-08-09T03:39:00Z</cp:lastPrinted>
  <dcterms:modified xsi:type="dcterms:W3CDTF">2025-11-06T08:58:27Z</dcterms:modified>
  <dc:title>北京市财政局关于做好向市人大常委会报送2015年度市级部门决算（草案）</dc:title>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y fmtid="{D5CDD505-2E9C-101B-9397-08002B2CF9AE}" pid="3" name="ICV">
    <vt:lpwstr>A7F78878FB63AC2F75B4B7682BD79272</vt:lpwstr>
  </property>
  <property fmtid="{D5CDD505-2E9C-101B-9397-08002B2CF9AE}" pid="4" name="KSOTemplateDocerSaveRecord">
    <vt:lpwstr>eyJoZGlkIjoiMDQ4MGI0NjcwNjQ2ZDljMjA0ZjI0ZjE0NTNkY2E1MWIiLCJ1c2VySWQiOiIxNjA4NjQyNzE4In0=</vt:lpwstr>
  </property>
</Properties>
</file>