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bookmarkStart w:id="0" w:name="_GoBack"/>
      <w:bookmarkEnd w:id="0"/>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highlight w:val="cyan"/>
        </w:rPr>
      </w:pPr>
      <w:r>
        <w:rPr>
          <w:rFonts w:hint="eastAsia" w:ascii="黑体" w:eastAsia="黑体"/>
          <w:b/>
          <w:sz w:val="28"/>
          <w:szCs w:val="28"/>
        </w:rPr>
        <w:t>一、单位基本情况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（一）机构设置情况</w:t>
      </w:r>
    </w:p>
    <w:p>
      <w:pPr>
        <w:keepNext w:val="0"/>
        <w:keepLines w:val="0"/>
        <w:pageBreakBefore w:val="0"/>
        <w:widowControl w:val="0"/>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left="0" w:leftChars="0" w:firstLine="560" w:firstLineChars="200"/>
        <w:textAlignment w:val="auto"/>
        <w:rPr>
          <w:rFonts w:hint="eastAsia" w:ascii="仿宋_GB2312" w:hAnsi="仿宋_GB2312" w:eastAsia="仿宋_GB2312" w:cs="仿宋_GB2312"/>
          <w:color w:val="auto"/>
          <w:sz w:val="28"/>
          <w:szCs w:val="28"/>
          <w:highlight w:val="none"/>
        </w:rPr>
      </w:pPr>
      <w:r>
        <w:rPr>
          <w:rFonts w:hint="eastAsia" w:ascii="仿宋_GB2312" w:hAnsi="仿宋_GB2312" w:eastAsia="仿宋_GB2312" w:cs="仿宋_GB2312"/>
          <w:color w:val="auto"/>
          <w:sz w:val="28"/>
          <w:szCs w:val="28"/>
          <w:highlight w:val="none"/>
        </w:rPr>
        <w:t>本单位设置</w:t>
      </w:r>
      <w:r>
        <w:rPr>
          <w:rFonts w:hint="eastAsia" w:ascii="仿宋_GB2312" w:hAnsi="仿宋_GB2312" w:eastAsia="仿宋_GB2312" w:cs="仿宋_GB2312"/>
          <w:color w:val="auto"/>
          <w:sz w:val="28"/>
          <w:szCs w:val="28"/>
          <w:highlight w:val="none"/>
          <w:lang w:val="en-US" w:eastAsia="zh-CN"/>
        </w:rPr>
        <w:t>4</w:t>
      </w:r>
      <w:r>
        <w:rPr>
          <w:rFonts w:hint="eastAsia" w:ascii="仿宋_GB2312" w:hAnsi="仿宋_GB2312" w:eastAsia="仿宋_GB2312" w:cs="仿宋_GB2312"/>
          <w:color w:val="auto"/>
          <w:sz w:val="28"/>
          <w:szCs w:val="28"/>
          <w:highlight w:val="none"/>
        </w:rPr>
        <w:t>个内设机构，分别为</w:t>
      </w:r>
      <w:r>
        <w:rPr>
          <w:rFonts w:hint="eastAsia" w:ascii="仿宋_GB2312" w:hAnsi="仿宋_GB2312" w:eastAsia="仿宋_GB2312" w:cs="仿宋_GB2312"/>
          <w:color w:val="auto"/>
          <w:sz w:val="28"/>
          <w:szCs w:val="28"/>
          <w:highlight w:val="none"/>
          <w:lang w:eastAsia="zh-CN"/>
        </w:rPr>
        <w:t>办公室、财务办公室、市容环境巡查办公室、供热监管办公室</w:t>
      </w:r>
      <w:r>
        <w:rPr>
          <w:rFonts w:hint="eastAsia" w:ascii="仿宋_GB2312" w:hAnsi="仿宋_GB2312" w:eastAsia="仿宋_GB2312" w:cs="仿宋_GB2312"/>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kern w:val="2"/>
          <w:sz w:val="28"/>
          <w:szCs w:val="28"/>
          <w:lang w:val="en-US" w:eastAsia="zh-CN"/>
        </w:rPr>
      </w:pPr>
      <w:r>
        <w:rPr>
          <w:rFonts w:hint="eastAsia" w:ascii="仿宋_GB2312" w:hAnsi="仿宋_GB2312" w:eastAsia="仿宋_GB2312" w:cs="仿宋_GB2312"/>
          <w:kern w:val="2"/>
          <w:sz w:val="28"/>
          <w:szCs w:val="28"/>
          <w:lang w:val="en-US" w:eastAsia="zh-CN"/>
        </w:rPr>
        <w:t>（二）单位职责</w:t>
      </w:r>
    </w:p>
    <w:p>
      <w:pPr>
        <w:keepNext w:val="0"/>
        <w:keepLines w:val="0"/>
        <w:pageBreakBefore w:val="0"/>
        <w:widowControl w:val="0"/>
        <w:numPr>
          <w:ilvl w:val="0"/>
          <w:numId w:val="0"/>
        </w:numPr>
        <w:pBdr>
          <w:top w:val="none" w:color="auto" w:sz="0" w:space="0"/>
          <w:left w:val="none" w:color="auto" w:sz="0" w:space="0"/>
          <w:bottom w:val="none" w:color="auto" w:sz="0" w:space="0"/>
          <w:right w:val="none" w:color="auto" w:sz="0" w:space="0"/>
          <w:between w:val="none" w:color="auto" w:sz="0" w:space="0"/>
        </w:pBdr>
        <w:kinsoku/>
        <w:wordWrap/>
        <w:overflowPunct/>
        <w:topLinePunct w:val="0"/>
        <w:autoSpaceDE/>
        <w:autoSpaceDN/>
        <w:bidi w:val="0"/>
        <w:adjustRightInd/>
        <w:snapToGrid/>
        <w:spacing w:line="560" w:lineRule="exact"/>
        <w:ind w:firstLine="560" w:firstLineChars="200"/>
        <w:textAlignment w:val="auto"/>
        <w:rPr>
          <w:rFonts w:hint="eastAsia" w:ascii="仿宋_GB2312" w:hAnsi="仿宋_GB2312" w:eastAsia="仿宋_GB2312" w:cs="仿宋_GB2312"/>
          <w:color w:val="000000"/>
          <w:sz w:val="28"/>
          <w:szCs w:val="28"/>
          <w:highlight w:val="none"/>
        </w:rPr>
      </w:pPr>
      <w:r>
        <w:rPr>
          <w:rFonts w:hint="eastAsia" w:ascii="仿宋_GB2312" w:hAnsi="仿宋_GB2312" w:eastAsia="仿宋_GB2312" w:cs="仿宋_GB2312"/>
          <w:color w:val="000000"/>
          <w:sz w:val="28"/>
          <w:szCs w:val="28"/>
          <w:highlight w:val="none"/>
        </w:rPr>
        <w:t>本单位为北京市大兴区城市管理委员会所属公益一类事业单位，</w:t>
      </w:r>
      <w:r>
        <w:rPr>
          <w:rFonts w:hint="eastAsia" w:ascii="仿宋_GB2312" w:hAnsi="仿宋_GB2312" w:eastAsia="仿宋_GB2312" w:cs="仿宋_GB2312"/>
          <w:color w:val="000000"/>
          <w:sz w:val="28"/>
          <w:szCs w:val="28"/>
          <w:highlight w:val="none"/>
          <w:lang w:eastAsia="zh-CN"/>
        </w:rPr>
        <w:t>主要职责为协助机关做好本区供热企业运行、服务、安全生产等监督管理方面辅助性、事务性工作</w:t>
      </w:r>
      <w:r>
        <w:rPr>
          <w:rFonts w:hint="eastAsia" w:ascii="仿宋_GB2312" w:hAnsi="仿宋_GB2312" w:eastAsia="仿宋_GB2312" w:cs="仿宋_GB2312"/>
          <w:color w:val="000000"/>
          <w:sz w:val="28"/>
          <w:szCs w:val="28"/>
          <w:highlight w:val="none"/>
        </w:rPr>
        <w:t>。</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年度收、</w:t>
      </w:r>
      <w:r>
        <w:rPr>
          <w:rFonts w:ascii="仿宋_GB2312" w:eastAsia="仿宋_GB2312"/>
          <w:sz w:val="28"/>
          <w:szCs w:val="28"/>
          <w:highlight w:val="none"/>
        </w:rPr>
        <w:t>支</w:t>
      </w:r>
      <w:r>
        <w:rPr>
          <w:rFonts w:hint="eastAsia" w:ascii="仿宋_GB2312" w:eastAsia="仿宋_GB2312"/>
          <w:sz w:val="28"/>
          <w:szCs w:val="28"/>
          <w:highlight w:val="none"/>
        </w:rPr>
        <w:t>总计</w:t>
      </w:r>
      <w:r>
        <w:rPr>
          <w:rFonts w:ascii="仿宋_GB2312" w:eastAsia="仿宋_GB2312"/>
          <w:sz w:val="28"/>
          <w:szCs w:val="28"/>
          <w:highlight w:val="none"/>
        </w:rPr>
        <w:t>1741.24</w:t>
      </w:r>
      <w:r>
        <w:rPr>
          <w:rFonts w:hint="eastAsia" w:ascii="仿宋_GB2312" w:eastAsia="仿宋_GB2312"/>
          <w:sz w:val="28"/>
          <w:szCs w:val="28"/>
          <w:highlight w:val="none"/>
        </w:rPr>
        <w:t>万元</w:t>
      </w:r>
      <w:r>
        <w:rPr>
          <w:rFonts w:hint="eastAsia" w:ascii="仿宋_GB2312" w:eastAsia="仿宋_GB2312"/>
          <w:sz w:val="28"/>
          <w:szCs w:val="28"/>
        </w:rPr>
        <w:t>，比上年增加435.70万元，增长33.37%。</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1430.57</w:t>
      </w:r>
      <w:r>
        <w:rPr>
          <w:rFonts w:hint="eastAsia" w:ascii="仿宋_GB2312" w:eastAsia="仿宋_GB2312"/>
          <w:sz w:val="28"/>
          <w:szCs w:val="28"/>
        </w:rPr>
        <w:t>万元，比上年增加125.03万元，增长9.58%</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1430.57</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一般公共预算财政拨款收入1430.57万元，占收入合计的100.00%；政府性基金预算财政拨款收入0.00万元，占收入合计的0.00%；国有资本经营预算财政拨款收入0.00万元，占收入合计的0.00%；</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hint="eastAsia" w:ascii="仿宋_GB2312" w:eastAsia="仿宋_GB2312"/>
          <w:sz w:val="28"/>
          <w:szCs w:val="28"/>
          <w:lang w:eastAsia="zh-CN"/>
        </w:rPr>
        <w:t>0.00</w:t>
      </w:r>
      <w:r>
        <w:rPr>
          <w:rFonts w:hint="eastAsia" w:ascii="仿宋_GB2312" w:eastAsia="仿宋_GB2312"/>
          <w:sz w:val="28"/>
          <w:szCs w:val="28"/>
          <w:highlight w:val="none"/>
        </w:rPr>
        <w:t>万元，占收入合计的</w:t>
      </w:r>
      <w:r>
        <w:rPr>
          <w:rFonts w:hint="eastAsia" w:ascii="仿宋_GB2312" w:eastAsia="仿宋_GB2312"/>
          <w:sz w:val="28"/>
          <w:szCs w:val="28"/>
          <w:lang w:eastAsia="zh-CN"/>
        </w:rPr>
        <w:t>0.00</w:t>
      </w:r>
      <w:r>
        <w:rPr>
          <w:rFonts w:hint="eastAsia" w:ascii="仿宋_GB2312" w:eastAsia="仿宋_GB2312"/>
          <w:sz w:val="28"/>
          <w:szCs w:val="28"/>
          <w:highlight w:val="none"/>
        </w:rPr>
        <w:t>%；</w:t>
      </w:r>
    </w:p>
    <w:p>
      <w:pPr>
        <w:numPr>
          <w:ilvl w:val="0"/>
          <w:numId w:val="0"/>
        </w:numPr>
        <w:tabs>
          <w:tab w:val="center" w:pos="6979"/>
        </w:tabs>
        <w:spacing w:line="580" w:lineRule="exact"/>
        <w:ind w:firstLine="560" w:firstLineChars="200"/>
        <w:rPr>
          <w:rFonts w:hint="eastAsia" w:ascii="仿宋_GB2312" w:eastAsia="仿宋_GB2312"/>
          <w:sz w:val="28"/>
          <w:szCs w:val="28"/>
          <w:highlight w:val="none"/>
        </w:rPr>
      </w:pPr>
      <w:r>
        <w:rPr>
          <w:rFonts w:hint="eastAsia" w:ascii="仿宋_GB2312" w:eastAsia="仿宋_GB2312"/>
          <w:sz w:val="28"/>
          <w:szCs w:val="28"/>
          <w:highlight w:val="none"/>
          <w:lang w:val="en-US" w:eastAsia="zh-CN"/>
        </w:rPr>
        <w:t>3.</w:t>
      </w:r>
      <w:r>
        <w:rPr>
          <w:rFonts w:hint="eastAsia" w:ascii="仿宋_GB2312" w:eastAsia="仿宋_GB2312"/>
          <w:sz w:val="28"/>
          <w:szCs w:val="28"/>
          <w:highlight w:val="none"/>
        </w:rPr>
        <w:t>事业收入</w:t>
      </w:r>
      <w:r>
        <w:rPr>
          <w:rFonts w:hint="eastAsia" w:ascii="仿宋_GB2312" w:eastAsia="仿宋_GB2312"/>
          <w:sz w:val="28"/>
          <w:szCs w:val="28"/>
          <w:lang w:eastAsia="zh-CN"/>
        </w:rPr>
        <w:t>0.00</w:t>
      </w:r>
      <w:r>
        <w:rPr>
          <w:rFonts w:hint="eastAsia" w:ascii="仿宋_GB2312" w:eastAsia="仿宋_GB2312"/>
          <w:sz w:val="28"/>
          <w:szCs w:val="28"/>
          <w:highlight w:val="none"/>
        </w:rPr>
        <w:t>万元，占收入合计的</w:t>
      </w:r>
      <w:r>
        <w:rPr>
          <w:rFonts w:hint="eastAsia" w:ascii="仿宋_GB2312" w:eastAsia="仿宋_GB2312"/>
          <w:sz w:val="28"/>
          <w:szCs w:val="28"/>
          <w:lang w:eastAsia="zh-CN"/>
        </w:rPr>
        <w:t>0.00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4.经营收入</w:t>
      </w:r>
      <w:r>
        <w:rPr>
          <w:rFonts w:hint="eastAsia" w:ascii="仿宋_GB2312" w:eastAsia="仿宋_GB2312"/>
          <w:sz w:val="28"/>
          <w:szCs w:val="28"/>
          <w:lang w:eastAsia="zh-CN"/>
        </w:rPr>
        <w:t>0.00</w:t>
      </w:r>
      <w:r>
        <w:rPr>
          <w:rFonts w:hint="eastAsia" w:ascii="仿宋_GB2312" w:eastAsia="仿宋_GB2312"/>
          <w:sz w:val="28"/>
          <w:szCs w:val="28"/>
          <w:highlight w:val="none"/>
        </w:rPr>
        <w:t>万元，占收入合计的</w:t>
      </w:r>
      <w:r>
        <w:rPr>
          <w:rFonts w:hint="eastAsia" w:ascii="仿宋_GB2312" w:eastAsia="仿宋_GB2312"/>
          <w:sz w:val="28"/>
          <w:szCs w:val="28"/>
          <w:lang w:eastAsia="zh-CN"/>
        </w:rPr>
        <w:t>0.00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5.附属单位上缴收入</w:t>
      </w:r>
      <w:r>
        <w:rPr>
          <w:rFonts w:hint="eastAsia" w:ascii="仿宋_GB2312" w:eastAsia="仿宋_GB2312"/>
          <w:sz w:val="28"/>
          <w:szCs w:val="28"/>
          <w:lang w:eastAsia="zh-CN"/>
        </w:rPr>
        <w:t>0.00</w:t>
      </w:r>
      <w:r>
        <w:rPr>
          <w:rFonts w:hint="eastAsia" w:ascii="仿宋_GB2312" w:eastAsia="仿宋_GB2312"/>
          <w:sz w:val="28"/>
          <w:szCs w:val="28"/>
          <w:highlight w:val="none"/>
        </w:rPr>
        <w:t>万元，占收入合计的</w:t>
      </w:r>
      <w:r>
        <w:rPr>
          <w:rFonts w:hint="eastAsia" w:ascii="仿宋_GB2312" w:eastAsia="仿宋_GB2312"/>
          <w:sz w:val="28"/>
          <w:szCs w:val="28"/>
          <w:lang w:eastAsia="zh-CN"/>
        </w:rPr>
        <w:t>0.00</w:t>
      </w:r>
      <w:r>
        <w:rPr>
          <w:rFonts w:hint="eastAsia" w:ascii="仿宋_GB2312" w:eastAsia="仿宋_GB2312"/>
          <w:sz w:val="28"/>
          <w:szCs w:val="28"/>
          <w:highlight w:val="none"/>
        </w:rPr>
        <w:t>%；</w:t>
      </w:r>
    </w:p>
    <w:p>
      <w:pPr>
        <w:tabs>
          <w:tab w:val="center" w:pos="6979"/>
        </w:tabs>
        <w:spacing w:line="58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6.其他收入</w:t>
      </w:r>
      <w:r>
        <w:rPr>
          <w:rFonts w:hint="eastAsia" w:ascii="仿宋_GB2312" w:eastAsia="仿宋_GB2312"/>
          <w:sz w:val="28"/>
          <w:szCs w:val="28"/>
          <w:lang w:eastAsia="zh-CN"/>
        </w:rPr>
        <w:t>0.00</w:t>
      </w:r>
      <w:r>
        <w:rPr>
          <w:rFonts w:hint="eastAsia" w:ascii="仿宋_GB2312" w:eastAsia="仿宋_GB2312"/>
          <w:sz w:val="28"/>
          <w:szCs w:val="28"/>
          <w:highlight w:val="none"/>
        </w:rPr>
        <w:t>万元，占收入合计的</w:t>
      </w:r>
      <w:r>
        <w:rPr>
          <w:rFonts w:hint="eastAsia" w:ascii="仿宋_GB2312" w:eastAsia="仿宋_GB2312"/>
          <w:sz w:val="28"/>
          <w:szCs w:val="28"/>
          <w:lang w:eastAsia="zh-CN"/>
        </w:rPr>
        <w:t>0.00</w:t>
      </w:r>
      <w:r>
        <w:rPr>
          <w:rFonts w:hint="eastAsia" w:ascii="仿宋_GB2312" w:eastAsia="仿宋_GB2312"/>
          <w:sz w:val="28"/>
          <w:szCs w:val="28"/>
          <w:highlight w:val="none"/>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114300" distR="114300">
            <wp:extent cx="4827905" cy="1514475"/>
            <wp:effectExtent l="4445" t="4445" r="6350" b="508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1741.24</w:t>
      </w:r>
      <w:r>
        <w:rPr>
          <w:rFonts w:hint="eastAsia" w:ascii="仿宋_GB2312" w:eastAsia="仿宋_GB2312"/>
          <w:sz w:val="28"/>
          <w:szCs w:val="28"/>
        </w:rPr>
        <w:t>万元，比上年增加435.70万元，增长33.37%，其中：基本支</w:t>
      </w:r>
      <w:r>
        <w:rPr>
          <w:rFonts w:hint="eastAsia" w:ascii="仿宋_GB2312" w:eastAsia="仿宋_GB2312"/>
          <w:sz w:val="28"/>
          <w:szCs w:val="28"/>
          <w:highlight w:val="none"/>
        </w:rPr>
        <w:t>出</w:t>
      </w:r>
      <w:r>
        <w:rPr>
          <w:rFonts w:ascii="仿宋_GB2312" w:eastAsia="仿宋_GB2312"/>
          <w:sz w:val="28"/>
          <w:szCs w:val="28"/>
          <w:highlight w:val="none"/>
        </w:rPr>
        <w:t>1542.4</w:t>
      </w:r>
      <w:r>
        <w:rPr>
          <w:rFonts w:hint="eastAsia" w:ascii="仿宋_GB2312" w:eastAsia="仿宋_GB2312"/>
          <w:sz w:val="28"/>
          <w:szCs w:val="28"/>
          <w:highlight w:val="none"/>
          <w:lang w:val="en-US" w:eastAsia="zh-CN"/>
        </w:rPr>
        <w:t>6</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88.58</w:t>
      </w:r>
      <w:r>
        <w:rPr>
          <w:rFonts w:hint="eastAsia" w:ascii="仿宋_GB2312" w:eastAsia="仿宋_GB2312"/>
          <w:sz w:val="28"/>
          <w:szCs w:val="28"/>
          <w:highlight w:val="none"/>
        </w:rPr>
        <w:t>%；项目支出</w:t>
      </w:r>
      <w:r>
        <w:rPr>
          <w:rFonts w:ascii="仿宋_GB2312" w:eastAsia="仿宋_GB2312"/>
          <w:sz w:val="28"/>
          <w:szCs w:val="28"/>
          <w:highlight w:val="none"/>
        </w:rPr>
        <w:t>198.78</w:t>
      </w:r>
      <w:r>
        <w:rPr>
          <w:rFonts w:hint="eastAsia" w:ascii="仿宋_GB2312" w:eastAsia="仿宋_GB2312"/>
          <w:sz w:val="28"/>
          <w:szCs w:val="28"/>
          <w:highlight w:val="none"/>
        </w:rPr>
        <w:t>万元，占支出合计的</w:t>
      </w:r>
      <w:r>
        <w:rPr>
          <w:rFonts w:hint="eastAsia" w:ascii="仿宋_GB2312" w:eastAsia="仿宋_GB2312"/>
          <w:sz w:val="28"/>
          <w:szCs w:val="28"/>
          <w:highlight w:val="none"/>
          <w:lang w:eastAsia="zh-CN"/>
        </w:rPr>
        <w:t>11.42</w:t>
      </w:r>
      <w:r>
        <w:rPr>
          <w:rFonts w:hint="eastAsia" w:ascii="仿宋_GB2312" w:eastAsia="仿宋_GB2312"/>
          <w:sz w:val="28"/>
          <w:szCs w:val="28"/>
          <w:highlight w:val="none"/>
        </w:rPr>
        <w:t>%;上缴上级支出</w:t>
      </w:r>
      <w:r>
        <w:rPr>
          <w:rFonts w:hint="eastAsia" w:ascii="仿宋_GB2312" w:eastAsia="仿宋_GB2312"/>
          <w:sz w:val="28"/>
          <w:szCs w:val="28"/>
          <w:lang w:eastAsia="zh-CN"/>
        </w:rPr>
        <w:t>0.00</w:t>
      </w:r>
      <w:r>
        <w:rPr>
          <w:rFonts w:hint="eastAsia" w:ascii="仿宋_GB2312" w:eastAsia="仿宋_GB2312"/>
          <w:sz w:val="28"/>
          <w:szCs w:val="28"/>
          <w:highlight w:val="none"/>
        </w:rPr>
        <w:t>万元，占支出合计的</w:t>
      </w:r>
      <w:r>
        <w:rPr>
          <w:rFonts w:hint="eastAsia" w:ascii="仿宋_GB2312" w:eastAsia="仿宋_GB2312"/>
          <w:sz w:val="28"/>
          <w:szCs w:val="28"/>
          <w:lang w:eastAsia="zh-CN"/>
        </w:rPr>
        <w:t>0.00</w:t>
      </w:r>
      <w:r>
        <w:rPr>
          <w:rFonts w:hint="eastAsia" w:ascii="仿宋_GB2312" w:eastAsia="仿宋_GB2312"/>
          <w:sz w:val="28"/>
          <w:szCs w:val="28"/>
          <w:highlight w:val="none"/>
        </w:rPr>
        <w:t>%；经营支出</w:t>
      </w:r>
      <w:r>
        <w:rPr>
          <w:rFonts w:hint="eastAsia" w:ascii="仿宋_GB2312" w:eastAsia="仿宋_GB2312"/>
          <w:sz w:val="28"/>
          <w:szCs w:val="28"/>
          <w:lang w:eastAsia="zh-CN"/>
        </w:rPr>
        <w:t>0.00</w:t>
      </w:r>
      <w:r>
        <w:rPr>
          <w:rFonts w:hint="eastAsia" w:ascii="仿宋_GB2312" w:eastAsia="仿宋_GB2312"/>
          <w:sz w:val="28"/>
          <w:szCs w:val="28"/>
          <w:highlight w:val="none"/>
        </w:rPr>
        <w:t>万元，占支出合计的</w:t>
      </w:r>
      <w:r>
        <w:rPr>
          <w:rFonts w:hint="eastAsia" w:ascii="仿宋_GB2312" w:eastAsia="仿宋_GB2312"/>
          <w:sz w:val="28"/>
          <w:szCs w:val="28"/>
          <w:lang w:eastAsia="zh-CN"/>
        </w:rPr>
        <w:t>0.00</w:t>
      </w:r>
      <w:r>
        <w:rPr>
          <w:rFonts w:hint="eastAsia" w:ascii="仿宋_GB2312" w:eastAsia="仿宋_GB2312"/>
          <w:sz w:val="28"/>
          <w:szCs w:val="28"/>
          <w:highlight w:val="none"/>
        </w:rPr>
        <w:t>%；对附属单位补助支出</w:t>
      </w:r>
      <w:r>
        <w:rPr>
          <w:rFonts w:hint="eastAsia" w:ascii="仿宋_GB2312" w:eastAsia="仿宋_GB2312"/>
          <w:sz w:val="28"/>
          <w:szCs w:val="28"/>
          <w:lang w:eastAsia="zh-CN"/>
        </w:rPr>
        <w:t>0.00</w:t>
      </w:r>
      <w:r>
        <w:rPr>
          <w:rFonts w:hint="eastAsia" w:ascii="仿宋_GB2312" w:eastAsia="仿宋_GB2312"/>
          <w:sz w:val="28"/>
          <w:szCs w:val="28"/>
          <w:highlight w:val="none"/>
        </w:rPr>
        <w:t>万元，占支出合计的</w:t>
      </w:r>
      <w:r>
        <w:rPr>
          <w:rFonts w:hint="eastAsia" w:ascii="仿宋_GB2312" w:eastAsia="仿宋_GB2312"/>
          <w:sz w:val="28"/>
          <w:szCs w:val="28"/>
          <w:lang w:eastAsia="zh-CN"/>
        </w:rPr>
        <w:t>0.00</w:t>
      </w:r>
      <w:r>
        <w:rPr>
          <w:rFonts w:hint="eastAsia" w:ascii="仿宋_GB2312" w:eastAsia="仿宋_GB2312"/>
          <w:sz w:val="28"/>
          <w:szCs w:val="28"/>
          <w:highlight w:val="none"/>
        </w:rPr>
        <w:t>%</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827905" cy="2641600"/>
            <wp:effectExtent l="4445" t="4445" r="6350" b="20955"/>
            <wp:docPr id="7"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1741.24</w:t>
      </w:r>
      <w:r>
        <w:rPr>
          <w:rFonts w:hint="eastAsia" w:ascii="仿宋_GB2312" w:eastAsia="仿宋_GB2312"/>
          <w:sz w:val="28"/>
          <w:szCs w:val="28"/>
        </w:rPr>
        <w:t>万元，比上年增加435.70万元，增长33.37%。主要原因：</w:t>
      </w:r>
      <w:r>
        <w:rPr>
          <w:rFonts w:hint="eastAsia" w:ascii="仿宋_GB2312" w:eastAsia="仿宋_GB2312"/>
          <w:sz w:val="28"/>
          <w:szCs w:val="28"/>
          <w:lang w:eastAsia="zh-CN"/>
        </w:rPr>
        <w:t>增加了</w:t>
      </w:r>
      <w:r>
        <w:rPr>
          <w:rFonts w:hint="eastAsia" w:ascii="仿宋_GB2312" w:eastAsia="仿宋_GB2312"/>
          <w:sz w:val="28"/>
          <w:szCs w:val="28"/>
          <w:highlight w:val="none"/>
        </w:rPr>
        <w:t>退休人员补贴</w:t>
      </w:r>
      <w:r>
        <w:rPr>
          <w:rFonts w:hint="eastAsia" w:ascii="仿宋_GB2312" w:eastAsia="仿宋_GB2312"/>
          <w:sz w:val="28"/>
          <w:szCs w:val="28"/>
          <w:highlight w:val="none"/>
          <w:lang w:eastAsia="zh-CN"/>
        </w:rPr>
        <w:t>的支出</w:t>
      </w:r>
      <w:r>
        <w:rPr>
          <w:rFonts w:hint="eastAsia" w:ascii="仿宋_GB2312" w:eastAsia="仿宋_GB2312"/>
          <w:sz w:val="28"/>
          <w:szCs w:val="28"/>
          <w:highlight w:val="none"/>
        </w:rPr>
        <w:t>；办公楼老化，维修负担加重。</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1741.24</w:t>
      </w:r>
      <w:r>
        <w:rPr>
          <w:rFonts w:hint="eastAsia" w:ascii="仿宋_GB2312" w:eastAsia="仿宋_GB2312"/>
          <w:sz w:val="28"/>
          <w:szCs w:val="28"/>
        </w:rPr>
        <w:t>万元，主要用于以下方面（按大类）：社会保障和就业支出341.26万元，占本年财政拨款支出19.60%；卫生健康支出84.90万元，占本年财政拨款支出4.88%</w:t>
      </w:r>
      <w:r>
        <w:rPr>
          <w:rFonts w:hint="eastAsia" w:ascii="仿宋_GB2312" w:eastAsia="仿宋_GB2312"/>
          <w:sz w:val="28"/>
          <w:szCs w:val="28"/>
          <w:lang w:eastAsia="zh-CN"/>
        </w:rPr>
        <w:t>；城乡社区支出1004.41万元，占本年财政拨款支出57.68%；</w:t>
      </w:r>
      <w:r>
        <w:rPr>
          <w:rFonts w:hint="eastAsia" w:ascii="仿宋_GB2312" w:eastAsia="仿宋_GB2312"/>
          <w:sz w:val="28"/>
          <w:szCs w:val="28"/>
        </w:rPr>
        <w:t>住房保障支出310.67万元，占本年财政拨款支出17.84%。</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年度年初预算192.51万元，202</w:t>
      </w:r>
      <w:r>
        <w:rPr>
          <w:rFonts w:hint="eastAsia" w:ascii="仿宋_GB2312" w:eastAsia="仿宋_GB2312"/>
          <w:sz w:val="28"/>
          <w:szCs w:val="28"/>
          <w:lang w:val="en-US" w:eastAsia="zh-CN"/>
        </w:rPr>
        <w:t>4</w:t>
      </w:r>
      <w:r>
        <w:rPr>
          <w:rFonts w:hint="eastAsia" w:ascii="仿宋_GB2312" w:eastAsia="仿宋_GB2312"/>
          <w:sz w:val="28"/>
          <w:szCs w:val="28"/>
        </w:rPr>
        <w:t>年度决算341.26万元，</w:t>
      </w:r>
      <w:r>
        <w:rPr>
          <w:rFonts w:hint="eastAsia" w:ascii="仿宋_GB2312" w:eastAsia="仿宋_GB2312"/>
          <w:sz w:val="28"/>
          <w:szCs w:val="28"/>
          <w:lang w:eastAsia="zh-CN"/>
        </w:rPr>
        <w:t>完成年初预算的</w:t>
      </w:r>
      <w:r>
        <w:rPr>
          <w:rFonts w:hint="eastAsia" w:ascii="仿宋_GB2312" w:eastAsia="仿宋_GB2312"/>
          <w:sz w:val="28"/>
          <w:szCs w:val="28"/>
        </w:rPr>
        <w:t>177.27%。</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年度年初预算192.51万元，2024年度决算341.26万元，完成年初预算的177.27%。主要原因：</w:t>
      </w:r>
      <w:r>
        <w:rPr>
          <w:rFonts w:hint="eastAsia" w:ascii="仿宋_GB2312" w:eastAsia="仿宋_GB2312"/>
          <w:sz w:val="28"/>
          <w:szCs w:val="28"/>
          <w:lang w:eastAsia="zh-CN"/>
        </w:rPr>
        <w:t>增加了</w:t>
      </w:r>
      <w:r>
        <w:rPr>
          <w:rFonts w:hint="eastAsia" w:ascii="仿宋_GB2312" w:eastAsia="仿宋_GB2312"/>
          <w:sz w:val="28"/>
          <w:szCs w:val="28"/>
          <w:highlight w:val="none"/>
        </w:rPr>
        <w:t>退休人员补贴</w:t>
      </w:r>
      <w:r>
        <w:rPr>
          <w:rFonts w:hint="eastAsia" w:ascii="仿宋_GB2312" w:eastAsia="仿宋_GB2312"/>
          <w:sz w:val="28"/>
          <w:szCs w:val="28"/>
          <w:highlight w:val="none"/>
          <w:lang w:eastAsia="zh-CN"/>
        </w:rPr>
        <w:t>的支出</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年度年初预算83.99万元，202</w:t>
      </w:r>
      <w:r>
        <w:rPr>
          <w:rFonts w:hint="eastAsia" w:ascii="仿宋_GB2312" w:eastAsia="仿宋_GB2312"/>
          <w:sz w:val="28"/>
          <w:szCs w:val="28"/>
          <w:lang w:val="en-US" w:eastAsia="zh-CN"/>
        </w:rPr>
        <w:t>4</w:t>
      </w:r>
      <w:r>
        <w:rPr>
          <w:rFonts w:hint="eastAsia" w:ascii="仿宋_GB2312" w:eastAsia="仿宋_GB2312"/>
          <w:sz w:val="28"/>
          <w:szCs w:val="28"/>
        </w:rPr>
        <w:t>年度决算84.90万元，</w:t>
      </w:r>
      <w:r>
        <w:rPr>
          <w:rFonts w:hint="eastAsia" w:ascii="仿宋_GB2312" w:eastAsia="仿宋_GB2312"/>
          <w:sz w:val="28"/>
          <w:szCs w:val="28"/>
          <w:lang w:eastAsia="zh-CN"/>
        </w:rPr>
        <w:t>完成年初预算的</w:t>
      </w:r>
      <w:r>
        <w:rPr>
          <w:rFonts w:hint="eastAsia" w:ascii="仿宋_GB2312" w:eastAsia="仿宋_GB2312"/>
          <w:sz w:val="28"/>
          <w:szCs w:val="28"/>
        </w:rPr>
        <w:t>101.08%。其中：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4</w:t>
      </w:r>
      <w:r>
        <w:rPr>
          <w:rFonts w:hint="eastAsia" w:ascii="仿宋_GB2312" w:eastAsia="仿宋_GB2312"/>
          <w:sz w:val="28"/>
          <w:szCs w:val="28"/>
        </w:rPr>
        <w:t>年度年初预算83.99万元，202</w:t>
      </w:r>
      <w:r>
        <w:rPr>
          <w:rFonts w:hint="eastAsia" w:ascii="仿宋_GB2312" w:eastAsia="仿宋_GB2312"/>
          <w:sz w:val="28"/>
          <w:szCs w:val="28"/>
          <w:lang w:val="en-US" w:eastAsia="zh-CN"/>
        </w:rPr>
        <w:t>4</w:t>
      </w:r>
      <w:r>
        <w:rPr>
          <w:rFonts w:hint="eastAsia" w:ascii="仿宋_GB2312" w:eastAsia="仿宋_GB2312"/>
          <w:sz w:val="28"/>
          <w:szCs w:val="28"/>
        </w:rPr>
        <w:t>年度决算84.90万元，完成年初预算的101.08%。主要原因：医疗保险基数调整</w:t>
      </w:r>
      <w:r>
        <w:rPr>
          <w:rFonts w:hint="eastAsia" w:ascii="仿宋_GB2312" w:eastAsia="仿宋_GB2312"/>
          <w:sz w:val="28"/>
          <w:szCs w:val="28"/>
          <w:lang w:eastAsia="zh-CN"/>
        </w:rPr>
        <w:t>导致医疗保险支出增加</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.“城乡社区支出”（类） 2024年度年初预算1029.66万元，202</w:t>
      </w:r>
      <w:r>
        <w:rPr>
          <w:rFonts w:hint="eastAsia" w:ascii="仿宋_GB2312" w:eastAsia="仿宋_GB2312"/>
          <w:sz w:val="28"/>
          <w:szCs w:val="28"/>
          <w:lang w:val="en-US" w:eastAsia="zh-CN"/>
        </w:rPr>
        <w:t>4</w:t>
      </w:r>
      <w:r>
        <w:rPr>
          <w:rFonts w:hint="eastAsia" w:ascii="仿宋_GB2312" w:eastAsia="仿宋_GB2312"/>
          <w:sz w:val="28"/>
          <w:szCs w:val="28"/>
        </w:rPr>
        <w:t>年度决算1004.41万元，</w:t>
      </w:r>
      <w:r>
        <w:rPr>
          <w:rFonts w:hint="eastAsia" w:ascii="仿宋_GB2312" w:eastAsia="仿宋_GB2312"/>
          <w:sz w:val="28"/>
          <w:szCs w:val="28"/>
          <w:lang w:eastAsia="zh-CN"/>
        </w:rPr>
        <w:t>完成年初预算的</w:t>
      </w:r>
      <w:r>
        <w:rPr>
          <w:rFonts w:hint="eastAsia" w:ascii="仿宋_GB2312" w:eastAsia="仿宋_GB2312"/>
          <w:sz w:val="28"/>
          <w:szCs w:val="28"/>
        </w:rPr>
        <w:t>97.55%。其中：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“城乡社区公共设施”（款）2024年度预算1029.66万元，202</w:t>
      </w:r>
      <w:r>
        <w:rPr>
          <w:rFonts w:hint="eastAsia" w:ascii="仿宋_GB2312" w:eastAsia="仿宋_GB2312"/>
          <w:sz w:val="28"/>
          <w:szCs w:val="28"/>
          <w:lang w:val="en-US" w:eastAsia="zh-CN"/>
        </w:rPr>
        <w:t>4</w:t>
      </w:r>
      <w:r>
        <w:rPr>
          <w:rFonts w:hint="eastAsia" w:ascii="仿宋_GB2312" w:eastAsia="仿宋_GB2312"/>
          <w:sz w:val="28"/>
          <w:szCs w:val="28"/>
        </w:rPr>
        <w:t>年度决算1004.41万元，</w:t>
      </w:r>
      <w:r>
        <w:rPr>
          <w:rFonts w:hint="eastAsia" w:ascii="仿宋_GB2312" w:eastAsia="仿宋_GB2312"/>
          <w:sz w:val="28"/>
          <w:szCs w:val="28"/>
          <w:lang w:eastAsia="zh-CN"/>
        </w:rPr>
        <w:t>完成年初预算的</w:t>
      </w:r>
      <w:r>
        <w:rPr>
          <w:rFonts w:hint="eastAsia" w:ascii="仿宋_GB2312" w:eastAsia="仿宋_GB2312"/>
          <w:sz w:val="28"/>
          <w:szCs w:val="28"/>
        </w:rPr>
        <w:t>97.55%。主要原因：</w:t>
      </w:r>
      <w:r>
        <w:rPr>
          <w:rFonts w:hint="eastAsia" w:ascii="仿宋_GB2312" w:eastAsia="仿宋_GB2312"/>
          <w:sz w:val="28"/>
          <w:szCs w:val="28"/>
          <w:lang w:eastAsia="zh-CN"/>
        </w:rPr>
        <w:t>职工</w:t>
      </w:r>
      <w:r>
        <w:rPr>
          <w:rFonts w:hint="eastAsia" w:ascii="仿宋_GB2312" w:eastAsia="仿宋_GB2312"/>
          <w:sz w:val="28"/>
          <w:szCs w:val="28"/>
        </w:rPr>
        <w:t>退休</w:t>
      </w:r>
      <w:r>
        <w:rPr>
          <w:rFonts w:hint="eastAsia" w:ascii="仿宋_GB2312" w:eastAsia="仿宋_GB2312"/>
          <w:sz w:val="28"/>
          <w:szCs w:val="28"/>
          <w:lang w:eastAsia="zh-CN"/>
        </w:rPr>
        <w:t>导致人员支出相应减少</w:t>
      </w:r>
      <w:r>
        <w:rPr>
          <w:rFonts w:hint="eastAsia" w:ascii="仿宋_GB2312" w:eastAsia="仿宋_GB2312"/>
          <w:sz w:val="28"/>
          <w:szCs w:val="28"/>
        </w:rPr>
        <w:t>。</w:t>
      </w:r>
    </w:p>
    <w:p>
      <w:pPr>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CN"/>
        </w:rPr>
        <w:t>4</w:t>
      </w:r>
      <w:r>
        <w:rPr>
          <w:rFonts w:hint="eastAsia" w:ascii="仿宋_GB2312" w:eastAsia="仿宋_GB2312"/>
          <w:sz w:val="28"/>
          <w:szCs w:val="28"/>
        </w:rPr>
        <w:t>、“住房保障支出”（类）202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年度决算310.67万元，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val="en-US" w:eastAsia="zh-CN"/>
        </w:rPr>
        <w:t>住房改革支出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年度年初预算0.00万元，202</w:t>
      </w:r>
      <w:r>
        <w:rPr>
          <w:rFonts w:hint="eastAsia" w:ascii="仿宋_GB2312" w:eastAsia="仿宋_GB2312"/>
          <w:sz w:val="28"/>
          <w:szCs w:val="28"/>
          <w:lang w:val="en-US" w:eastAsia="zh-CN"/>
        </w:rPr>
        <w:t>4</w:t>
      </w:r>
      <w:r>
        <w:rPr>
          <w:rFonts w:hint="eastAsia" w:ascii="仿宋_GB2312" w:eastAsia="仿宋_GB2312"/>
          <w:sz w:val="28"/>
          <w:szCs w:val="28"/>
        </w:rPr>
        <w:t>年度决算310.67万元，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eastAsia="zh-CN"/>
        </w:rPr>
        <w:t>增加了改革性补贴的支出。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48" w:firstLineChars="196"/>
        <w:rPr>
          <w:rFonts w:hint="eastAsia" w:ascii="黑体" w:eastAsia="仿宋_GB2312"/>
          <w:sz w:val="28"/>
          <w:szCs w:val="28"/>
          <w:lang w:eastAsia="zh-CN"/>
        </w:rPr>
      </w:pPr>
      <w:r>
        <w:rPr>
          <w:rFonts w:hint="eastAsia" w:ascii="仿宋_GB2312" w:eastAsia="仿宋_GB2312"/>
          <w:sz w:val="28"/>
          <w:szCs w:val="28"/>
        </w:rPr>
        <w:t>本单位2024年度无政府性基金预算财政拨款安排的支出</w:t>
      </w:r>
      <w:r>
        <w:rPr>
          <w:rFonts w:hint="eastAsia" w:ascii="仿宋_GB2312" w:eastAsia="仿宋_GB2312"/>
          <w:sz w:val="28"/>
          <w:szCs w:val="28"/>
          <w:lang w:eastAsia="zh-CN"/>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lang w:val="en-US" w:eastAsia="zh-CN"/>
        </w:rPr>
        <w:t>.00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1542.4</w:t>
      </w:r>
      <w:r>
        <w:rPr>
          <w:rFonts w:hint="eastAsia" w:ascii="仿宋_GB2312" w:eastAsia="仿宋_GB2312"/>
          <w:sz w:val="28"/>
          <w:szCs w:val="28"/>
          <w:lang w:val="en-US" w:eastAsia="zh-CN"/>
        </w:rPr>
        <w:t>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津贴补贴、绩效工资、机关事业单位基本养老保险缴费、职业年金缴费、职工基本医疗保险缴费、公务员医疗补助缴费、其他社会保障缴费及住房公积金；（2）商品和服务支出包括办公费、手续费、邮电费、取暖费、维修（护）费、培训费、委托业务费、工会经费、福利费、公务用车运行维护费、其他商品和服务；（3）对个人和家庭补助支出包括退休费、奖励金。（4）本单位2024年度无资本性支出</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5.1</w:t>
      </w:r>
      <w:r>
        <w:rPr>
          <w:rFonts w:hint="eastAsia" w:ascii="仿宋_GB2312" w:eastAsia="仿宋_GB2312"/>
          <w:sz w:val="28"/>
          <w:szCs w:val="28"/>
          <w:lang w:val="en-US" w:eastAsia="zh-CN"/>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7.2</w:t>
      </w:r>
      <w:r>
        <w:rPr>
          <w:rFonts w:hint="eastAsia" w:ascii="仿宋_GB2312" w:eastAsia="仿宋_GB2312"/>
          <w:sz w:val="28"/>
          <w:szCs w:val="28"/>
          <w:lang w:val="en-US" w:eastAsia="zh-CN"/>
        </w:rPr>
        <w:t>0</w:t>
      </w:r>
      <w:r>
        <w:rPr>
          <w:rFonts w:hint="eastAsia" w:ascii="仿宋_GB2312" w:eastAsia="仿宋_GB2312"/>
          <w:sz w:val="28"/>
          <w:szCs w:val="28"/>
        </w:rPr>
        <w:t>万元减少2.10万元。其中：</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1.因公出国（境）费用。</w:t>
      </w:r>
      <w:r>
        <w:rPr>
          <w:rFonts w:hint="eastAsia" w:ascii="仿宋_GB2312" w:eastAsia="仿宋_GB2312"/>
          <w:sz w:val="28"/>
          <w:szCs w:val="28"/>
          <w:lang w:eastAsia="zh-CN"/>
        </w:rPr>
        <w:t>2024年度决算数</w:t>
      </w:r>
      <w:r>
        <w:rPr>
          <w:rFonts w:hint="eastAsia" w:ascii="仿宋_GB2312" w:eastAsia="仿宋_GB2312"/>
          <w:sz w:val="28"/>
          <w:szCs w:val="28"/>
        </w:rPr>
        <w:t>0.00</w:t>
      </w:r>
      <w:r>
        <w:rPr>
          <w:rFonts w:hint="eastAsia" w:ascii="仿宋_GB2312" w:eastAsia="仿宋_GB2312"/>
          <w:sz w:val="28"/>
          <w:szCs w:val="28"/>
          <w:lang w:eastAsia="zh-CN"/>
        </w:rPr>
        <w:t>万元，比2024年度年初预算数</w:t>
      </w:r>
      <w:r>
        <w:rPr>
          <w:rFonts w:hint="eastAsia" w:ascii="仿宋_GB2312" w:eastAsia="仿宋_GB2312"/>
          <w:sz w:val="28"/>
          <w:szCs w:val="28"/>
        </w:rPr>
        <w:t>0.00</w:t>
      </w:r>
      <w:r>
        <w:rPr>
          <w:rFonts w:hint="eastAsia" w:ascii="仿宋_GB2312" w:eastAsia="仿宋_GB2312"/>
          <w:sz w:val="28"/>
          <w:szCs w:val="28"/>
          <w:lang w:eastAsia="zh-CN"/>
        </w:rPr>
        <w:t>万元增加（减少）</w:t>
      </w:r>
      <w:r>
        <w:rPr>
          <w:rFonts w:hint="eastAsia" w:ascii="仿宋_GB2312" w:eastAsia="仿宋_GB2312"/>
          <w:sz w:val="28"/>
          <w:szCs w:val="28"/>
        </w:rPr>
        <w:t>0.00</w:t>
      </w:r>
      <w:r>
        <w:rPr>
          <w:rFonts w:hint="eastAsia" w:ascii="仿宋_GB2312" w:eastAsia="仿宋_GB2312"/>
          <w:sz w:val="28"/>
          <w:szCs w:val="28"/>
          <w:lang w:eastAsia="zh-CN"/>
        </w:rPr>
        <w:t>万元。主要原因：本年度无因公出国（境）工作安排；2024年度因公出国（境）费用主要用于</w:t>
      </w:r>
      <w:r>
        <w:rPr>
          <w:rFonts w:hint="eastAsia" w:ascii="仿宋_GB2312" w:eastAsia="仿宋_GB2312"/>
          <w:sz w:val="28"/>
          <w:szCs w:val="28"/>
          <w:lang w:val="en-US" w:eastAsia="zh-CN"/>
        </w:rPr>
        <w:t>0</w:t>
      </w:r>
      <w:r>
        <w:rPr>
          <w:rFonts w:hint="eastAsia" w:ascii="仿宋_GB2312" w:eastAsia="仿宋_GB2312"/>
          <w:sz w:val="28"/>
          <w:szCs w:val="28"/>
          <w:lang w:eastAsia="zh-CN"/>
        </w:rPr>
        <w:t>方面，2024年度组织因公出国（境）团组0个、0人次。</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rPr>
        <w:t>2.公务接待费。</w:t>
      </w:r>
      <w:r>
        <w:rPr>
          <w:rFonts w:hint="eastAsia" w:ascii="仿宋_GB2312" w:eastAsia="仿宋_GB2312"/>
          <w:sz w:val="28"/>
          <w:szCs w:val="28"/>
          <w:lang w:eastAsia="zh-CN"/>
        </w:rPr>
        <w:t>2024年度决算数</w:t>
      </w:r>
      <w:r>
        <w:rPr>
          <w:rFonts w:hint="eastAsia" w:ascii="仿宋_GB2312" w:eastAsia="仿宋_GB2312"/>
          <w:sz w:val="28"/>
          <w:szCs w:val="28"/>
        </w:rPr>
        <w:t>0.00</w:t>
      </w:r>
      <w:r>
        <w:rPr>
          <w:rFonts w:hint="eastAsia" w:ascii="仿宋_GB2312" w:eastAsia="仿宋_GB2312"/>
          <w:sz w:val="28"/>
          <w:szCs w:val="28"/>
          <w:lang w:eastAsia="zh-CN"/>
        </w:rPr>
        <w:t>万元，比2024年度年初预算数</w:t>
      </w:r>
      <w:r>
        <w:rPr>
          <w:rFonts w:hint="eastAsia" w:ascii="仿宋_GB2312" w:eastAsia="仿宋_GB2312"/>
          <w:sz w:val="28"/>
          <w:szCs w:val="28"/>
        </w:rPr>
        <w:t>0.00</w:t>
      </w:r>
      <w:r>
        <w:rPr>
          <w:rFonts w:hint="eastAsia" w:ascii="仿宋_GB2312" w:eastAsia="仿宋_GB2312"/>
          <w:sz w:val="28"/>
          <w:szCs w:val="28"/>
          <w:lang w:eastAsia="zh-CN"/>
        </w:rPr>
        <w:t>万元增加（减少）</w:t>
      </w:r>
      <w:r>
        <w:rPr>
          <w:rFonts w:hint="eastAsia" w:ascii="仿宋_GB2312" w:eastAsia="仿宋_GB2312"/>
          <w:sz w:val="28"/>
          <w:szCs w:val="28"/>
        </w:rPr>
        <w:t>0.00</w:t>
      </w:r>
      <w:r>
        <w:rPr>
          <w:rFonts w:hint="eastAsia" w:ascii="仿宋_GB2312" w:eastAsia="仿宋_GB2312"/>
          <w:sz w:val="28"/>
          <w:szCs w:val="28"/>
          <w:lang w:eastAsia="zh-CN"/>
        </w:rPr>
        <w:t>万元。主要原因：本年度无公务接待工作安排。2024年度公务接待费主要用于</w:t>
      </w:r>
      <w:r>
        <w:rPr>
          <w:rFonts w:hint="eastAsia" w:ascii="仿宋_GB2312" w:eastAsia="仿宋_GB2312"/>
          <w:sz w:val="28"/>
          <w:szCs w:val="28"/>
          <w:lang w:val="en-US" w:eastAsia="zh-CN"/>
        </w:rPr>
        <w:t>0</w:t>
      </w:r>
      <w:r>
        <w:rPr>
          <w:rFonts w:hint="eastAsia" w:ascii="仿宋_GB2312" w:eastAsia="仿宋_GB2312"/>
          <w:sz w:val="28"/>
          <w:szCs w:val="28"/>
          <w:lang w:eastAsia="zh-CN"/>
        </w:rPr>
        <w:t>事项。公务接待0批次，公务接待0人次。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年度决算数5.10万元，比202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年度年初预算数7.20万元减少2.10万元。其中，公务用车购置费202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年度决算数0.00万元，主要原因：本单位本年度无购置（更新）公务用车计划，未购置（更新）公务用车，202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年度决算数5.10万元，主要原因：</w:t>
      </w:r>
      <w:r>
        <w:rPr>
          <w:rFonts w:hint="eastAsia" w:ascii="仿宋_GB2312" w:eastAsia="仿宋_GB2312"/>
          <w:sz w:val="28"/>
          <w:szCs w:val="28"/>
          <w:lang w:eastAsia="zh-CN"/>
        </w:rPr>
        <w:t>贯彻落实</w:t>
      </w:r>
      <w:r>
        <w:rPr>
          <w:rFonts w:hint="eastAsia" w:ascii="仿宋_GB2312" w:eastAsia="仿宋_GB2312"/>
          <w:sz w:val="28"/>
          <w:szCs w:val="28"/>
        </w:rPr>
        <w:t>中央八项规定精神，厉行节约，严控公务用车支出。202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4</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4.94</w:t>
      </w:r>
      <w:r>
        <w:rPr>
          <w:rFonts w:hint="eastAsia" w:ascii="仿宋_GB2312" w:eastAsia="仿宋_GB2312"/>
          <w:sz w:val="28"/>
          <w:szCs w:val="28"/>
        </w:rPr>
        <w:t>万元，其中：政府采购货物支出0.15万元，政府采购工程支出0.00万元，政府采购服务支出4.79万元。授予中小企业合同金额</w:t>
      </w:r>
      <w:r>
        <w:rPr>
          <w:rFonts w:ascii="仿宋_GB2312" w:eastAsia="仿宋_GB2312"/>
          <w:sz w:val="28"/>
          <w:szCs w:val="28"/>
        </w:rPr>
        <w:t>3.75</w:t>
      </w:r>
      <w:r>
        <w:rPr>
          <w:rFonts w:hint="eastAsia" w:ascii="仿宋_GB2312" w:eastAsia="仿宋_GB2312"/>
          <w:sz w:val="28"/>
          <w:szCs w:val="28"/>
        </w:rPr>
        <w:t>万元，占政府采购支出总额的</w:t>
      </w:r>
      <w:r>
        <w:rPr>
          <w:rFonts w:hint="eastAsia" w:ascii="仿宋_GB2312" w:eastAsia="仿宋_GB2312"/>
          <w:sz w:val="28"/>
          <w:szCs w:val="28"/>
          <w:lang w:eastAsia="zh-CN"/>
        </w:rPr>
        <w:t>75.91</w:t>
      </w:r>
      <w:r>
        <w:rPr>
          <w:rFonts w:hint="eastAsia" w:ascii="仿宋_GB2312" w:eastAsia="仿宋_GB2312"/>
          <w:sz w:val="28"/>
          <w:szCs w:val="28"/>
        </w:rPr>
        <w:t>%，其中：授予小微企业合同金额</w:t>
      </w:r>
      <w:r>
        <w:rPr>
          <w:rFonts w:ascii="仿宋_GB2312" w:eastAsia="仿宋_GB2312"/>
          <w:sz w:val="28"/>
          <w:szCs w:val="28"/>
        </w:rPr>
        <w:t>3.75</w:t>
      </w:r>
      <w:r>
        <w:rPr>
          <w:rFonts w:hint="eastAsia" w:ascii="仿宋_GB2312" w:eastAsia="仿宋_GB2312"/>
          <w:sz w:val="28"/>
          <w:szCs w:val="28"/>
        </w:rPr>
        <w:t>万元，占政府采购支出总额的</w:t>
      </w:r>
      <w:r>
        <w:rPr>
          <w:rFonts w:ascii="仿宋_GB2312" w:eastAsia="仿宋_GB2312"/>
          <w:sz w:val="28"/>
          <w:szCs w:val="28"/>
        </w:rPr>
        <w:t>75.91</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12月31日，北京市大兴区供热监督管理中心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4</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23</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hint="eastAsia" w:ascii="仿宋_GB2312" w:eastAsia="仿宋_GB2312"/>
          <w:sz w:val="28"/>
          <w:szCs w:val="28"/>
        </w:rPr>
      </w:pPr>
      <w:r>
        <w:rPr>
          <w:rFonts w:hint="eastAsia" w:ascii="仿宋_GB2312" w:eastAsia="仿宋_GB2312"/>
          <w:sz w:val="28"/>
          <w:szCs w:val="28"/>
        </w:rPr>
        <w:t>7. 社会保障和就业支出（类）行政事业单位养老支出（款）</w:t>
      </w:r>
      <w:r>
        <w:rPr>
          <w:rFonts w:hint="eastAsia" w:ascii="仿宋_GB2312" w:eastAsia="仿宋_GB2312"/>
          <w:sz w:val="28"/>
          <w:szCs w:val="28"/>
          <w:lang w:eastAsia="zh-CN"/>
        </w:rPr>
        <w:t>事业</w:t>
      </w:r>
      <w:r>
        <w:rPr>
          <w:rFonts w:hint="eastAsia" w:ascii="仿宋_GB2312" w:eastAsia="仿宋_GB2312"/>
          <w:sz w:val="28"/>
          <w:szCs w:val="28"/>
        </w:rPr>
        <w:t>单位离退休（项）：反映</w:t>
      </w:r>
      <w:r>
        <w:rPr>
          <w:rFonts w:hint="eastAsia" w:ascii="仿宋_GB2312" w:eastAsia="仿宋_GB2312"/>
          <w:sz w:val="28"/>
          <w:szCs w:val="28"/>
          <w:lang w:eastAsia="zh-CN"/>
        </w:rPr>
        <w:t>事业</w:t>
      </w:r>
      <w:r>
        <w:rPr>
          <w:rFonts w:hint="eastAsia" w:ascii="仿宋_GB2312" w:eastAsia="仿宋_GB2312"/>
          <w:sz w:val="28"/>
          <w:szCs w:val="28"/>
        </w:rPr>
        <w:t>单位开支的离退休经费。</w:t>
      </w:r>
    </w:p>
    <w:p>
      <w:pPr>
        <w:ind w:firstLine="420" w:firstLineChars="150"/>
        <w:rPr>
          <w:rFonts w:hint="eastAsia" w:ascii="仿宋_GB2312" w:eastAsia="仿宋_GB2312"/>
          <w:sz w:val="28"/>
          <w:szCs w:val="28"/>
        </w:rPr>
      </w:pPr>
      <w:r>
        <w:rPr>
          <w:rFonts w:hint="eastAsia" w:ascii="仿宋_GB2312" w:eastAsia="仿宋_GB2312"/>
          <w:sz w:val="28"/>
          <w:szCs w:val="28"/>
        </w:rPr>
        <w:t>8.社会保障和就业支出（类）行政事业单位养老支出（款）机关事业单位基本养老保险缴费支出（项）:反映机关事业单位实施养老保险制度由单位缴纳的基本养老保险费支出。</w:t>
      </w:r>
    </w:p>
    <w:p>
      <w:pPr>
        <w:ind w:firstLine="420" w:firstLineChars="150"/>
        <w:rPr>
          <w:rFonts w:hint="eastAsia" w:ascii="仿宋_GB2312" w:eastAsia="仿宋_GB2312"/>
          <w:sz w:val="28"/>
          <w:szCs w:val="28"/>
        </w:rPr>
      </w:pPr>
      <w:r>
        <w:rPr>
          <w:rFonts w:hint="eastAsia" w:ascii="仿宋_GB2312" w:eastAsia="仿宋_GB2312"/>
          <w:sz w:val="28"/>
          <w:szCs w:val="28"/>
        </w:rPr>
        <w:t>9.社会保障和就业支出（类）行政事业单位养老支出（款）机关事业单位职业年金缴费支出（项）:反映机关事业单位实施养老保险制度由单位实际缴纳的职业年金支出</w:t>
      </w:r>
      <w:r>
        <w:rPr>
          <w:rFonts w:hint="eastAsia" w:ascii="仿宋_GB2312" w:eastAsia="仿宋_GB2312"/>
          <w:sz w:val="28"/>
          <w:szCs w:val="28"/>
          <w:lang w:eastAsia="zh-CN"/>
        </w:rPr>
        <w:t>（含职业年金补记支出）</w:t>
      </w:r>
      <w:r>
        <w:rPr>
          <w:rFonts w:hint="eastAsia" w:ascii="仿宋_GB2312" w:eastAsia="仿宋_GB2312"/>
          <w:sz w:val="28"/>
          <w:szCs w:val="28"/>
        </w:rPr>
        <w:t>。</w:t>
      </w:r>
    </w:p>
    <w:p>
      <w:pPr>
        <w:ind w:firstLine="420" w:firstLineChars="150"/>
        <w:rPr>
          <w:rFonts w:hint="eastAsia" w:ascii="仿宋_GB2312" w:eastAsia="仿宋_GB2312"/>
          <w:sz w:val="28"/>
          <w:szCs w:val="28"/>
        </w:rPr>
      </w:pPr>
      <w:r>
        <w:rPr>
          <w:rFonts w:hint="eastAsia" w:ascii="仿宋_GB2312" w:eastAsia="仿宋_GB2312"/>
          <w:sz w:val="28"/>
          <w:szCs w:val="28"/>
        </w:rPr>
        <w:t>10.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420" w:firstLineChars="150"/>
        <w:rPr>
          <w:rFonts w:hint="eastAsia" w:ascii="仿宋_GB2312" w:eastAsia="仿宋_GB2312"/>
          <w:sz w:val="28"/>
          <w:szCs w:val="28"/>
        </w:rPr>
      </w:pPr>
      <w:r>
        <w:rPr>
          <w:rFonts w:hint="eastAsia" w:ascii="仿宋_GB2312" w:eastAsia="仿宋_GB2312"/>
          <w:sz w:val="28"/>
          <w:szCs w:val="28"/>
        </w:rPr>
        <w:t>11.卫生健康支出（类）行政事业单位医疗（款）公务员医疗补助（项）：反映财政部门安排的公务员医疗补助经费。</w:t>
      </w:r>
    </w:p>
    <w:p>
      <w:pPr>
        <w:ind w:firstLine="420" w:firstLineChars="150"/>
        <w:rPr>
          <w:rFonts w:hint="eastAsia" w:ascii="仿宋_GB2312" w:eastAsia="仿宋_GB2312"/>
          <w:sz w:val="28"/>
          <w:szCs w:val="28"/>
        </w:rPr>
      </w:pPr>
      <w:r>
        <w:rPr>
          <w:rFonts w:hint="eastAsia" w:ascii="仿宋_GB2312" w:eastAsia="仿宋_GB2312"/>
          <w:sz w:val="28"/>
          <w:szCs w:val="28"/>
        </w:rPr>
        <w:t>12.城乡社区支出（类）城乡社区公共设施（款）其他城乡社区公共设施支出（项）:反映除上述项目以外其他用于城乡社区公共设施方面的支出。</w:t>
      </w:r>
    </w:p>
    <w:p>
      <w:pPr>
        <w:ind w:firstLine="420" w:firstLineChars="150"/>
        <w:rPr>
          <w:rFonts w:hint="eastAsia" w:ascii="黑体" w:eastAsia="黑体"/>
          <w:sz w:val="32"/>
          <w:szCs w:val="32"/>
        </w:rPr>
      </w:pPr>
      <w:r>
        <w:rPr>
          <w:rFonts w:hint="eastAsia" w:ascii="仿宋_GB2312" w:eastAsia="仿宋_GB2312"/>
          <w:sz w:val="28"/>
          <w:szCs w:val="28"/>
          <w:lang w:val="en-US" w:eastAsia="zh-CN"/>
        </w:rPr>
        <w:t>13.</w:t>
      </w:r>
      <w:r>
        <w:rPr>
          <w:rFonts w:hint="eastAsia" w:ascii="仿宋_GB2312" w:eastAsia="仿宋_GB2312"/>
          <w:sz w:val="28"/>
          <w:szCs w:val="28"/>
        </w:rPr>
        <w:t>住房保障支出(类)</w:t>
      </w:r>
      <w:r>
        <w:rPr>
          <w:rFonts w:hint="eastAsia" w:ascii="仿宋_GB2312" w:eastAsia="仿宋_GB2312"/>
          <w:sz w:val="28"/>
          <w:szCs w:val="28"/>
          <w:lang w:val="en-US" w:eastAsia="zh-CN"/>
        </w:rPr>
        <w:t>住房改革支出</w:t>
      </w:r>
      <w:r>
        <w:rPr>
          <w:rFonts w:hint="eastAsia" w:ascii="仿宋_GB2312" w:eastAsia="仿宋_GB2312"/>
          <w:sz w:val="28"/>
          <w:szCs w:val="28"/>
        </w:rPr>
        <w:t>（款）</w:t>
      </w:r>
      <w:r>
        <w:rPr>
          <w:rFonts w:hint="eastAsia" w:ascii="仿宋_GB2312" w:eastAsia="仿宋_GB2312"/>
          <w:sz w:val="28"/>
          <w:szCs w:val="28"/>
          <w:lang w:eastAsia="zh-CN"/>
        </w:rPr>
        <w:t>购房补贴</w:t>
      </w:r>
      <w:r>
        <w:rPr>
          <w:rFonts w:hint="eastAsia" w:ascii="仿宋_GB2312" w:eastAsia="仿宋_GB2312"/>
          <w:sz w:val="28"/>
          <w:szCs w:val="28"/>
        </w:rPr>
        <w:t>（项）</w:t>
      </w:r>
      <w:r>
        <w:rPr>
          <w:rFonts w:hint="eastAsia" w:ascii="仿宋_GB2312" w:eastAsia="仿宋_GB2312"/>
          <w:sz w:val="28"/>
          <w:szCs w:val="28"/>
          <w:lang w:eastAsia="zh-CN"/>
        </w:rPr>
        <w:t>：反映按房改政策规定，行政事业单位向符合条件职工（含离退休人员）、军队（含武警）向转役复原离退休人员发放的用于购买住房的补贴。</w:t>
      </w: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hint="eastAsia" w:ascii="仿宋_GB2312" w:hAnsi="仿宋_GB2312" w:eastAsia="仿宋_GB2312" w:cs="仿宋_GB2312"/>
          <w:sz w:val="32"/>
          <w:szCs w:val="32"/>
        </w:rPr>
      </w:pPr>
      <w:r>
        <w:rPr>
          <w:rFonts w:hint="eastAsia" w:ascii="黑体" w:eastAsia="黑体"/>
          <w:sz w:val="28"/>
          <w:szCs w:val="28"/>
          <w:highlight w:val="none"/>
        </w:rPr>
        <w:t>项目</w:t>
      </w:r>
      <w:r>
        <w:rPr>
          <w:rFonts w:ascii="黑体" w:eastAsia="黑体"/>
          <w:sz w:val="28"/>
          <w:szCs w:val="28"/>
          <w:highlight w:val="none"/>
        </w:rPr>
        <w:t>支出绩效自评表</w:t>
      </w:r>
    </w:p>
    <w:tbl>
      <w:tblPr>
        <w:tblStyle w:val="10"/>
        <w:tblW w:w="0" w:type="auto"/>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55"/>
        <w:gridCol w:w="1080"/>
        <w:gridCol w:w="1575"/>
        <w:gridCol w:w="1080"/>
        <w:gridCol w:w="1080"/>
        <w:gridCol w:w="330"/>
        <w:gridCol w:w="1560"/>
        <w:gridCol w:w="1425"/>
        <w:gridCol w:w="795"/>
        <w:gridCol w:w="705"/>
        <w:gridCol w:w="840"/>
        <w:gridCol w:w="720"/>
        <w:gridCol w:w="1080"/>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大兴新城康庄供热厂辅助楼消防系统改造（2024年）-供热中心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北京市大兴区城市管理委员会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北京市大兴区供热监督管理中心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88.16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88.16</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88.10</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99.93%</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Style w:val="20"/>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为康庄供热厂辅助楼建立完整的消防安全系统，消除办公楼安全隐患，一是修复供热中心办公楼一至四层手动报警按钮和烟感；二是修复一层南侧中控室内中控机损坏；三是修缮喷淋水管漏水，部分管道上锈的问题。</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为辅助楼建立了完整的消防安全系统，烟感及喷淋全部换新，更新了中控机、部分消防水管，消除安全隐患。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指标1：消除安全隐患数量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指标1：达到消防安全标准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指标1：2024年年底前完成工程</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指标1：不超预算金额</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指标1：减少办公场所安全隐患</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年初指标值设定偏低，酌情扣减分数。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指标1：工程噪音满意度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噪音较大时间集中于更换消防水管主管道作业，经与施工方沟通，多数噪音较大作业尽可能安排在上午9点前和下午5点后。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95.43</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康庄供热厂辅助楼楼顶防水层维修（2024年）-供热中心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北京市大兴区城市管理委员会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北京市大兴区供热监督管理中心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40.85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40.85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92.5%</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40.85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40.85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37.79</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楼顶达到防水标准，消除安全隐患。</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防水层全部换新，女儿墙修复同时做防水处理，达到防水效果，消除了安全隐患。</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指标1：消除安全隐患数量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指标1：达到防水标准</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指标1：2024年年底前完成工程</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≤40.85万元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37.79万元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指标1：减少办公场所安全隐患</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≥1项</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2项</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指标1：项目噪音满意度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噪音较大时间集中于吊运防水材料，经与施工方沟通，多数噪音较大作业尽可能安排在上午9点前和下午5点后。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临时辅助用工（2024年）-供热中心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北京市大兴区城市管理委员会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北京市大兴区供热监督管理中心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33.50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26.50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24.49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33.50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26.50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24.49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临时辅助用工编制数4人，实际用工3人，岗位均为行政技能辅助岗，通过负责单位运行保障工作，使本单位工作正常开展，服务对象满意。</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2024年度临时辅助用工工资按时发放并足额缴纳社会保险，单位工作正常开展，服务对象满意。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指标1：临时辅助用工工资发放次数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指标1：符合全区临时辅助用工工资标准程度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指标1：按月发放工资</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项目预算控制数</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≤33万元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24.49万元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指标1：更好的开展各项工作程度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指标1：临时辅助用工工作满意度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9.47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创新性不足，加强学习，运用新思路提高工作效率。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98.67</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14205"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4205" w:type="dxa"/>
            <w:gridSpan w:val="14"/>
            <w:tcBorders>
              <w:top w:val="nil"/>
              <w:left w:val="nil"/>
              <w:bottom w:val="nil"/>
              <w:right w:val="nil"/>
            </w:tcBorders>
            <w:shd w:val="clear" w:color="auto" w:fill="auto"/>
            <w:vAlign w:val="top"/>
          </w:tcPr>
          <w:p>
            <w:pPr>
              <w:keepNext w:val="0"/>
              <w:keepLines w:val="0"/>
              <w:widowControl/>
              <w:suppressLineNumbers w:val="0"/>
              <w:jc w:val="center"/>
              <w:textAlignment w:val="top"/>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12270"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审计业务服务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56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北京市大兴区城市管理委员会</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实施单位</w:t>
            </w:r>
          </w:p>
        </w:tc>
        <w:tc>
          <w:tcPr>
            <w:tcW w:w="442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北京市大兴区供热监督管理中心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（万元）</w:t>
            </w:r>
          </w:p>
        </w:tc>
        <w:tc>
          <w:tcPr>
            <w:tcW w:w="265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年初预算</w:t>
            </w:r>
          </w:p>
        </w:tc>
        <w:tc>
          <w:tcPr>
            <w:tcW w:w="189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全年预算数</w:t>
            </w:r>
          </w:p>
        </w:tc>
        <w:tc>
          <w:tcPr>
            <w:tcW w:w="222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全年执行数</w:t>
            </w:r>
          </w:p>
        </w:tc>
        <w:tc>
          <w:tcPr>
            <w:tcW w:w="15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8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执行率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48.40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48.40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48.40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10分</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其中：当年财政拨款</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48.40 </w:t>
            </w: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48.40 </w:t>
            </w: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49.40 </w:t>
            </w: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上年结转资金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193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6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中央直达资金</w:t>
            </w:r>
            <w:r>
              <w:rPr>
                <w:rFonts w:hint="eastAsia" w:ascii="宋体" w:hAnsi="宋体" w:eastAsia="宋体" w:cs="宋体"/>
                <w:i w:val="0"/>
                <w:iCs w:val="0"/>
                <w:color w:val="000000"/>
                <w:kern w:val="0"/>
                <w:sz w:val="13"/>
                <w:szCs w:val="13"/>
                <w:u w:val="none"/>
                <w:lang w:val="en-US" w:eastAsia="zh-CN" w:bidi="ar"/>
              </w:rPr>
              <w:t xml:space="preserve"> </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2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8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年度总体目标</w:t>
            </w: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预期目标</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70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根据《城镇供热特许经营协议》要求，聘请会计师事务所对中心运营资产和办公资产进行资产清查，完成审计目标后，按时支付审计服务费用。</w:t>
            </w:r>
          </w:p>
        </w:tc>
        <w:tc>
          <w:tcPr>
            <w:tcW w:w="6645"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根据《城镇供热特许经营协议》要求，中心聘请了会计师事务所对中心运营资产和办公资产进行了资产清查，完成了审计目标后，按时支付了审计服务费用。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效</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年度指标值</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实际完成值</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分值</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得分</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产出指标（40分）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指标1：资产清查报告书数量</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＝1套</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1套</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指标1：一次性完成支付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指标1：按合同约定时间完成支付</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≤30工作日</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≤30工作日</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指标1：审计费总额</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≤48.4万元</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48.4万元</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效益指标（30分）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指标1：厉行节约，减少不必要开支程度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指标1：财政资金使用效益</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满意度指标（10分）</w:t>
            </w:r>
          </w:p>
        </w:tc>
        <w:tc>
          <w:tcPr>
            <w:tcW w:w="1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指标1：报告满意度</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=87%</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9.16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报告未达到预定满意程度，改进措施：增强与事务所沟通，进一步明确要求。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指标2：</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15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42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89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总分</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156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99.16</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hint="eastAsia" w:ascii="宋体" w:hAnsi="宋体" w:eastAsia="宋体" w:cs="宋体"/>
                <w:i w:val="0"/>
                <w:iCs w:val="0"/>
                <w:color w:val="000000"/>
                <w:sz w:val="22"/>
                <w:szCs w:val="22"/>
                <w:u w:val="none"/>
              </w:rPr>
            </w:pPr>
          </w:p>
        </w:tc>
      </w:tr>
    </w:tbl>
    <w:p>
      <w:pPr>
        <w:rPr>
          <w:rFonts w:hint="eastAsia"/>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B83F92"/>
    <w:rsid w:val="020379CE"/>
    <w:rsid w:val="02F120AB"/>
    <w:rsid w:val="032B5196"/>
    <w:rsid w:val="0459421B"/>
    <w:rsid w:val="047D1717"/>
    <w:rsid w:val="04C3537C"/>
    <w:rsid w:val="050A324B"/>
    <w:rsid w:val="065643AE"/>
    <w:rsid w:val="079004AC"/>
    <w:rsid w:val="085B1B32"/>
    <w:rsid w:val="0BA148CA"/>
    <w:rsid w:val="0C1165C4"/>
    <w:rsid w:val="0D6D544B"/>
    <w:rsid w:val="0DD136FE"/>
    <w:rsid w:val="0F1A6F1C"/>
    <w:rsid w:val="0F542F2C"/>
    <w:rsid w:val="0F8E2C57"/>
    <w:rsid w:val="1059665E"/>
    <w:rsid w:val="10AC13BA"/>
    <w:rsid w:val="10E2661B"/>
    <w:rsid w:val="145A6C1B"/>
    <w:rsid w:val="14B73493"/>
    <w:rsid w:val="152529EE"/>
    <w:rsid w:val="15BA52C1"/>
    <w:rsid w:val="15E244DD"/>
    <w:rsid w:val="161A4AB5"/>
    <w:rsid w:val="167A2FF9"/>
    <w:rsid w:val="16DE2540"/>
    <w:rsid w:val="1764587C"/>
    <w:rsid w:val="177675B1"/>
    <w:rsid w:val="18581C69"/>
    <w:rsid w:val="1AEC0734"/>
    <w:rsid w:val="1DEF20B0"/>
    <w:rsid w:val="1FF7AB17"/>
    <w:rsid w:val="214243FA"/>
    <w:rsid w:val="218D411D"/>
    <w:rsid w:val="21AD613C"/>
    <w:rsid w:val="221B0A4E"/>
    <w:rsid w:val="22467189"/>
    <w:rsid w:val="22E31CDD"/>
    <w:rsid w:val="23871813"/>
    <w:rsid w:val="257A14F5"/>
    <w:rsid w:val="25826BCD"/>
    <w:rsid w:val="27196C26"/>
    <w:rsid w:val="29EF086F"/>
    <w:rsid w:val="2B7E34FB"/>
    <w:rsid w:val="2BA51939"/>
    <w:rsid w:val="2BC34C59"/>
    <w:rsid w:val="2D4F6EFD"/>
    <w:rsid w:val="2EFFE297"/>
    <w:rsid w:val="2FEB6909"/>
    <w:rsid w:val="301437CA"/>
    <w:rsid w:val="305A4537"/>
    <w:rsid w:val="349D1F0A"/>
    <w:rsid w:val="34DD0473"/>
    <w:rsid w:val="359A5388"/>
    <w:rsid w:val="37C66C9B"/>
    <w:rsid w:val="3A4A63F5"/>
    <w:rsid w:val="3A8E35DC"/>
    <w:rsid w:val="3C684897"/>
    <w:rsid w:val="3D58745E"/>
    <w:rsid w:val="3F402B4A"/>
    <w:rsid w:val="41E06866"/>
    <w:rsid w:val="433E495C"/>
    <w:rsid w:val="4694480F"/>
    <w:rsid w:val="46CC42C0"/>
    <w:rsid w:val="489F2FD7"/>
    <w:rsid w:val="48D14D87"/>
    <w:rsid w:val="49614D12"/>
    <w:rsid w:val="4AC27CB3"/>
    <w:rsid w:val="4AFB0D11"/>
    <w:rsid w:val="4BAB6DCF"/>
    <w:rsid w:val="4BF72BEF"/>
    <w:rsid w:val="4EEF35D6"/>
    <w:rsid w:val="4FA90297"/>
    <w:rsid w:val="4FC41A43"/>
    <w:rsid w:val="51DB3C59"/>
    <w:rsid w:val="53465598"/>
    <w:rsid w:val="550C0952"/>
    <w:rsid w:val="55762E42"/>
    <w:rsid w:val="57A7B272"/>
    <w:rsid w:val="58470068"/>
    <w:rsid w:val="58747CAC"/>
    <w:rsid w:val="5A1720F9"/>
    <w:rsid w:val="5B9C37C2"/>
    <w:rsid w:val="5BA7C654"/>
    <w:rsid w:val="5BBB490C"/>
    <w:rsid w:val="5C5C7901"/>
    <w:rsid w:val="5DF716AE"/>
    <w:rsid w:val="5F9F507E"/>
    <w:rsid w:val="604F0DD1"/>
    <w:rsid w:val="60A54109"/>
    <w:rsid w:val="616C69CE"/>
    <w:rsid w:val="61D01CDF"/>
    <w:rsid w:val="62773F76"/>
    <w:rsid w:val="62785FED"/>
    <w:rsid w:val="64AE4110"/>
    <w:rsid w:val="64C0607C"/>
    <w:rsid w:val="656F7435"/>
    <w:rsid w:val="65756C86"/>
    <w:rsid w:val="674D385B"/>
    <w:rsid w:val="676F09E1"/>
    <w:rsid w:val="678216A2"/>
    <w:rsid w:val="6D1F7993"/>
    <w:rsid w:val="6F08090C"/>
    <w:rsid w:val="71691990"/>
    <w:rsid w:val="71793A80"/>
    <w:rsid w:val="7357290B"/>
    <w:rsid w:val="73A328CC"/>
    <w:rsid w:val="7539704C"/>
    <w:rsid w:val="756E3DEA"/>
    <w:rsid w:val="758F28AC"/>
    <w:rsid w:val="75B32C59"/>
    <w:rsid w:val="76DA5EF6"/>
    <w:rsid w:val="76FB1693"/>
    <w:rsid w:val="790C0EE6"/>
    <w:rsid w:val="798524E4"/>
    <w:rsid w:val="7A7F1C49"/>
    <w:rsid w:val="7B4D66E8"/>
    <w:rsid w:val="7B5B7AE6"/>
    <w:rsid w:val="7B7B6628"/>
    <w:rsid w:val="7BA7071E"/>
    <w:rsid w:val="7BA93C38"/>
    <w:rsid w:val="7BDF6DA8"/>
    <w:rsid w:val="7C365CF1"/>
    <w:rsid w:val="7C7EDC1A"/>
    <w:rsid w:val="7CCED98D"/>
    <w:rsid w:val="7CE875F3"/>
    <w:rsid w:val="7D08410F"/>
    <w:rsid w:val="7D6A5EA2"/>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41"/>
    <w:basedOn w:val="11"/>
    <w:qFormat/>
    <w:uiPriority w:val="0"/>
    <w:rPr>
      <w:rFonts w:hint="eastAsia" w:ascii="宋体" w:hAnsi="宋体" w:eastAsia="宋体" w:cs="宋体"/>
      <w:color w:val="000000"/>
      <w:sz w:val="13"/>
      <w:szCs w:val="13"/>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E:\&#25991;&#20214;\0&#26410;&#23436;\2024&#20915;&#31639;&#33609;&#26696;\&#22270;&#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E:\&#25991;&#20214;\0&#26410;&#23436;\2024&#20915;&#31639;&#33609;&#26696;\&#22270;&#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'[图表.xlsx]2024图'!$A$55</c:f>
              <c:strCache>
                <c:ptCount val="1"/>
                <c:pt idx="0">
                  <c:v>一般公共预算财政拨款收入</c:v>
                </c:pt>
              </c:strCache>
            </c:strRef>
          </c:cat>
          <c:val>
            <c:numRef>
              <c:f>'[图表.xlsx]2024图'!$B$55</c:f>
              <c:numCache>
                <c:formatCode>#,##0.00</c:formatCode>
                <c:ptCount val="1"/>
                <c:pt idx="0">
                  <c:v>1430.57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chemeClr val="tx1">
                    <a:lumMod val="75000"/>
                    <a:lumOff val="25000"/>
                  </a:schemeClr>
                </a:solidFill>
                <a:latin typeface="+mn-lt"/>
                <a:ea typeface="+mn-ea"/>
                <a:cs typeface="+mn-cs"/>
              </a:defRPr>
            </a:pPr>
            <a:r>
              <a:t>支出决算</a:t>
            </a:r>
          </a:p>
        </c:rich>
      </c:tx>
      <c:layout>
        <c:manualLayout>
          <c:xMode val="edge"/>
          <c:yMode val="edge"/>
          <c:x val="0.347823227673287"/>
          <c:y val="0.0300925925925926"/>
        </c:manualLayout>
      </c:layout>
      <c:overlay val="0"/>
      <c:spPr>
        <a:noFill/>
        <a:ln>
          <a:noFill/>
        </a:ln>
        <a:effectLst/>
      </c:spPr>
    </c:title>
    <c:autoTitleDeleted val="0"/>
    <c:plotArea>
      <c:layout/>
      <c:pieChart>
        <c:varyColors val="1"/>
        <c:ser>
          <c:idx val="0"/>
          <c:order val="0"/>
          <c:tx>
            <c:strRef>
              <c:f>'[图表.xlsx]2024图'!$B$81</c:f>
              <c:strCache>
                <c:ptCount val="1"/>
                <c:pt idx="0">
                  <c:v>占比</c:v>
                </c:pt>
              </c:strCache>
            </c:strRef>
          </c:tx>
          <c:spPr/>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eparator> </c:separator>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'[图表.xlsx]2024图'!$A$82:$A$83</c:f>
              <c:strCache>
                <c:ptCount val="2"/>
                <c:pt idx="0">
                  <c:v>基本支出</c:v>
                </c:pt>
                <c:pt idx="1">
                  <c:v>项目支出</c:v>
                </c:pt>
              </c:strCache>
            </c:strRef>
          </c:cat>
          <c:val>
            <c:numRef>
              <c:f>'[图表.xlsx]2024图'!$B$82:$B$83</c:f>
              <c:numCache>
                <c:formatCode>0.00%</c:formatCode>
                <c:ptCount val="2"/>
                <c:pt idx="0">
                  <c:v>0.88583997610898</c:v>
                </c:pt>
                <c:pt idx="1">
                  <c:v>0.11416002389102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10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chemeClr val="dk1"/>
    </cs:fontRef>
    <cs:spPr>
      <a:ln>
        <a:solidFill>
          <a:schemeClr val="bg1"/>
        </a:solidFill>
      </a:ln>
      <a:effectLst/>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lt1">
            <a:lumMod val="902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75000"/>
        <a:lumOff val="25000"/>
      </a:schemeClr>
    </cs:fontRef>
    <cs:defRPr sz="1400" b="1" kern="120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268</Words>
  <Characters>286</Characters>
  <Lines>44</Lines>
  <Paragraphs>12</Paragraphs>
  <TotalTime>1</TotalTime>
  <ScaleCrop>false</ScaleCrop>
  <LinksUpToDate>false</LinksUpToDate>
  <CharactersWithSpaces>298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Administrator</cp:lastModifiedBy>
  <cp:lastPrinted>2025-09-22T07:40:00Z</cp:lastPrinted>
  <dcterms:modified xsi:type="dcterms:W3CDTF">2025-11-04T07:17:35Z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y fmtid="{D5CDD505-2E9C-101B-9397-08002B2CF9AE}" pid="3" name="ICV">
    <vt:lpwstr>A7F78878FB63AC2F75B4B7682BD79272</vt:lpwstr>
  </property>
  <property fmtid="{D5CDD505-2E9C-101B-9397-08002B2CF9AE}" pid="4" name="KSOTemplateDocerSaveRecord">
    <vt:lpwstr>eyJoZGlkIjoiOTVlMGZmMzE0M2JjMTMxMjI5MzcxNzNhYzExNmEyOGMifQ==</vt:lpwstr>
  </property>
</Properties>
</file>