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4</w:t>
      </w:r>
      <w:r>
        <w:rPr>
          <w:rFonts w:hint="eastAsia" w:ascii="方正小标宋简体" w:hAnsi="方正小标宋简体" w:eastAsia="方正小标宋简体" w:cs="方正小标宋简体"/>
          <w:sz w:val="44"/>
          <w:szCs w:val="44"/>
        </w:rPr>
        <w:t>年度部门决算（</w:t>
      </w:r>
      <w:r>
        <w:rPr>
          <w:rFonts w:hint="eastAsia" w:ascii="方正小标宋简体" w:hAnsi="方正小标宋简体" w:eastAsia="方正小标宋简体" w:cs="方正小标宋简体"/>
          <w:sz w:val="44"/>
          <w:szCs w:val="44"/>
          <w:lang w:val="en-US" w:eastAsia="zh-CN"/>
        </w:rPr>
        <w:t>公开</w:t>
      </w:r>
      <w:r>
        <w:rPr>
          <w:rFonts w:hint="eastAsia" w:ascii="方正小标宋简体" w:hAnsi="方正小标宋简体" w:eastAsia="方正小标宋简体" w:cs="方正小标宋简体"/>
          <w:sz w:val="44"/>
          <w:szCs w:val="44"/>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第一部分 202</w:t>
      </w:r>
      <w:r>
        <w:rPr>
          <w:rFonts w:hint="eastAsia" w:ascii="仿宋_GB2312" w:hAnsi="仿宋_GB2312" w:eastAsia="仿宋_GB2312" w:cs="仿宋_GB2312"/>
          <w:bCs/>
          <w:spacing w:val="40"/>
          <w:kern w:val="0"/>
          <w:sz w:val="32"/>
          <w:szCs w:val="32"/>
          <w:lang w:val="en-US" w:eastAsia="zh-CN"/>
        </w:rPr>
        <w:t>4</w:t>
      </w:r>
      <w:r>
        <w:rPr>
          <w:rFonts w:hint="eastAsia" w:ascii="仿宋_GB2312" w:hAnsi="仿宋_GB2312" w:eastAsia="仿宋_GB2312" w:cs="仿宋_GB2312"/>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_GB2312" w:eastAsia="仿宋_GB2312" w:cs="仿宋_GB2312"/>
          <w:spacing w:val="40"/>
          <w:sz w:val="32"/>
          <w:szCs w:val="32"/>
        </w:rPr>
      </w:pPr>
      <w:r>
        <w:rPr>
          <w:rFonts w:hint="eastAsia" w:ascii="仿宋_GB2312" w:hAnsi="仿宋_GB2312" w:eastAsia="仿宋_GB2312" w:cs="仿宋_GB2312"/>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三、支出决算表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六、一般公共预算财政拨款基本支出决算表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七</w:t>
      </w:r>
      <w:r>
        <w:rPr>
          <w:rFonts w:hint="eastAsia" w:ascii="仿宋_GB2312" w:hAnsi="仿宋_GB2312" w:eastAsia="仿宋_GB2312" w:cs="仿宋_GB2312"/>
          <w:bCs/>
          <w:spacing w:val="40"/>
          <w:kern w:val="0"/>
          <w:sz w:val="32"/>
          <w:szCs w:val="32"/>
        </w:rPr>
        <w:t>、政府性基金预算财政拨款收入支出决算表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八</w:t>
      </w:r>
      <w:r>
        <w:rPr>
          <w:rFonts w:hint="eastAsia" w:ascii="仿宋_GB2312" w:hAnsi="仿宋_GB2312" w:eastAsia="仿宋_GB2312" w:cs="仿宋_GB2312"/>
          <w:bCs/>
          <w:spacing w:val="40"/>
          <w:kern w:val="0"/>
          <w:sz w:val="32"/>
          <w:szCs w:val="32"/>
        </w:rPr>
        <w:t>、政府性基金预算财政拨款基本支出决算表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lang w:eastAsia="zh-CN"/>
        </w:rPr>
        <w:t>九</w:t>
      </w:r>
      <w:r>
        <w:rPr>
          <w:rFonts w:hint="eastAsia" w:ascii="仿宋_GB2312" w:hAnsi="仿宋_GB2312" w:eastAsia="仿宋_GB2312" w:cs="仿宋_GB2312"/>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十、财政拨款“三公”经费支出决算表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十</w:t>
      </w:r>
      <w:r>
        <w:rPr>
          <w:rFonts w:hint="eastAsia" w:ascii="仿宋_GB2312" w:hAnsi="仿宋_GB2312" w:eastAsia="仿宋_GB2312" w:cs="仿宋_GB2312"/>
          <w:bCs/>
          <w:spacing w:val="40"/>
          <w:kern w:val="0"/>
          <w:sz w:val="32"/>
          <w:szCs w:val="32"/>
          <w:lang w:eastAsia="zh-CN"/>
        </w:rPr>
        <w:t>二</w:t>
      </w:r>
      <w:r>
        <w:rPr>
          <w:rFonts w:hint="eastAsia" w:ascii="仿宋_GB2312" w:hAnsi="仿宋_GB2312" w:eastAsia="仿宋_GB2312" w:cs="仿宋_GB2312"/>
          <w:bCs/>
          <w:spacing w:val="40"/>
          <w:kern w:val="0"/>
          <w:sz w:val="32"/>
          <w:szCs w:val="32"/>
        </w:rPr>
        <w:t>、政府购买服务决算公开情况表</w:t>
      </w:r>
    </w:p>
    <w:p>
      <w:pPr>
        <w:tabs>
          <w:tab w:val="center" w:pos="6979"/>
        </w:tabs>
        <w:spacing w:line="500" w:lineRule="exact"/>
        <w:ind w:firstLine="1600" w:firstLineChars="400"/>
        <w:jc w:val="left"/>
        <w:rPr>
          <w:rFonts w:hint="eastAsia" w:ascii="仿宋_GB2312" w:hAnsi="仿宋_GB2312" w:eastAsia="仿宋_GB2312" w:cs="仿宋_GB2312"/>
          <w:bCs/>
          <w:spacing w:val="40"/>
          <w:kern w:val="0"/>
          <w:sz w:val="32"/>
          <w:szCs w:val="32"/>
        </w:rPr>
      </w:pPr>
      <w:r>
        <w:rPr>
          <w:rFonts w:hint="eastAsia" w:ascii="仿宋_GB2312" w:hAnsi="仿宋_GB2312" w:eastAsia="仿宋_GB2312" w:cs="仿宋_GB2312"/>
          <w:bCs/>
          <w:spacing w:val="40"/>
          <w:kern w:val="0"/>
          <w:sz w:val="32"/>
          <w:szCs w:val="32"/>
        </w:rPr>
        <w:t xml:space="preserve">第二部分 </w:t>
      </w:r>
      <w:r>
        <w:rPr>
          <w:rFonts w:hint="eastAsia" w:ascii="仿宋_GB2312" w:hAnsi="仿宋_GB2312" w:eastAsia="仿宋_GB2312" w:cs="仿宋_GB2312"/>
          <w:spacing w:val="40"/>
          <w:sz w:val="32"/>
          <w:szCs w:val="32"/>
        </w:rPr>
        <w:t>202</w:t>
      </w:r>
      <w:r>
        <w:rPr>
          <w:rFonts w:hint="eastAsia" w:ascii="仿宋_GB2312" w:hAnsi="仿宋_GB2312" w:eastAsia="仿宋_GB2312" w:cs="仿宋_GB2312"/>
          <w:spacing w:val="40"/>
          <w:sz w:val="32"/>
          <w:szCs w:val="32"/>
          <w:lang w:val="en-US" w:eastAsia="zh-CN"/>
        </w:rPr>
        <w:t>4</w:t>
      </w:r>
      <w:r>
        <w:rPr>
          <w:rFonts w:hint="eastAsia" w:ascii="仿宋_GB2312" w:hAnsi="仿宋_GB2312" w:eastAsia="仿宋_GB2312" w:cs="仿宋_GB2312"/>
          <w:spacing w:val="40"/>
          <w:sz w:val="32"/>
          <w:szCs w:val="32"/>
        </w:rPr>
        <w:t>年度部门决算说明</w:t>
      </w:r>
    </w:p>
    <w:p>
      <w:pPr>
        <w:tabs>
          <w:tab w:val="center" w:pos="6979"/>
        </w:tabs>
        <w:spacing w:line="500" w:lineRule="exact"/>
        <w:ind w:firstLine="1600" w:firstLineChars="400"/>
        <w:jc w:val="left"/>
        <w:rPr>
          <w:rFonts w:hint="eastAsia" w:ascii="仿宋_GB2312" w:hAnsi="仿宋_GB2312" w:eastAsia="仿宋_GB2312" w:cs="仿宋_GB2312"/>
          <w:spacing w:val="40"/>
          <w:kern w:val="0"/>
          <w:sz w:val="32"/>
          <w:szCs w:val="32"/>
        </w:rPr>
      </w:pPr>
      <w:r>
        <w:rPr>
          <w:rFonts w:hint="eastAsia" w:ascii="仿宋_GB2312" w:hAnsi="仿宋_GB2312" w:eastAsia="仿宋_GB2312" w:cs="仿宋_GB2312"/>
          <w:bCs/>
          <w:spacing w:val="40"/>
          <w:kern w:val="0"/>
          <w:sz w:val="32"/>
          <w:szCs w:val="32"/>
        </w:rPr>
        <w:t xml:space="preserve">第三部分 </w:t>
      </w:r>
      <w:r>
        <w:rPr>
          <w:rFonts w:hint="eastAsia" w:ascii="仿宋_GB2312" w:hAnsi="仿宋_GB2312" w:eastAsia="仿宋_GB2312" w:cs="仿宋_GB2312"/>
          <w:spacing w:val="40"/>
          <w:sz w:val="32"/>
          <w:szCs w:val="32"/>
        </w:rPr>
        <w:t>202</w:t>
      </w:r>
      <w:r>
        <w:rPr>
          <w:rFonts w:hint="eastAsia" w:ascii="仿宋_GB2312" w:hAnsi="仿宋_GB2312" w:eastAsia="仿宋_GB2312" w:cs="仿宋_GB2312"/>
          <w:spacing w:val="40"/>
          <w:sz w:val="32"/>
          <w:szCs w:val="32"/>
          <w:lang w:val="en-US" w:eastAsia="zh-CN"/>
        </w:rPr>
        <w:t>4</w:t>
      </w:r>
      <w:r>
        <w:rPr>
          <w:rFonts w:hint="eastAsia" w:ascii="仿宋_GB2312" w:hAnsi="仿宋_GB2312" w:eastAsia="仿宋_GB2312" w:cs="仿宋_GB2312"/>
          <w:spacing w:val="40"/>
          <w:sz w:val="32"/>
          <w:szCs w:val="32"/>
        </w:rPr>
        <w:t>年度</w:t>
      </w:r>
      <w:r>
        <w:rPr>
          <w:rFonts w:hint="eastAsia" w:ascii="仿宋_GB2312" w:hAnsi="仿宋_GB2312" w:eastAsia="仿宋_GB2312" w:cs="仿宋_GB2312"/>
          <w:spacing w:val="40"/>
          <w:kern w:val="0"/>
          <w:sz w:val="32"/>
          <w:szCs w:val="32"/>
        </w:rPr>
        <w:t>其他重要事项的情况说明</w:t>
      </w:r>
    </w:p>
    <w:p>
      <w:pPr>
        <w:tabs>
          <w:tab w:val="center" w:pos="6979"/>
        </w:tabs>
        <w:spacing w:line="500" w:lineRule="exact"/>
        <w:ind w:firstLine="1600" w:firstLineChars="400"/>
        <w:jc w:val="left"/>
        <w:rPr>
          <w:rFonts w:hint="eastAsia" w:ascii="仿宋_GB2312" w:hAnsi="仿宋_GB2312" w:eastAsia="仿宋_GB2312" w:cs="仿宋_GB2312"/>
          <w:spacing w:val="40"/>
          <w:kern w:val="0"/>
          <w:sz w:val="32"/>
          <w:szCs w:val="32"/>
        </w:rPr>
      </w:pPr>
      <w:r>
        <w:rPr>
          <w:rFonts w:hint="eastAsia" w:ascii="仿宋_GB2312" w:hAnsi="仿宋_GB2312" w:eastAsia="仿宋_GB2312" w:cs="仿宋_GB2312"/>
          <w:spacing w:val="40"/>
          <w:kern w:val="0"/>
          <w:sz w:val="32"/>
          <w:szCs w:val="32"/>
        </w:rPr>
        <w:t>第四部分 202</w:t>
      </w:r>
      <w:r>
        <w:rPr>
          <w:rFonts w:hint="eastAsia" w:ascii="仿宋_GB2312" w:hAnsi="仿宋_GB2312" w:eastAsia="仿宋_GB2312" w:cs="仿宋_GB2312"/>
          <w:spacing w:val="40"/>
          <w:kern w:val="0"/>
          <w:sz w:val="32"/>
          <w:szCs w:val="32"/>
          <w:lang w:val="en-US" w:eastAsia="zh-CN"/>
        </w:rPr>
        <w:t>4</w:t>
      </w:r>
      <w:r>
        <w:rPr>
          <w:rFonts w:hint="eastAsia" w:ascii="仿宋_GB2312" w:hAnsi="仿宋_GB2312" w:eastAsia="仿宋_GB2312" w:cs="仿宋_GB2312"/>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仿宋_GB2312" w:hAnsi="仿宋_GB2312" w:eastAsia="仿宋_GB2312" w:cs="仿宋_GB2312"/>
          <w:b/>
          <w:bCs/>
          <w:spacing w:val="40"/>
          <w:kern w:val="0"/>
          <w:sz w:val="32"/>
          <w:szCs w:val="32"/>
        </w:rPr>
        <w:t xml:space="preserve">第一部分 </w:t>
      </w:r>
      <w:r>
        <w:rPr>
          <w:rFonts w:hint="eastAsia" w:ascii="仿宋_GB2312" w:hAnsi="仿宋_GB2312" w:eastAsia="仿宋_GB2312" w:cs="仿宋_GB2312"/>
          <w:b/>
          <w:bCs/>
          <w:spacing w:val="40"/>
          <w:kern w:val="0"/>
          <w:sz w:val="32"/>
          <w:szCs w:val="32"/>
          <w:lang w:eastAsia="zh-CN"/>
        </w:rPr>
        <w:t>2024</w:t>
      </w:r>
      <w:r>
        <w:rPr>
          <w:rFonts w:hint="eastAsia" w:ascii="仿宋_GB2312" w:hAnsi="仿宋_GB2312" w:eastAsia="仿宋_GB2312" w:cs="仿宋_GB2312"/>
          <w:b/>
          <w:bCs/>
          <w:spacing w:val="40"/>
          <w:kern w:val="0"/>
          <w:sz w:val="32"/>
          <w:szCs w:val="32"/>
        </w:rPr>
        <w:t>年度部门决算报表</w:t>
      </w:r>
    </w:p>
    <w:p>
      <w:pPr>
        <w:pStyle w:val="4"/>
        <w:keepNext/>
        <w:keepLines/>
        <w:pageBreakBefore w:val="0"/>
        <w:widowControl w:val="0"/>
        <w:kinsoku/>
        <w:wordWrap/>
        <w:overflowPunct/>
        <w:topLinePunct w:val="0"/>
        <w:autoSpaceDE/>
        <w:autoSpaceDN/>
        <w:bidi w:val="0"/>
        <w:adjustRightInd/>
        <w:snapToGrid/>
        <w:ind w:firstLine="560" w:firstLineChars="200"/>
        <w:textAlignment w:val="auto"/>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32"/>
          <w:szCs w:val="32"/>
        </w:rPr>
        <w:t>报表详见附件。</w:t>
      </w:r>
    </w:p>
    <w:p>
      <w:pPr>
        <w:keepNext w:val="0"/>
        <w:keepLines w:val="0"/>
        <w:pageBreakBefore w:val="0"/>
        <w:widowControl w:val="0"/>
        <w:tabs>
          <w:tab w:val="center" w:pos="6979"/>
        </w:tabs>
        <w:kinsoku/>
        <w:wordWrap/>
        <w:overflowPunct/>
        <w:topLinePunct w:val="0"/>
        <w:autoSpaceDE/>
        <w:autoSpaceDN/>
        <w:bidi w:val="0"/>
        <w:spacing w:before="156" w:beforeLines="50" w:after="156" w:afterLines="50" w:line="560" w:lineRule="exact"/>
        <w:ind w:firstLine="0" w:firstLineChars="0"/>
        <w:jc w:val="center"/>
        <w:textAlignment w:val="auto"/>
        <w:rPr>
          <w:rFonts w:hint="eastAsia" w:ascii="宋体" w:hAnsi="宋体"/>
          <w:b/>
          <w:sz w:val="32"/>
          <w:szCs w:val="32"/>
        </w:rPr>
      </w:pPr>
      <w:r>
        <w:rPr>
          <w:rFonts w:hint="eastAsia" w:ascii="仿宋_GB2312" w:hAnsi="仿宋_GB2312" w:eastAsia="仿宋_GB2312" w:cs="仿宋_GB2312"/>
          <w:b/>
          <w:bCs/>
          <w:spacing w:val="40"/>
          <w:kern w:val="0"/>
          <w:sz w:val="32"/>
          <w:szCs w:val="32"/>
        </w:rPr>
        <w:t xml:space="preserve">第二部分 </w:t>
      </w:r>
      <w:r>
        <w:rPr>
          <w:rFonts w:hint="eastAsia" w:ascii="仿宋_GB2312" w:hAnsi="仿宋_GB2312" w:eastAsia="仿宋_GB2312" w:cs="仿宋_GB2312"/>
          <w:b/>
          <w:bCs/>
          <w:spacing w:val="40"/>
          <w:sz w:val="32"/>
          <w:szCs w:val="32"/>
        </w:rPr>
        <w:t>202</w:t>
      </w:r>
      <w:r>
        <w:rPr>
          <w:rFonts w:hint="eastAsia" w:ascii="仿宋_GB2312" w:hAnsi="仿宋_GB2312" w:eastAsia="仿宋_GB2312" w:cs="仿宋_GB2312"/>
          <w:b/>
          <w:bCs/>
          <w:spacing w:val="40"/>
          <w:sz w:val="32"/>
          <w:szCs w:val="32"/>
          <w:lang w:val="en-US" w:eastAsia="zh-CN"/>
        </w:rPr>
        <w:t>4</w:t>
      </w:r>
      <w:r>
        <w:rPr>
          <w:rFonts w:hint="eastAsia" w:ascii="仿宋_GB2312" w:hAnsi="仿宋_GB2312" w:eastAsia="仿宋_GB2312" w:cs="仿宋_GB2312"/>
          <w:b/>
          <w:bCs/>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一、单位基本情况</w:t>
      </w:r>
    </w:p>
    <w:p>
      <w:pPr>
        <w:keepNext w:val="0"/>
        <w:keepLines w:val="0"/>
        <w:pageBreakBefore w:val="0"/>
        <w:widowControl w:val="0"/>
        <w:kinsoku/>
        <w:wordWrap/>
        <w:overflowPunct/>
        <w:topLinePunct w:val="0"/>
        <w:autoSpaceDE/>
        <w:autoSpaceDN/>
        <w:bidi w:val="0"/>
        <w:adjustRightInd/>
        <w:snapToGrid/>
        <w:spacing w:line="560" w:lineRule="exact"/>
        <w:ind w:left="359" w:leftChars="171" w:firstLine="0" w:firstLineChars="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（一）本</w:t>
      </w:r>
      <w:r>
        <w:rPr>
          <w:rFonts w:hint="eastAsia" w:ascii="楷体_GB2312" w:hAnsi="楷体_GB2312" w:eastAsia="楷体_GB2312" w:cs="楷体_GB2312"/>
          <w:color w:val="000000"/>
          <w:sz w:val="32"/>
          <w:szCs w:val="32"/>
          <w:lang w:eastAsia="zh-CN"/>
        </w:rPr>
        <w:t>单位</w:t>
      </w:r>
      <w:r>
        <w:rPr>
          <w:rFonts w:hint="eastAsia" w:ascii="楷体_GB2312" w:hAnsi="楷体_GB2312" w:eastAsia="楷体_GB2312" w:cs="楷体_GB2312"/>
          <w:color w:val="000000"/>
          <w:sz w:val="32"/>
          <w:szCs w:val="32"/>
        </w:rPr>
        <w:t>职责</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贯彻执行国家、北京市有关法律法规、战略规划和政策措施；起草本区关于城市管理和城乡环境建设综合协调、市容环境卫生管理、城乡道路建设管理、能源日常运行管理、相关市政公用事业管理等方面的规范性文件，拟订城市管理方面的发展规划、年度计划，并组织实施；制定相关标准化工作规划、计划，并组织监督实施。 </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2.负责对本区城市管理工作的业务指导、组织协调、指挥调度、专项整治和检查评价；承担城市管理、城乡环境建设的综合协调、监督考核工作。</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3.负责本区环境卫生的组织管理和监督检查工作；承担生活垃圾等固体废弃物清扫、收集、贮存、运输和处置的监督管理责任；负责指导、管理环境卫生设施建设工作；负责垃圾分类监督管理工作，按有关规定对再生资源回收行业进行监督管理。负责本区建筑垃圾、渣土运输、消纳行政许可工作。</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4.承担本区市容市貌管理责任；组织协调落实重点地区、重点街道的景观建设和治理工作；组织协调、管理城市道路公共服务设施设置；负责市容环境综合整治工作，组织架空线入地和规范整治工作；负责管理户外广告、牌匾标识、标语、宣传品设置；负责城市照明管理工作，会同区规划部门编制夜景照明专项规划并组织实施，监督照明设施的维护管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5.负责本区煤炭、电力、燃气、供热、电源点的行业管理；负责本区加油（气）站管理的综合协调；负责本区新能源汽车充电站（桩）的建设和运营管理。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6.负责在全市能源运行统筹工作下，抓好我区能源运行工作，协调解决能源运行相关问题。</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7.承担综合协调管理本区地下管线及其检查井和井盖设施的责任；会同相关管理部门推进地下管线工程与道路工程同步实施；负责地下综合管廊规划、建设和运营的综合协调管理，制定相关政策，参与编制地下综合管廊规划，拟订年度建设计划并组织实施，负责地下综合管廊运营的监督管理。</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8.负责主管本区石油、天然气管道（不包括炼油、化工等企业厂区内管道）保护工作，并承担相应监管职责。</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9.承担本区城乡路网建设、养护项目的统筹协调和城市道路临时占掘路行政审批职责。</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10.负责大兴新城规划范围内市政基础设施建设与养护管理工作；负责本区机动车公共停车场和临时占道停车位、公共自行车的管理工作。</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11.承担大兴新城规划范围内公共绿地、公园、城市道路两侧绿化带建设维护的监督管理职责。</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12.承担本区市容环境卫生、燃气、供热、电力、电源点、煤炭、市政管线及附属设施、地下综合管廊、再生资源回收、户外广告设施、城市照明设施等方面的安全监管或管理责任；督促行业内重点单位建立安全管理制度和应急预案，落实安全防范措施，消除事故隐患，并在职责权限范围内负责监督检查和依法处理；承担本区城市公共设施事故应急指挥部、区电力事故应急指挥部的具体工作，负责组织、协调、指导、检查城市公共设施事故的预防和应对工作；参与大兴新城防汛工作。</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13.负责本区市容环境卫生管理、能源日常运行管理、相关市政公用事业管理等方面科技发展和信息化建设工作，指导重大科技项目成果推广和新技术引进；承担本区城市管理财政预算运维资金的统筹管理责任；组织开展对外交流合作。</w:t>
      </w: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 xml:space="preserve">    14.负责职权范围内的</w:t>
      </w:r>
      <w:bookmarkStart w:id="0" w:name="_GoBack"/>
      <w:bookmarkEnd w:id="0"/>
      <w:r>
        <w:rPr>
          <w:rFonts w:hint="eastAsia" w:ascii="仿宋_GB2312" w:eastAsia="仿宋_GB2312"/>
          <w:color w:val="000000"/>
          <w:sz w:val="32"/>
          <w:szCs w:val="32"/>
        </w:rPr>
        <w:t>法律、法规、规章的宣传教育和贯彻工作，并监督检查执行情况，发现违法行为，及时告知有关执法部门处理，并承担相应的管理责任。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color w:val="000000"/>
          <w:sz w:val="32"/>
          <w:szCs w:val="32"/>
        </w:rPr>
      </w:pPr>
      <w:r>
        <w:rPr>
          <w:rFonts w:hint="eastAsia" w:ascii="仿宋_GB2312" w:eastAsia="仿宋_GB2312"/>
          <w:color w:val="000000"/>
          <w:sz w:val="32"/>
          <w:szCs w:val="32"/>
        </w:rPr>
        <w:t>15.承办区政府交办的其他事项。</w:t>
      </w:r>
    </w:p>
    <w:p>
      <w:pPr>
        <w:keepNext w:val="0"/>
        <w:keepLines w:val="0"/>
        <w:pageBreakBefore w:val="0"/>
        <w:widowControl w:val="0"/>
        <w:kinsoku/>
        <w:wordWrap/>
        <w:overflowPunct/>
        <w:topLinePunct w:val="0"/>
        <w:autoSpaceDE/>
        <w:autoSpaceDN/>
        <w:bidi w:val="0"/>
        <w:spacing w:line="560" w:lineRule="exact"/>
        <w:ind w:left="359" w:leftChars="171" w:firstLine="0" w:firstLineChars="0"/>
        <w:jc w:val="both"/>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（二）机构设置情况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eastAsia" w:ascii="仿宋_GB2312" w:eastAsia="仿宋_GB2312"/>
          <w:sz w:val="28"/>
          <w:szCs w:val="28"/>
        </w:rPr>
      </w:pPr>
      <w:r>
        <w:rPr>
          <w:rFonts w:hint="eastAsia" w:ascii="仿宋_GB2312" w:hAnsi="宋体" w:eastAsia="仿宋_GB2312"/>
          <w:sz w:val="32"/>
          <w:szCs w:val="32"/>
        </w:rPr>
        <w:t>根据上述职责，大兴区城市管理委员会设置9个内设机构。分</w:t>
      </w:r>
      <w:r>
        <w:rPr>
          <w:rFonts w:hint="eastAsia" w:ascii="仿宋_GB2312" w:hAnsi="宋体" w:eastAsia="仿宋_GB2312"/>
          <w:sz w:val="32"/>
          <w:szCs w:val="32"/>
          <w:highlight w:val="none"/>
        </w:rPr>
        <w:t>别为：办公室、</w:t>
      </w:r>
      <w:r>
        <w:rPr>
          <w:rFonts w:hint="eastAsia" w:ascii="仿宋_GB2312" w:hAnsi="宋体" w:eastAsia="仿宋_GB2312"/>
          <w:sz w:val="32"/>
          <w:szCs w:val="32"/>
        </w:rPr>
        <w:t>财务科（内审科）、法制科(安全科)、设施科、工程科（管廊科）、环境科（固废科）、考核科、景观</w:t>
      </w:r>
      <w:r>
        <w:rPr>
          <w:rFonts w:hint="eastAsia" w:ascii="仿宋_GB2312" w:hAnsi="宋体" w:eastAsia="仿宋_GB2312"/>
          <w:sz w:val="32"/>
          <w:szCs w:val="32"/>
          <w:highlight w:val="none"/>
        </w:rPr>
        <w:t>科、能源科。</w:t>
      </w:r>
    </w:p>
    <w:p>
      <w:pPr>
        <w:keepNext w:val="0"/>
        <w:keepLines w:val="0"/>
        <w:pageBreakBefore w:val="0"/>
        <w:widowControl w:val="0"/>
        <w:tabs>
          <w:tab w:val="center" w:pos="6979"/>
        </w:tabs>
        <w:kinsoku/>
        <w:wordWrap/>
        <w:overflowPunct/>
        <w:topLinePunct w:val="0"/>
        <w:autoSpaceDE/>
        <w:autoSpaceDN/>
        <w:bidi w:val="0"/>
        <w:spacing w:line="560" w:lineRule="exact"/>
        <w:ind w:firstLine="0" w:firstLineChars="0"/>
        <w:textAlignment w:val="auto"/>
        <w:rPr>
          <w:rFonts w:hint="eastAsia" w:ascii="黑体" w:eastAsia="黑体"/>
          <w:b w:val="0"/>
          <w:bCs/>
          <w:sz w:val="32"/>
          <w:szCs w:val="32"/>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32"/>
          <w:szCs w:val="32"/>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51192.38</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1898.79</w:t>
      </w:r>
      <w:r>
        <w:rPr>
          <w:rFonts w:hint="eastAsia" w:ascii="仿宋_GB2312" w:eastAsia="仿宋_GB2312"/>
          <w:sz w:val="32"/>
          <w:szCs w:val="32"/>
        </w:rPr>
        <w:t>万元，下降</w:t>
      </w:r>
      <w:r>
        <w:rPr>
          <w:rFonts w:hint="eastAsia" w:ascii="仿宋_GB2312" w:eastAsia="仿宋_GB2312"/>
          <w:sz w:val="32"/>
          <w:szCs w:val="32"/>
          <w:lang w:val="en-US" w:eastAsia="zh-CN"/>
        </w:rPr>
        <w:t>3.58</w:t>
      </w:r>
      <w:r>
        <w:rPr>
          <w:rFonts w:hint="eastAsia" w:ascii="仿宋_GB2312" w:eastAsia="仿宋_GB2312"/>
          <w:sz w:val="32"/>
          <w:szCs w:val="32"/>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highlight w:val="none"/>
        </w:rPr>
      </w:pPr>
      <w:r>
        <w:rPr>
          <w:rFonts w:hint="eastAsia" w:ascii="楷体_GB2312" w:hAnsi="楷体_GB2312" w:eastAsia="楷体_GB2312" w:cs="楷体_GB2312"/>
          <w:sz w:val="32"/>
          <w:szCs w:val="32"/>
          <w:highlight w:val="none"/>
        </w:rPr>
        <w:t>（一）收入决算说明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年度本年收入合计</w:t>
      </w:r>
      <w:r>
        <w:rPr>
          <w:rFonts w:ascii="仿宋_GB2312" w:eastAsia="仿宋_GB2312"/>
          <w:sz w:val="32"/>
          <w:szCs w:val="32"/>
        </w:rPr>
        <w:t>50873.76</w:t>
      </w:r>
      <w:r>
        <w:rPr>
          <w:rFonts w:hint="eastAsia" w:ascii="仿宋_GB2312" w:eastAsia="仿宋_GB2312"/>
          <w:sz w:val="32"/>
          <w:szCs w:val="32"/>
        </w:rPr>
        <w:t>万元，</w:t>
      </w:r>
      <w:r>
        <w:rPr>
          <w:rFonts w:ascii="仿宋_GB2312" w:eastAsia="仿宋_GB2312"/>
          <w:sz w:val="32"/>
          <w:szCs w:val="32"/>
        </w:rPr>
        <w:t>比上年增加</w:t>
      </w:r>
      <w:r>
        <w:rPr>
          <w:rFonts w:hint="eastAsia" w:ascii="仿宋_GB2312" w:eastAsia="仿宋_GB2312"/>
          <w:sz w:val="32"/>
          <w:szCs w:val="32"/>
          <w:lang w:val="en-US" w:eastAsia="zh-CN"/>
        </w:rPr>
        <w:t>4042.03</w:t>
      </w:r>
      <w:r>
        <w:rPr>
          <w:rFonts w:hint="eastAsia" w:ascii="仿宋_GB2312" w:eastAsia="仿宋_GB2312"/>
          <w:sz w:val="32"/>
          <w:szCs w:val="32"/>
        </w:rPr>
        <w:t>万元，增长</w:t>
      </w:r>
      <w:r>
        <w:rPr>
          <w:rFonts w:hint="eastAsia" w:ascii="仿宋_GB2312" w:eastAsia="仿宋_GB2312"/>
          <w:sz w:val="32"/>
          <w:szCs w:val="32"/>
          <w:lang w:val="en-US" w:eastAsia="zh-CN"/>
        </w:rPr>
        <w:t>8.63</w:t>
      </w:r>
      <w:r>
        <w:rPr>
          <w:rFonts w:hint="eastAsia" w:ascii="仿宋_GB2312" w:eastAsia="仿宋_GB2312"/>
          <w:sz w:val="32"/>
          <w:szCs w:val="32"/>
        </w:rPr>
        <w:t>%</w:t>
      </w:r>
      <w:r>
        <w:rPr>
          <w:rFonts w:hint="eastAsia" w:ascii="仿宋_GB2312" w:eastAsia="仿宋_GB2312"/>
          <w:sz w:val="32"/>
          <w:szCs w:val="32"/>
          <w:lang w:eastAsia="zh-CN"/>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财政拨款收入</w:t>
      </w:r>
      <w:r>
        <w:rPr>
          <w:rFonts w:ascii="仿宋_GB2312" w:eastAsia="仿宋_GB2312"/>
          <w:sz w:val="32"/>
          <w:szCs w:val="32"/>
        </w:rPr>
        <w:t>50873.76</w:t>
      </w:r>
      <w:r>
        <w:rPr>
          <w:rFonts w:hint="eastAsia" w:ascii="仿宋_GB2312" w:eastAsia="仿宋_GB2312"/>
          <w:sz w:val="32"/>
          <w:szCs w:val="32"/>
        </w:rPr>
        <w:t>万元，占收入合计的</w:t>
      </w:r>
      <w:r>
        <w:rPr>
          <w:rFonts w:hint="eastAsia" w:ascii="仿宋_GB2312" w:eastAsia="仿宋_GB2312"/>
          <w:sz w:val="32"/>
          <w:szCs w:val="32"/>
          <w:lang w:eastAsia="zh-CN"/>
        </w:rPr>
        <w:t>100%。</w:t>
      </w:r>
      <w:r>
        <w:rPr>
          <w:rFonts w:hint="eastAsia" w:ascii="仿宋_GB2312" w:eastAsia="仿宋_GB2312"/>
          <w:sz w:val="32"/>
          <w:szCs w:val="32"/>
        </w:rPr>
        <w:t>其中：</w:t>
      </w:r>
      <w:r>
        <w:rPr>
          <w:rFonts w:hint="eastAsia" w:ascii="仿宋_GB2312" w:eastAsia="仿宋_GB2312"/>
          <w:sz w:val="32"/>
          <w:szCs w:val="32"/>
          <w:lang w:eastAsia="zh-CN"/>
        </w:rPr>
        <w:t>一般公共预算财政拨款收入</w:t>
      </w:r>
      <w:r>
        <w:rPr>
          <w:rFonts w:hint="eastAsia" w:ascii="仿宋_GB2312" w:eastAsia="仿宋_GB2312"/>
          <w:sz w:val="32"/>
          <w:szCs w:val="32"/>
        </w:rPr>
        <w:t>41566.4</w:t>
      </w:r>
      <w:r>
        <w:rPr>
          <w:rFonts w:hint="eastAsia" w:ascii="仿宋_GB2312" w:eastAsia="仿宋_GB2312"/>
          <w:sz w:val="32"/>
          <w:szCs w:val="32"/>
          <w:lang w:val="en-US" w:eastAsia="zh-CN"/>
        </w:rPr>
        <w:t>7</w:t>
      </w:r>
      <w:r>
        <w:rPr>
          <w:rFonts w:hint="eastAsia" w:ascii="仿宋_GB2312" w:eastAsia="仿宋_GB2312"/>
          <w:sz w:val="32"/>
          <w:szCs w:val="32"/>
        </w:rPr>
        <w:t>万元，占收入合计的</w:t>
      </w:r>
      <w:r>
        <w:rPr>
          <w:rFonts w:hint="eastAsia" w:ascii="仿宋_GB2312" w:eastAsia="仿宋_GB2312"/>
          <w:sz w:val="32"/>
          <w:szCs w:val="32"/>
          <w:lang w:val="en-US" w:eastAsia="zh-CN"/>
        </w:rPr>
        <w:t>81</w:t>
      </w:r>
      <w:r>
        <w:rPr>
          <w:rFonts w:ascii="仿宋_GB2312" w:eastAsia="仿宋_GB2312"/>
          <w:sz w:val="32"/>
          <w:szCs w:val="32"/>
        </w:rPr>
        <w:t>.</w:t>
      </w:r>
      <w:r>
        <w:rPr>
          <w:rFonts w:hint="eastAsia" w:ascii="仿宋_GB2312" w:eastAsia="仿宋_GB2312"/>
          <w:sz w:val="32"/>
          <w:szCs w:val="32"/>
          <w:lang w:val="en-US" w:eastAsia="zh-CN"/>
        </w:rPr>
        <w:t>71</w:t>
      </w:r>
      <w:r>
        <w:rPr>
          <w:rFonts w:hint="eastAsia" w:ascii="仿宋_GB2312" w:eastAsia="仿宋_GB2312"/>
          <w:sz w:val="32"/>
          <w:szCs w:val="32"/>
        </w:rPr>
        <w:t>%</w:t>
      </w:r>
      <w:r>
        <w:rPr>
          <w:rFonts w:hint="eastAsia" w:ascii="仿宋_GB2312" w:eastAsia="仿宋_GB2312"/>
          <w:sz w:val="32"/>
          <w:szCs w:val="32"/>
          <w:highlight w:val="none"/>
        </w:rPr>
        <w:t>；</w:t>
      </w:r>
      <w:r>
        <w:rPr>
          <w:rFonts w:hint="eastAsia" w:ascii="仿宋_GB2312" w:eastAsia="仿宋_GB2312"/>
          <w:sz w:val="32"/>
          <w:szCs w:val="32"/>
          <w:lang w:eastAsia="zh-CN"/>
        </w:rPr>
        <w:t>政府性基金预算财政拨款收入</w:t>
      </w:r>
      <w:r>
        <w:rPr>
          <w:rFonts w:hint="eastAsia" w:ascii="仿宋_GB2312" w:eastAsia="仿宋_GB2312"/>
          <w:sz w:val="32"/>
          <w:szCs w:val="32"/>
        </w:rPr>
        <w:t>9307</w:t>
      </w:r>
      <w:r>
        <w:rPr>
          <w:rFonts w:ascii="仿宋_GB2312" w:eastAsia="仿宋_GB2312"/>
          <w:sz w:val="32"/>
          <w:szCs w:val="32"/>
        </w:rPr>
        <w:t>.</w:t>
      </w:r>
      <w:r>
        <w:rPr>
          <w:rFonts w:hint="eastAsia" w:ascii="仿宋_GB2312" w:eastAsia="仿宋_GB2312"/>
          <w:sz w:val="32"/>
          <w:szCs w:val="32"/>
          <w:lang w:val="en-US" w:eastAsia="zh-CN"/>
        </w:rPr>
        <w:t>29</w:t>
      </w:r>
      <w:r>
        <w:rPr>
          <w:rFonts w:hint="eastAsia" w:ascii="仿宋_GB2312" w:eastAsia="仿宋_GB2312"/>
          <w:sz w:val="32"/>
          <w:szCs w:val="32"/>
        </w:rPr>
        <w:t>万元万元，占收入合计的</w:t>
      </w: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lang w:val="en-US" w:eastAsia="zh-CN"/>
        </w:rPr>
        <w:t>29</w:t>
      </w:r>
      <w:r>
        <w:rPr>
          <w:rFonts w:hint="eastAsia" w:ascii="仿宋_GB2312" w:eastAsia="仿宋_GB2312"/>
          <w:sz w:val="32"/>
          <w:szCs w:val="32"/>
        </w:rPr>
        <w:t>%</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r>
        <w:rPr>
          <w:rFonts w:hint="eastAsia" w:ascii="仿宋_GB2312" w:eastAsia="仿宋_GB2312"/>
          <w:sz w:val="32"/>
          <w:szCs w:val="32"/>
          <w:lang w:eastAsia="zh-CN"/>
        </w:rPr>
        <w:t>国有资本经营预算财政拨款收入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r>
        <w:rPr>
          <w:rFonts w:hint="eastAsia" w:ascii="仿宋_GB2312" w:eastAsia="仿宋_GB2312"/>
          <w:sz w:val="32"/>
          <w:szCs w:val="32"/>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lang w:val="en-US" w:eastAsia="zh-CN"/>
        </w:rPr>
        <w:t>2.</w:t>
      </w:r>
      <w:r>
        <w:rPr>
          <w:rFonts w:hint="eastAsia" w:ascii="仿宋_GB2312" w:eastAsia="仿宋_GB2312"/>
          <w:sz w:val="32"/>
          <w:szCs w:val="32"/>
        </w:rPr>
        <w:t>上级补助收入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p>
    <w:p>
      <w:pPr>
        <w:keepNext w:val="0"/>
        <w:keepLines w:val="0"/>
        <w:pageBreakBefore w:val="0"/>
        <w:widowControl w:val="0"/>
        <w:numPr>
          <w:ilvl w:val="0"/>
          <w:numId w:val="0"/>
        </w:numPr>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事业收入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4.经营收入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highlight w:val="none"/>
        </w:rPr>
      </w:pPr>
      <w:r>
        <w:rPr>
          <w:rFonts w:hint="eastAsia" w:ascii="仿宋_GB2312" w:eastAsia="仿宋_GB2312"/>
          <w:sz w:val="32"/>
          <w:szCs w:val="32"/>
          <w:highlight w:val="none"/>
        </w:rPr>
        <w:t>5.附属单位上缴收入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28"/>
          <w:szCs w:val="28"/>
          <w:highlight w:val="none"/>
        </w:rPr>
      </w:pPr>
      <w:r>
        <w:rPr>
          <w:rFonts w:hint="eastAsia" w:ascii="仿宋_GB2312" w:eastAsia="仿宋_GB2312"/>
          <w:sz w:val="32"/>
          <w:szCs w:val="32"/>
          <w:highlight w:val="none"/>
        </w:rPr>
        <w:t>6.其他收入</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p>
    <w:p>
      <w:pPr>
        <w:pStyle w:val="4"/>
        <w:ind w:firstLine="0"/>
        <w:jc w:val="center"/>
        <w:rPr>
          <w:sz w:val="32"/>
          <w:szCs w:val="32"/>
        </w:rPr>
      </w:pPr>
      <w:r>
        <w:rPr>
          <w:rFonts w:hint="eastAsia" w:ascii="仿宋_GB2312" w:eastAsia="仿宋_GB2312"/>
          <w:color w:val="000000"/>
          <w:sz w:val="32"/>
          <w:szCs w:val="32"/>
          <w:highlight w:val="none"/>
          <w:lang w:val="en-US" w:eastAsia="zh-CN"/>
        </w:rPr>
        <w:t>图1：收入决算</w:t>
      </w:r>
    </w:p>
    <w:p>
      <w:pPr>
        <w:pStyle w:val="5"/>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（二）支出决算说明</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28"/>
          <w:szCs w:val="28"/>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年度本年支出合计</w:t>
      </w:r>
      <w:r>
        <w:rPr>
          <w:rFonts w:ascii="仿宋_GB2312" w:eastAsia="仿宋_GB2312"/>
          <w:sz w:val="32"/>
          <w:szCs w:val="32"/>
        </w:rPr>
        <w:t>51192.38</w:t>
      </w:r>
      <w:r>
        <w:rPr>
          <w:rFonts w:hint="eastAsia" w:ascii="仿宋_GB2312" w:eastAsia="仿宋_GB2312"/>
          <w:sz w:val="32"/>
          <w:szCs w:val="32"/>
        </w:rPr>
        <w:t>万元，</w:t>
      </w:r>
      <w:r>
        <w:rPr>
          <w:rFonts w:ascii="仿宋_GB2312" w:eastAsia="仿宋_GB2312"/>
          <w:sz w:val="32"/>
          <w:szCs w:val="32"/>
        </w:rPr>
        <w:t>比上年</w:t>
      </w:r>
      <w:r>
        <w:rPr>
          <w:rFonts w:hint="eastAsia" w:ascii="仿宋_GB2312" w:hAnsi="Times New Roman" w:eastAsia="仿宋_GB2312" w:cs="Times New Roman"/>
          <w:sz w:val="32"/>
          <w:szCs w:val="32"/>
          <w:lang w:val="en-US" w:eastAsia="zh-CN"/>
        </w:rPr>
        <w:t>减少1898.79</w:t>
      </w:r>
      <w:r>
        <w:rPr>
          <w:rFonts w:hint="eastAsia" w:ascii="仿宋_GB2312" w:eastAsia="仿宋_GB2312"/>
          <w:sz w:val="32"/>
          <w:szCs w:val="32"/>
        </w:rPr>
        <w:t>万元，</w:t>
      </w:r>
      <w:r>
        <w:rPr>
          <w:rFonts w:hint="eastAsia" w:ascii="仿宋_GB2312" w:hAnsi="Times New Roman" w:eastAsia="仿宋_GB2312" w:cs="Times New Roman"/>
          <w:sz w:val="32"/>
          <w:szCs w:val="32"/>
          <w:lang w:val="en-US" w:eastAsia="zh-CN"/>
        </w:rPr>
        <w:t>下降3.58</w:t>
      </w:r>
      <w:r>
        <w:rPr>
          <w:rFonts w:hint="eastAsia" w:ascii="仿宋_GB2312" w:eastAsia="仿宋_GB2312"/>
          <w:sz w:val="32"/>
          <w:szCs w:val="32"/>
        </w:rPr>
        <w:t>%，其中：基本支</w:t>
      </w:r>
      <w:r>
        <w:rPr>
          <w:rFonts w:hint="eastAsia" w:ascii="仿宋_GB2312" w:eastAsia="仿宋_GB2312"/>
          <w:sz w:val="32"/>
          <w:szCs w:val="32"/>
          <w:highlight w:val="none"/>
        </w:rPr>
        <w:t>出</w:t>
      </w:r>
      <w:r>
        <w:rPr>
          <w:rFonts w:ascii="仿宋_GB2312" w:eastAsia="仿宋_GB2312"/>
          <w:sz w:val="32"/>
          <w:szCs w:val="32"/>
          <w:highlight w:val="none"/>
        </w:rPr>
        <w:t>4394.22</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8.58</w:t>
      </w:r>
      <w:r>
        <w:rPr>
          <w:rFonts w:hint="eastAsia" w:ascii="仿宋_GB2312" w:eastAsia="仿宋_GB2312"/>
          <w:sz w:val="32"/>
          <w:szCs w:val="32"/>
          <w:highlight w:val="none"/>
        </w:rPr>
        <w:t>%；项目支出</w:t>
      </w:r>
      <w:r>
        <w:rPr>
          <w:rFonts w:ascii="仿宋_GB2312" w:eastAsia="仿宋_GB2312"/>
          <w:sz w:val="32"/>
          <w:szCs w:val="32"/>
          <w:highlight w:val="none"/>
        </w:rPr>
        <w:t>46798.16</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91.42</w:t>
      </w:r>
      <w:r>
        <w:rPr>
          <w:rFonts w:hint="eastAsia" w:ascii="仿宋_GB2312" w:eastAsia="仿宋_GB2312"/>
          <w:sz w:val="32"/>
          <w:szCs w:val="32"/>
          <w:highlight w:val="none"/>
        </w:rPr>
        <w:t>%;上缴上级支出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rPr>
        <w:t>%；经营支出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%；对附属单位补助支出</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万元，占支出合计的</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lang w:val="en-US" w:eastAsia="zh-CN"/>
        </w:rPr>
        <w:t>00</w:t>
      </w:r>
      <w:r>
        <w:rPr>
          <w:rFonts w:hint="eastAsia" w:ascii="仿宋_GB2312" w:eastAsia="仿宋_GB2312"/>
          <w:sz w:val="32"/>
          <w:szCs w:val="32"/>
          <w:highlight w:val="none"/>
        </w:rPr>
        <w:t>%</w:t>
      </w:r>
      <w:r>
        <w:rPr>
          <w:rFonts w:hint="eastAsia" w:ascii="仿宋_GB2312" w:eastAsia="仿宋_GB2312"/>
          <w:sz w:val="32"/>
          <w:szCs w:val="32"/>
        </w:rPr>
        <w:t>。</w:t>
      </w:r>
    </w:p>
    <w:p>
      <w:pPr>
        <w:pStyle w:val="4"/>
        <w:ind w:firstLine="642"/>
        <w:jc w:val="center"/>
        <w:rPr>
          <w:rFonts w:ascii="仿宋_GB2312" w:eastAsia="仿宋_GB2312"/>
          <w:b/>
          <w:bCs/>
          <w:color w:val="000000"/>
          <w:sz w:val="32"/>
        </w:rPr>
      </w:pPr>
      <w:r>
        <w:rPr>
          <w:rFonts w:hint="eastAsia" w:ascii="仿宋_GB2312" w:eastAsia="仿宋_GB2312"/>
          <w:b/>
          <w:bCs/>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三</w:t>
      </w:r>
      <w:r>
        <w:rPr>
          <w:rFonts w:ascii="黑体" w:eastAsia="黑体"/>
          <w:b w:val="0"/>
          <w:bCs/>
          <w:sz w:val="32"/>
          <w:szCs w:val="32"/>
        </w:rPr>
        <w:t>、财政拨款</w:t>
      </w:r>
      <w:r>
        <w:rPr>
          <w:rFonts w:hint="eastAsia" w:ascii="黑体" w:eastAsia="黑体"/>
          <w:b w:val="0"/>
          <w:bCs/>
          <w:sz w:val="32"/>
          <w:szCs w:val="32"/>
        </w:rPr>
        <w:t>收入支出决算</w:t>
      </w:r>
      <w:r>
        <w:rPr>
          <w:rFonts w:ascii="黑体" w:eastAsia="黑体"/>
          <w:b w:val="0"/>
          <w:bCs/>
          <w:sz w:val="32"/>
          <w:szCs w:val="32"/>
        </w:rPr>
        <w:t>总体情况说明</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51192.38</w:t>
      </w:r>
      <w:r>
        <w:rPr>
          <w:rFonts w:hint="eastAsia" w:ascii="仿宋_GB2312" w:eastAsia="仿宋_GB2312"/>
          <w:sz w:val="32"/>
          <w:szCs w:val="32"/>
        </w:rPr>
        <w:t>万元，比上年</w:t>
      </w:r>
      <w:r>
        <w:rPr>
          <w:rFonts w:hint="eastAsia" w:ascii="仿宋_GB2312" w:hAnsi="Times New Roman" w:eastAsia="仿宋_GB2312" w:cs="Times New Roman"/>
          <w:sz w:val="32"/>
          <w:szCs w:val="32"/>
          <w:lang w:val="en-US" w:eastAsia="zh-CN"/>
        </w:rPr>
        <w:t>减少1898.79</w:t>
      </w:r>
      <w:r>
        <w:rPr>
          <w:rFonts w:hint="eastAsia" w:ascii="仿宋_GB2312" w:eastAsia="仿宋_GB2312"/>
          <w:sz w:val="32"/>
          <w:szCs w:val="32"/>
        </w:rPr>
        <w:t>万元，</w:t>
      </w:r>
      <w:r>
        <w:rPr>
          <w:rFonts w:hint="eastAsia" w:ascii="仿宋_GB2312" w:hAnsi="Times New Roman" w:eastAsia="仿宋_GB2312" w:cs="Times New Roman"/>
          <w:sz w:val="32"/>
          <w:szCs w:val="32"/>
          <w:lang w:val="en-US" w:eastAsia="zh-CN"/>
        </w:rPr>
        <w:t>下降3.58</w:t>
      </w:r>
      <w:r>
        <w:rPr>
          <w:rFonts w:hint="eastAsia" w:ascii="仿宋_GB2312" w:eastAsia="仿宋_GB2312"/>
          <w:sz w:val="32"/>
          <w:szCs w:val="32"/>
        </w:rPr>
        <w:t>%。主要原因：</w:t>
      </w:r>
      <w:r>
        <w:rPr>
          <w:rFonts w:hint="eastAsia" w:ascii="仿宋_GB2312" w:hAnsi="Times New Roman" w:eastAsia="仿宋_GB2312" w:cs="Times New Roman"/>
          <w:sz w:val="32"/>
          <w:szCs w:val="32"/>
          <w:lang w:val="en-US" w:eastAsia="zh-CN"/>
        </w:rPr>
        <w:t>本年度减少了部分城乡社区方面的项目支出</w:t>
      </w:r>
      <w:r>
        <w:rPr>
          <w:rFonts w:hint="eastAsia" w:ascii="仿宋_GB2312" w:eastAsia="仿宋_GB2312"/>
          <w:sz w:val="32"/>
          <w:szCs w:val="32"/>
        </w:rPr>
        <w:t>。</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年度一般公共预算财政拨款支出</w:t>
      </w:r>
      <w:r>
        <w:rPr>
          <w:rFonts w:ascii="仿宋_GB2312" w:eastAsia="仿宋_GB2312"/>
          <w:sz w:val="32"/>
          <w:szCs w:val="32"/>
        </w:rPr>
        <w:t>41885.08</w:t>
      </w:r>
      <w:r>
        <w:rPr>
          <w:rFonts w:hint="eastAsia" w:ascii="仿宋_GB2312" w:eastAsia="仿宋_GB2312"/>
          <w:sz w:val="32"/>
          <w:szCs w:val="32"/>
        </w:rPr>
        <w:t>万元，主要用于以下方面（按大类）：</w:t>
      </w:r>
      <w:r>
        <w:rPr>
          <w:rFonts w:hint="eastAsia" w:ascii="仿宋_GB2312" w:eastAsia="仿宋_GB2312"/>
          <w:sz w:val="32"/>
          <w:szCs w:val="32"/>
          <w:lang w:eastAsia="zh-CN"/>
        </w:rPr>
        <w:t>社会保障和就业支出</w:t>
      </w:r>
      <w:r>
        <w:rPr>
          <w:rFonts w:hint="eastAsia" w:ascii="仿宋_GB2312" w:eastAsia="仿宋_GB2312"/>
          <w:sz w:val="32"/>
          <w:szCs w:val="32"/>
        </w:rPr>
        <w:t>33366.5</w:t>
      </w:r>
      <w:r>
        <w:rPr>
          <w:rFonts w:hint="eastAsia" w:ascii="仿宋_GB2312" w:eastAsia="仿宋_GB2312"/>
          <w:sz w:val="32"/>
          <w:szCs w:val="32"/>
          <w:lang w:val="en-US" w:eastAsia="zh-CN"/>
        </w:rPr>
        <w:t>6</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79</w:t>
      </w:r>
      <w:r>
        <w:rPr>
          <w:rFonts w:ascii="仿宋_GB2312" w:eastAsia="仿宋_GB2312"/>
          <w:sz w:val="32"/>
          <w:szCs w:val="32"/>
        </w:rPr>
        <w:t>.</w:t>
      </w:r>
      <w:r>
        <w:rPr>
          <w:rFonts w:hint="eastAsia" w:ascii="仿宋_GB2312" w:eastAsia="仿宋_GB2312"/>
          <w:sz w:val="32"/>
          <w:szCs w:val="32"/>
          <w:lang w:val="en-US" w:eastAsia="zh-CN"/>
        </w:rPr>
        <w:t>66</w:t>
      </w:r>
      <w:r>
        <w:rPr>
          <w:rFonts w:hint="eastAsia" w:ascii="仿宋_GB2312" w:eastAsia="仿宋_GB2312"/>
          <w:sz w:val="32"/>
          <w:szCs w:val="32"/>
        </w:rPr>
        <w:t>%；</w:t>
      </w:r>
      <w:r>
        <w:rPr>
          <w:rFonts w:hint="eastAsia" w:ascii="仿宋_GB2312" w:eastAsia="仿宋_GB2312"/>
          <w:sz w:val="32"/>
          <w:szCs w:val="32"/>
          <w:lang w:eastAsia="zh-CN"/>
        </w:rPr>
        <w:t>卫生健康支出365.18万元，占本年财政拨款支出</w:t>
      </w:r>
      <w:r>
        <w:rPr>
          <w:rFonts w:hint="eastAsia" w:ascii="仿宋_GB2312" w:eastAsia="仿宋_GB2312"/>
          <w:sz w:val="32"/>
          <w:szCs w:val="32"/>
          <w:lang w:val="en-US" w:eastAsia="zh-CN"/>
        </w:rPr>
        <w:t>0.87</w:t>
      </w:r>
      <w:r>
        <w:rPr>
          <w:rFonts w:hint="eastAsia" w:ascii="仿宋_GB2312" w:eastAsia="仿宋_GB2312"/>
          <w:sz w:val="32"/>
          <w:szCs w:val="32"/>
          <w:lang w:eastAsia="zh-CN"/>
        </w:rPr>
        <w:t>%；节能环保支出47.</w:t>
      </w:r>
      <w:r>
        <w:rPr>
          <w:rFonts w:hint="eastAsia" w:ascii="仿宋_GB2312" w:eastAsia="仿宋_GB2312"/>
          <w:sz w:val="32"/>
          <w:szCs w:val="32"/>
          <w:lang w:val="en-US" w:eastAsia="zh-CN"/>
        </w:rPr>
        <w:t>10</w:t>
      </w:r>
      <w:r>
        <w:rPr>
          <w:rFonts w:hint="eastAsia" w:ascii="仿宋_GB2312" w:eastAsia="仿宋_GB2312"/>
          <w:sz w:val="32"/>
          <w:szCs w:val="32"/>
          <w:lang w:eastAsia="zh-CN"/>
        </w:rPr>
        <w:t>万元，占本年财政拨款支出</w:t>
      </w:r>
      <w:r>
        <w:rPr>
          <w:rFonts w:hint="eastAsia" w:ascii="仿宋_GB2312" w:eastAsia="仿宋_GB2312"/>
          <w:sz w:val="32"/>
          <w:szCs w:val="32"/>
          <w:lang w:val="en-US" w:eastAsia="zh-CN"/>
        </w:rPr>
        <w:t>0.11</w:t>
      </w:r>
      <w:r>
        <w:rPr>
          <w:rFonts w:hint="eastAsia" w:ascii="仿宋_GB2312" w:eastAsia="仿宋_GB2312"/>
          <w:sz w:val="32"/>
          <w:szCs w:val="32"/>
          <w:lang w:eastAsia="zh-CN"/>
        </w:rPr>
        <w:t>%；城乡社区支出7787.6</w:t>
      </w:r>
      <w:r>
        <w:rPr>
          <w:rFonts w:hint="eastAsia" w:ascii="仿宋_GB2312" w:eastAsia="仿宋_GB2312"/>
          <w:sz w:val="32"/>
          <w:szCs w:val="32"/>
          <w:lang w:val="en-US" w:eastAsia="zh-CN"/>
        </w:rPr>
        <w:t>3</w:t>
      </w:r>
      <w:r>
        <w:rPr>
          <w:rFonts w:hint="eastAsia" w:ascii="仿宋_GB2312" w:eastAsia="仿宋_GB2312"/>
          <w:sz w:val="32"/>
          <w:szCs w:val="32"/>
          <w:lang w:eastAsia="zh-CN"/>
        </w:rPr>
        <w:t>万元，占本年财政拨款支出</w:t>
      </w:r>
      <w:r>
        <w:rPr>
          <w:rFonts w:hint="eastAsia" w:ascii="仿宋_GB2312" w:eastAsia="仿宋_GB2312"/>
          <w:sz w:val="32"/>
          <w:szCs w:val="32"/>
          <w:lang w:val="en-US" w:eastAsia="zh-CN"/>
        </w:rPr>
        <w:t>18.60</w:t>
      </w:r>
      <w:r>
        <w:rPr>
          <w:rFonts w:hint="eastAsia" w:ascii="仿宋_GB2312" w:eastAsia="仿宋_GB2312"/>
          <w:sz w:val="32"/>
          <w:szCs w:val="32"/>
          <w:lang w:eastAsia="zh-CN"/>
        </w:rPr>
        <w:t>%；住房保障支出318.6</w:t>
      </w:r>
      <w:r>
        <w:rPr>
          <w:rFonts w:hint="eastAsia" w:ascii="仿宋_GB2312" w:eastAsia="仿宋_GB2312"/>
          <w:sz w:val="32"/>
          <w:szCs w:val="32"/>
          <w:lang w:val="en-US" w:eastAsia="zh-CN"/>
        </w:rPr>
        <w:t>1</w:t>
      </w:r>
      <w:r>
        <w:rPr>
          <w:rFonts w:hint="eastAsia" w:ascii="仿宋_GB2312" w:eastAsia="仿宋_GB2312"/>
          <w:sz w:val="32"/>
          <w:szCs w:val="32"/>
          <w:lang w:eastAsia="zh-CN"/>
        </w:rPr>
        <w:t>万元，占本年财政拨款支出</w:t>
      </w:r>
      <w:r>
        <w:rPr>
          <w:rFonts w:hint="eastAsia" w:ascii="仿宋_GB2312" w:eastAsia="仿宋_GB2312"/>
          <w:sz w:val="32"/>
          <w:szCs w:val="32"/>
          <w:lang w:val="en-US" w:eastAsia="zh-CN"/>
        </w:rPr>
        <w:t>0.76</w:t>
      </w:r>
      <w:r>
        <w:rPr>
          <w:rFonts w:hint="eastAsia" w:ascii="仿宋_GB2312" w:eastAsia="仿宋_GB2312"/>
          <w:sz w:val="32"/>
          <w:szCs w:val="32"/>
          <w:lang w:eastAsia="zh-CN"/>
        </w:rPr>
        <w:t>%</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社会保障和就业支出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35454</w:t>
      </w:r>
      <w:r>
        <w:rPr>
          <w:rFonts w:ascii="仿宋_GB2312" w:eastAsia="仿宋_GB2312"/>
          <w:sz w:val="32"/>
          <w:szCs w:val="32"/>
        </w:rPr>
        <w:t>.</w:t>
      </w:r>
      <w:r>
        <w:rPr>
          <w:rFonts w:hint="eastAsia" w:ascii="仿宋_GB2312" w:eastAsia="仿宋_GB2312"/>
          <w:sz w:val="32"/>
          <w:szCs w:val="32"/>
          <w:lang w:val="en-US" w:eastAsia="zh-CN"/>
        </w:rPr>
        <w:t>08</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2024年度决算33366.5</w:t>
      </w:r>
      <w:r>
        <w:rPr>
          <w:rFonts w:hint="eastAsia" w:ascii="仿宋_GB2312" w:eastAsia="仿宋_GB2312"/>
          <w:sz w:val="32"/>
          <w:szCs w:val="32"/>
          <w:lang w:val="en-US" w:eastAsia="zh-CN"/>
        </w:rPr>
        <w:t>6</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94</w:t>
      </w:r>
      <w:r>
        <w:rPr>
          <w:rFonts w:ascii="仿宋_GB2312" w:eastAsia="仿宋_GB2312"/>
          <w:sz w:val="32"/>
          <w:szCs w:val="32"/>
        </w:rPr>
        <w:t>.</w:t>
      </w:r>
      <w:r>
        <w:rPr>
          <w:rFonts w:hint="eastAsia" w:ascii="仿宋_GB2312" w:eastAsia="仿宋_GB2312"/>
          <w:sz w:val="32"/>
          <w:szCs w:val="32"/>
          <w:lang w:val="en-US" w:eastAsia="zh-CN"/>
        </w:rPr>
        <w:t>11</w:t>
      </w:r>
      <w:r>
        <w:rPr>
          <w:rFonts w:hint="eastAsia" w:ascii="仿宋_GB2312" w:eastAsia="仿宋_GB2312"/>
          <w:sz w:val="32"/>
          <w:szCs w:val="32"/>
        </w:rPr>
        <w:t>%。其中：</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“行政事业单位养老支出”202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428.43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2024年度决算492.3</w:t>
      </w:r>
      <w:r>
        <w:rPr>
          <w:rFonts w:hint="eastAsia" w:ascii="仿宋_GB2312" w:eastAsia="仿宋_GB2312"/>
          <w:sz w:val="32"/>
          <w:szCs w:val="32"/>
          <w:lang w:val="en-US" w:eastAsia="zh-CN"/>
        </w:rPr>
        <w:t>9</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114.93</w:t>
      </w:r>
      <w:r>
        <w:rPr>
          <w:rFonts w:hint="eastAsia" w:ascii="仿宋_GB2312" w:eastAsia="仿宋_GB2312"/>
          <w:sz w:val="32"/>
          <w:szCs w:val="32"/>
        </w:rPr>
        <w:t>%。主要原因：</w:t>
      </w:r>
      <w:r>
        <w:rPr>
          <w:rFonts w:hint="eastAsia" w:ascii="仿宋_GB2312" w:eastAsia="仿宋_GB2312"/>
          <w:sz w:val="32"/>
          <w:szCs w:val="32"/>
          <w:lang w:val="en-US" w:eastAsia="zh-CN"/>
        </w:rPr>
        <w:t>在职人员增加及社保基数调整</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sz w:val="32"/>
          <w:szCs w:val="32"/>
        </w:rPr>
      </w:pPr>
      <w:r>
        <w:rPr>
          <w:rFonts w:hint="eastAsia" w:ascii="仿宋_GB2312" w:eastAsia="仿宋_GB2312"/>
          <w:sz w:val="32"/>
          <w:szCs w:val="32"/>
          <w:lang w:eastAsia="zh-CN"/>
        </w:rPr>
        <w:t>“社会福利”</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35025.65</w:t>
      </w:r>
      <w:r>
        <w:rPr>
          <w:rFonts w:hint="eastAsia" w:ascii="仿宋_GB2312" w:eastAsia="仿宋_GB2312"/>
          <w:sz w:val="32"/>
          <w:szCs w:val="32"/>
        </w:rPr>
        <w:t>万元</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lang w:eastAsia="zh-CN"/>
        </w:rPr>
        <w:t>年度决算32874.17万元，完成年初预算的</w:t>
      </w:r>
      <w:r>
        <w:rPr>
          <w:rFonts w:hint="eastAsia" w:ascii="仿宋_GB2312" w:eastAsia="仿宋_GB2312"/>
          <w:sz w:val="32"/>
          <w:szCs w:val="32"/>
          <w:lang w:val="en-US" w:eastAsia="zh-CN"/>
        </w:rPr>
        <w:t>93.86</w:t>
      </w:r>
      <w:r>
        <w:rPr>
          <w:rFonts w:hint="eastAsia" w:ascii="仿宋_GB2312" w:eastAsia="仿宋_GB2312"/>
          <w:sz w:val="32"/>
          <w:szCs w:val="32"/>
        </w:rPr>
        <w:t>%</w:t>
      </w:r>
      <w:r>
        <w:rPr>
          <w:rFonts w:hint="eastAsia" w:ascii="仿宋_GB2312" w:eastAsia="仿宋_GB2312"/>
          <w:sz w:val="32"/>
          <w:szCs w:val="32"/>
          <w:lang w:eastAsia="zh-CN"/>
        </w:rPr>
        <w:t>。主要原因：年度内</w:t>
      </w:r>
      <w:r>
        <w:rPr>
          <w:rFonts w:hint="eastAsia" w:ascii="仿宋_GB2312" w:eastAsia="仿宋_GB2312"/>
          <w:sz w:val="32"/>
          <w:szCs w:val="32"/>
          <w:lang w:val="en-US" w:eastAsia="zh-CN"/>
        </w:rPr>
        <w:t>减少</w:t>
      </w:r>
      <w:r>
        <w:rPr>
          <w:rFonts w:hint="eastAsia" w:ascii="仿宋_GB2312" w:eastAsia="仿宋_GB2312"/>
          <w:sz w:val="32"/>
          <w:szCs w:val="32"/>
          <w:lang w:eastAsia="zh-CN"/>
        </w:rPr>
        <w:t>了供热、</w:t>
      </w:r>
      <w:r>
        <w:rPr>
          <w:rFonts w:hint="eastAsia" w:ascii="仿宋_GB2312" w:eastAsia="仿宋_GB2312"/>
          <w:sz w:val="32"/>
          <w:szCs w:val="32"/>
          <w:lang w:val="en-US" w:eastAsia="zh-CN"/>
        </w:rPr>
        <w:t>液化石油气</w:t>
      </w:r>
      <w:r>
        <w:rPr>
          <w:rFonts w:hint="eastAsia" w:ascii="仿宋_GB2312" w:eastAsia="仿宋_GB2312"/>
          <w:sz w:val="32"/>
          <w:szCs w:val="32"/>
          <w:lang w:eastAsia="zh-CN"/>
        </w:rPr>
        <w:t>补贴相关项目的支出。</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2.“</w:t>
      </w:r>
      <w:r>
        <w:rPr>
          <w:rFonts w:hint="eastAsia" w:ascii="仿宋_GB2312" w:eastAsia="仿宋_GB2312"/>
          <w:sz w:val="32"/>
          <w:szCs w:val="32"/>
          <w:lang w:eastAsia="zh-CN"/>
        </w:rPr>
        <w:t>卫生健康支出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335.55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 xml:space="preserve"> 2024年度决算</w:t>
      </w:r>
      <w:r>
        <w:rPr>
          <w:rFonts w:hint="eastAsia" w:ascii="仿宋_GB2312" w:eastAsia="仿宋_GB2312"/>
          <w:sz w:val="32"/>
          <w:szCs w:val="32"/>
          <w:lang w:eastAsia="zh-CN"/>
        </w:rPr>
        <w:t>365.18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108.83</w:t>
      </w:r>
      <w:r>
        <w:rPr>
          <w:rFonts w:hint="eastAsia" w:ascii="仿宋_GB2312" w:eastAsia="仿宋_GB2312"/>
          <w:sz w:val="32"/>
          <w:szCs w:val="32"/>
        </w:rPr>
        <w:t>%。其中：</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“行政事业单位医疗”202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335.55</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2024年度决算</w:t>
      </w:r>
      <w:r>
        <w:rPr>
          <w:rFonts w:hint="eastAsia" w:ascii="仿宋_GB2312" w:eastAsia="仿宋_GB2312"/>
          <w:sz w:val="32"/>
          <w:szCs w:val="32"/>
          <w:lang w:eastAsia="zh-CN"/>
        </w:rPr>
        <w:t>365.18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108.83</w:t>
      </w:r>
      <w:r>
        <w:rPr>
          <w:rFonts w:hint="eastAsia" w:ascii="仿宋_GB2312" w:eastAsia="仿宋_GB2312"/>
          <w:sz w:val="32"/>
          <w:szCs w:val="32"/>
        </w:rPr>
        <w:t>%。主要原因：</w:t>
      </w:r>
      <w:r>
        <w:rPr>
          <w:rFonts w:hint="eastAsia" w:ascii="仿宋_GB2312" w:eastAsia="仿宋_GB2312"/>
          <w:sz w:val="32"/>
          <w:szCs w:val="32"/>
          <w:lang w:val="en-US" w:eastAsia="zh-CN"/>
        </w:rPr>
        <w:t>在职人员增加及社保基数调整</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hint="eastAsia" w:ascii="仿宋_GB2312" w:eastAsia="仿宋_GB2312"/>
          <w:sz w:val="32"/>
          <w:szCs w:val="32"/>
          <w:lang w:eastAsia="zh-CN"/>
        </w:rPr>
        <w:t>“节能环保支出”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lang w:eastAsia="zh-CN"/>
        </w:rPr>
        <w:t>年度决算47.</w:t>
      </w:r>
      <w:r>
        <w:rPr>
          <w:rFonts w:hint="eastAsia" w:ascii="仿宋_GB2312" w:eastAsia="仿宋_GB2312"/>
          <w:sz w:val="32"/>
          <w:szCs w:val="32"/>
          <w:lang w:val="en-US" w:eastAsia="zh-CN"/>
        </w:rPr>
        <w:t>10</w:t>
      </w:r>
      <w:r>
        <w:rPr>
          <w:rFonts w:hint="eastAsia" w:ascii="仿宋_GB2312" w:eastAsia="仿宋_GB2312"/>
          <w:sz w:val="32"/>
          <w:szCs w:val="32"/>
          <w:lang w:eastAsia="zh-CN"/>
        </w:rPr>
        <w:t>万元，完成年初预算的</w:t>
      </w:r>
      <w:r>
        <w:rPr>
          <w:rFonts w:hint="eastAsia" w:ascii="仿宋_GB2312" w:eastAsia="仿宋_GB2312"/>
          <w:sz w:val="32"/>
          <w:szCs w:val="32"/>
          <w:lang w:val="en-US" w:eastAsia="zh-CN"/>
        </w:rPr>
        <w:t>100.00</w:t>
      </w:r>
      <w:r>
        <w:rPr>
          <w:rFonts w:hint="eastAsia" w:ascii="仿宋_GB2312" w:eastAsia="仿宋_GB2312"/>
          <w:sz w:val="32"/>
          <w:szCs w:val="32"/>
        </w:rPr>
        <w:t>%</w:t>
      </w:r>
      <w:r>
        <w:rPr>
          <w:rFonts w:hint="eastAsia" w:ascii="仿宋_GB2312" w:eastAsia="仿宋_GB2312"/>
          <w:sz w:val="32"/>
          <w:szCs w:val="32"/>
          <w:lang w:eastAsia="zh-CN"/>
        </w:rPr>
        <w:t>。其中：</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highlight w:val="none"/>
          <w:lang w:eastAsia="zh-CN"/>
        </w:rPr>
        <w:t>“污染防治”</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年度决算</w:t>
      </w:r>
      <w:r>
        <w:rPr>
          <w:rFonts w:hint="eastAsia" w:ascii="仿宋_GB2312" w:eastAsia="仿宋_GB2312"/>
          <w:sz w:val="32"/>
          <w:szCs w:val="32"/>
          <w:lang w:eastAsia="zh-CN"/>
        </w:rPr>
        <w:t>47.</w:t>
      </w:r>
      <w:r>
        <w:rPr>
          <w:rFonts w:hint="eastAsia" w:ascii="仿宋_GB2312" w:eastAsia="仿宋_GB2312"/>
          <w:sz w:val="32"/>
          <w:szCs w:val="32"/>
          <w:lang w:val="en-US" w:eastAsia="zh-CN"/>
        </w:rPr>
        <w:t>10</w:t>
      </w:r>
      <w:r>
        <w:rPr>
          <w:rFonts w:hint="eastAsia" w:ascii="仿宋_GB2312" w:eastAsia="仿宋_GB2312"/>
          <w:sz w:val="32"/>
          <w:szCs w:val="32"/>
          <w:highlight w:val="none"/>
          <w:lang w:eastAsia="zh-CN"/>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100.00</w:t>
      </w:r>
      <w:r>
        <w:rPr>
          <w:rFonts w:hint="eastAsia" w:ascii="仿宋_GB2312" w:eastAsia="仿宋_GB2312"/>
          <w:sz w:val="32"/>
          <w:szCs w:val="32"/>
        </w:rPr>
        <w:t>%</w:t>
      </w:r>
      <w:r>
        <w:rPr>
          <w:rFonts w:hint="eastAsia" w:ascii="仿宋_GB2312" w:eastAsia="仿宋_GB2312"/>
          <w:sz w:val="32"/>
          <w:szCs w:val="32"/>
          <w:highlight w:val="none"/>
          <w:lang w:eastAsia="zh-CN"/>
        </w:rPr>
        <w:t>。主要原因：</w:t>
      </w:r>
      <w:r>
        <w:rPr>
          <w:rFonts w:hint="eastAsia" w:ascii="仿宋_GB2312" w:eastAsia="仿宋_GB2312"/>
          <w:sz w:val="32"/>
          <w:szCs w:val="32"/>
          <w:highlight w:val="none"/>
          <w:lang w:val="en-US" w:eastAsia="zh-CN"/>
        </w:rPr>
        <w:t>增加了</w:t>
      </w:r>
      <w:r>
        <w:rPr>
          <w:rFonts w:hint="eastAsia" w:ascii="仿宋_GB2312" w:eastAsia="仿宋_GB2312"/>
          <w:sz w:val="32"/>
          <w:szCs w:val="32"/>
          <w:highlight w:val="none"/>
          <w:lang w:eastAsia="zh-CN"/>
        </w:rPr>
        <w:t>尘土残存量检测服务</w:t>
      </w:r>
      <w:r>
        <w:rPr>
          <w:rFonts w:hint="eastAsia" w:ascii="仿宋_GB2312" w:eastAsia="仿宋_GB2312"/>
          <w:sz w:val="32"/>
          <w:szCs w:val="32"/>
          <w:highlight w:val="none"/>
          <w:lang w:val="en-US" w:eastAsia="zh-CN"/>
        </w:rPr>
        <w:t>相关支出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hint="eastAsia" w:ascii="仿宋_GB2312" w:eastAsia="仿宋_GB2312"/>
          <w:sz w:val="32"/>
          <w:szCs w:val="32"/>
          <w:lang w:eastAsia="zh-CN"/>
        </w:rPr>
        <w:t xml:space="preserve">“城乡社区支出” </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14696.08</w:t>
      </w:r>
      <w:r>
        <w:rPr>
          <w:rFonts w:hint="eastAsia" w:ascii="仿宋_GB2312" w:eastAsia="仿宋_GB2312"/>
          <w:sz w:val="32"/>
          <w:szCs w:val="32"/>
        </w:rPr>
        <w:t>万元</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lang w:eastAsia="zh-CN"/>
        </w:rPr>
        <w:t>年度决算7787.6</w:t>
      </w:r>
      <w:r>
        <w:rPr>
          <w:rFonts w:hint="eastAsia" w:ascii="仿宋_GB2312" w:eastAsia="仿宋_GB2312"/>
          <w:sz w:val="32"/>
          <w:szCs w:val="32"/>
          <w:lang w:val="en-US" w:eastAsia="zh-CN"/>
        </w:rPr>
        <w:t>3</w:t>
      </w:r>
      <w:r>
        <w:rPr>
          <w:rFonts w:hint="eastAsia" w:ascii="仿宋_GB2312" w:eastAsia="仿宋_GB2312"/>
          <w:sz w:val="32"/>
          <w:szCs w:val="32"/>
          <w:lang w:eastAsia="zh-CN"/>
        </w:rPr>
        <w:t>万元，完成年初预算的</w:t>
      </w:r>
      <w:r>
        <w:rPr>
          <w:rFonts w:hint="eastAsia" w:ascii="仿宋_GB2312" w:eastAsia="仿宋_GB2312"/>
          <w:sz w:val="32"/>
          <w:szCs w:val="32"/>
          <w:lang w:val="en-US" w:eastAsia="zh-CN"/>
        </w:rPr>
        <w:t>52.99</w:t>
      </w:r>
      <w:r>
        <w:rPr>
          <w:rFonts w:hint="eastAsia" w:ascii="仿宋_GB2312" w:eastAsia="仿宋_GB2312"/>
          <w:sz w:val="32"/>
          <w:szCs w:val="32"/>
        </w:rPr>
        <w:t>%</w:t>
      </w:r>
      <w:r>
        <w:rPr>
          <w:rFonts w:hint="eastAsia" w:ascii="仿宋_GB2312" w:eastAsia="仿宋_GB2312"/>
          <w:sz w:val="32"/>
          <w:szCs w:val="32"/>
          <w:lang w:eastAsia="zh-CN"/>
        </w:rPr>
        <w:t>。其中：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“城乡社区管理事务”</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3448.13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年度决算3440.4</w:t>
      </w:r>
      <w:r>
        <w:rPr>
          <w:rFonts w:hint="eastAsia" w:ascii="仿宋_GB2312" w:eastAsia="仿宋_GB2312"/>
          <w:sz w:val="32"/>
          <w:szCs w:val="32"/>
          <w:highlight w:val="none"/>
          <w:lang w:val="en-US" w:eastAsia="zh-CN"/>
        </w:rPr>
        <w:t>6</w:t>
      </w:r>
      <w:r>
        <w:rPr>
          <w:rFonts w:hint="eastAsia" w:ascii="仿宋_GB2312" w:eastAsia="仿宋_GB2312"/>
          <w:sz w:val="32"/>
          <w:szCs w:val="32"/>
          <w:highlight w:val="none"/>
          <w:lang w:eastAsia="zh-CN"/>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99.78</w:t>
      </w:r>
      <w:r>
        <w:rPr>
          <w:rFonts w:hint="eastAsia" w:ascii="仿宋_GB2312" w:eastAsia="仿宋_GB2312"/>
          <w:sz w:val="32"/>
          <w:szCs w:val="32"/>
        </w:rPr>
        <w:t>%</w:t>
      </w:r>
      <w:r>
        <w:rPr>
          <w:rFonts w:hint="eastAsia" w:ascii="仿宋_GB2312" w:eastAsia="仿宋_GB2312"/>
          <w:sz w:val="32"/>
          <w:szCs w:val="32"/>
          <w:highlight w:val="none"/>
          <w:lang w:eastAsia="zh-CN"/>
        </w:rPr>
        <w:t>。主要原因：</w:t>
      </w:r>
      <w:r>
        <w:rPr>
          <w:rFonts w:hint="eastAsia" w:ascii="仿宋_GB2312" w:eastAsia="仿宋_GB2312"/>
          <w:sz w:val="32"/>
          <w:szCs w:val="32"/>
          <w:highlight w:val="none"/>
          <w:lang w:val="en-US" w:eastAsia="zh-CN"/>
        </w:rPr>
        <w:t>本年度公用经费支出所有减少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highlight w:val="none"/>
          <w:lang w:eastAsia="zh-CN"/>
        </w:rPr>
      </w:pPr>
      <w:r>
        <w:rPr>
          <w:rFonts w:hint="eastAsia" w:ascii="仿宋_GB2312" w:eastAsia="仿宋_GB2312"/>
          <w:sz w:val="32"/>
          <w:szCs w:val="32"/>
          <w:highlight w:val="none"/>
          <w:lang w:eastAsia="zh-CN"/>
        </w:rPr>
        <w:t>“城乡社区公共设施”</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9335.81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年度决算3861.6</w:t>
      </w:r>
      <w:r>
        <w:rPr>
          <w:rFonts w:hint="eastAsia" w:ascii="仿宋_GB2312" w:eastAsia="仿宋_GB2312"/>
          <w:sz w:val="32"/>
          <w:szCs w:val="32"/>
          <w:highlight w:val="none"/>
          <w:lang w:val="en-US" w:eastAsia="zh-CN"/>
        </w:rPr>
        <w:t>7</w:t>
      </w:r>
      <w:r>
        <w:rPr>
          <w:rFonts w:hint="eastAsia" w:ascii="仿宋_GB2312" w:eastAsia="仿宋_GB2312"/>
          <w:sz w:val="32"/>
          <w:szCs w:val="32"/>
          <w:highlight w:val="none"/>
          <w:lang w:eastAsia="zh-CN"/>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41.36</w:t>
      </w:r>
      <w:r>
        <w:rPr>
          <w:rFonts w:hint="eastAsia" w:ascii="仿宋_GB2312" w:eastAsia="仿宋_GB2312"/>
          <w:sz w:val="32"/>
          <w:szCs w:val="32"/>
        </w:rPr>
        <w:t>%</w:t>
      </w:r>
      <w:r>
        <w:rPr>
          <w:rFonts w:hint="eastAsia" w:ascii="仿宋_GB2312" w:eastAsia="仿宋_GB2312"/>
          <w:sz w:val="32"/>
          <w:szCs w:val="32"/>
          <w:highlight w:val="none"/>
          <w:lang w:eastAsia="zh-CN"/>
        </w:rPr>
        <w:t>。主要原因：</w:t>
      </w:r>
      <w:r>
        <w:rPr>
          <w:rFonts w:hint="eastAsia" w:ascii="仿宋_GB2312" w:eastAsia="仿宋_GB2312"/>
          <w:sz w:val="32"/>
          <w:szCs w:val="32"/>
          <w:highlight w:val="none"/>
          <w:lang w:val="en-US" w:eastAsia="zh-CN"/>
        </w:rPr>
        <w:t>按照要求调整了部分项目支出功能科目</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snapToGrid/>
        <w:spacing w:line="560" w:lineRule="exact"/>
        <w:ind w:firstLine="640" w:firstLineChars="200"/>
        <w:jc w:val="both"/>
        <w:textAlignment w:val="auto"/>
        <w:rPr>
          <w:rFonts w:ascii="仿宋_GB2312" w:eastAsia="仿宋_GB2312"/>
          <w:sz w:val="32"/>
          <w:szCs w:val="32"/>
        </w:rPr>
      </w:pPr>
      <w:r>
        <w:rPr>
          <w:rFonts w:hint="eastAsia" w:ascii="仿宋_GB2312" w:eastAsia="仿宋_GB2312"/>
          <w:sz w:val="32"/>
          <w:szCs w:val="32"/>
          <w:highlight w:val="none"/>
          <w:lang w:eastAsia="zh-CN"/>
        </w:rPr>
        <w:t>“城乡社区环境卫生”</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1912.14</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年度决算485.50万元，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25.39</w:t>
      </w:r>
      <w:r>
        <w:rPr>
          <w:rFonts w:hint="eastAsia" w:ascii="仿宋_GB2312" w:eastAsia="仿宋_GB2312"/>
          <w:sz w:val="32"/>
          <w:szCs w:val="32"/>
        </w:rPr>
        <w:t>%</w:t>
      </w:r>
      <w:r>
        <w:rPr>
          <w:rFonts w:hint="eastAsia" w:ascii="仿宋_GB2312" w:eastAsia="仿宋_GB2312"/>
          <w:sz w:val="32"/>
          <w:szCs w:val="32"/>
          <w:highlight w:val="none"/>
          <w:lang w:eastAsia="zh-CN"/>
        </w:rPr>
        <w:t>。主要原因：</w:t>
      </w:r>
      <w:r>
        <w:rPr>
          <w:rFonts w:hint="eastAsia" w:ascii="仿宋_GB2312" w:eastAsia="仿宋_GB2312"/>
          <w:sz w:val="32"/>
          <w:szCs w:val="32"/>
          <w:highlight w:val="none"/>
          <w:lang w:val="en-US" w:eastAsia="zh-CN"/>
        </w:rPr>
        <w:t>部分区域环境整治提升项目支出所有减少</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hint="eastAsia" w:ascii="仿宋_GB2312" w:eastAsia="仿宋_GB2312"/>
          <w:sz w:val="32"/>
          <w:szCs w:val="32"/>
          <w:lang w:eastAsia="zh-CN"/>
        </w:rPr>
        <w:t>“住房保障支出”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w:t>
      </w:r>
      <w:r>
        <w:rPr>
          <w:rFonts w:hint="eastAsia" w:ascii="仿宋_GB2312" w:eastAsia="仿宋_GB2312"/>
          <w:sz w:val="32"/>
          <w:szCs w:val="32"/>
          <w:lang w:eastAsia="zh-CN"/>
        </w:rPr>
        <w:t>，202</w:t>
      </w:r>
      <w:r>
        <w:rPr>
          <w:rFonts w:hint="eastAsia" w:ascii="仿宋_GB2312" w:eastAsia="仿宋_GB2312"/>
          <w:sz w:val="32"/>
          <w:szCs w:val="32"/>
          <w:lang w:val="en-US" w:eastAsia="zh-CN"/>
        </w:rPr>
        <w:t>4</w:t>
      </w:r>
      <w:r>
        <w:rPr>
          <w:rFonts w:hint="eastAsia" w:ascii="仿宋_GB2312" w:eastAsia="仿宋_GB2312"/>
          <w:sz w:val="32"/>
          <w:szCs w:val="32"/>
          <w:lang w:eastAsia="zh-CN"/>
        </w:rPr>
        <w:t>年度决算318.6</w:t>
      </w:r>
      <w:r>
        <w:rPr>
          <w:rFonts w:hint="eastAsia" w:ascii="仿宋_GB2312" w:eastAsia="仿宋_GB2312"/>
          <w:sz w:val="32"/>
          <w:szCs w:val="32"/>
          <w:lang w:val="en-US" w:eastAsia="zh-CN"/>
        </w:rPr>
        <w:t>1</w:t>
      </w:r>
      <w:r>
        <w:rPr>
          <w:rFonts w:hint="eastAsia" w:ascii="仿宋_GB2312" w:eastAsia="仿宋_GB2312"/>
          <w:sz w:val="32"/>
          <w:szCs w:val="32"/>
          <w:lang w:eastAsia="zh-CN"/>
        </w:rPr>
        <w:t>万元，完成年初预算的</w:t>
      </w:r>
      <w:r>
        <w:rPr>
          <w:rFonts w:hint="eastAsia" w:ascii="仿宋_GB2312" w:eastAsia="仿宋_GB2312"/>
          <w:sz w:val="32"/>
          <w:szCs w:val="32"/>
          <w:lang w:val="en-US" w:eastAsia="zh-CN"/>
        </w:rPr>
        <w:t>100.00</w:t>
      </w:r>
      <w:r>
        <w:rPr>
          <w:rFonts w:hint="eastAsia" w:ascii="仿宋_GB2312" w:eastAsia="仿宋_GB2312"/>
          <w:sz w:val="32"/>
          <w:szCs w:val="32"/>
        </w:rPr>
        <w:t>%</w:t>
      </w:r>
      <w:r>
        <w:rPr>
          <w:rFonts w:hint="eastAsia" w:ascii="仿宋_GB2312" w:eastAsia="仿宋_GB2312"/>
          <w:sz w:val="32"/>
          <w:szCs w:val="32"/>
          <w:lang w:eastAsia="zh-CN"/>
        </w:rPr>
        <w:t>。其中：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sz w:val="32"/>
          <w:szCs w:val="32"/>
        </w:rPr>
      </w:pPr>
      <w:r>
        <w:rPr>
          <w:rFonts w:hint="eastAsia" w:ascii="仿宋_GB2312" w:eastAsia="仿宋_GB2312"/>
          <w:sz w:val="32"/>
          <w:szCs w:val="32"/>
          <w:highlight w:val="none"/>
          <w:lang w:eastAsia="zh-CN"/>
        </w:rPr>
        <w:t>“住房改革支出”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0.00</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highlight w:val="none"/>
          <w:lang w:eastAsia="zh-CN"/>
        </w:rPr>
        <w:t>202</w:t>
      </w:r>
      <w:r>
        <w:rPr>
          <w:rFonts w:hint="eastAsia" w:ascii="仿宋_GB2312" w:eastAsia="仿宋_GB2312"/>
          <w:sz w:val="32"/>
          <w:szCs w:val="32"/>
          <w:highlight w:val="none"/>
          <w:lang w:val="en-US" w:eastAsia="zh-CN"/>
        </w:rPr>
        <w:t>4</w:t>
      </w:r>
      <w:r>
        <w:rPr>
          <w:rFonts w:hint="eastAsia" w:ascii="仿宋_GB2312" w:eastAsia="仿宋_GB2312"/>
          <w:sz w:val="32"/>
          <w:szCs w:val="32"/>
          <w:highlight w:val="none"/>
          <w:lang w:eastAsia="zh-CN"/>
        </w:rPr>
        <w:t>年度决算</w:t>
      </w:r>
      <w:r>
        <w:rPr>
          <w:rFonts w:hint="eastAsia" w:ascii="仿宋_GB2312" w:eastAsia="仿宋_GB2312"/>
          <w:sz w:val="32"/>
          <w:szCs w:val="32"/>
          <w:lang w:eastAsia="zh-CN"/>
        </w:rPr>
        <w:t>318.6</w:t>
      </w:r>
      <w:r>
        <w:rPr>
          <w:rFonts w:hint="eastAsia" w:ascii="仿宋_GB2312" w:eastAsia="仿宋_GB2312"/>
          <w:sz w:val="32"/>
          <w:szCs w:val="32"/>
          <w:lang w:val="en-US" w:eastAsia="zh-CN"/>
        </w:rPr>
        <w:t>1</w:t>
      </w:r>
      <w:r>
        <w:rPr>
          <w:rFonts w:hint="eastAsia" w:ascii="仿宋_GB2312" w:eastAsia="仿宋_GB2312"/>
          <w:sz w:val="32"/>
          <w:szCs w:val="32"/>
          <w:highlight w:val="none"/>
          <w:lang w:eastAsia="zh-CN"/>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100.00</w:t>
      </w:r>
      <w:r>
        <w:rPr>
          <w:rFonts w:hint="eastAsia" w:ascii="仿宋_GB2312" w:eastAsia="仿宋_GB2312"/>
          <w:sz w:val="32"/>
          <w:szCs w:val="32"/>
        </w:rPr>
        <w:t>%</w:t>
      </w:r>
      <w:r>
        <w:rPr>
          <w:rFonts w:hint="eastAsia" w:ascii="仿宋_GB2312" w:eastAsia="仿宋_GB2312"/>
          <w:sz w:val="32"/>
          <w:szCs w:val="32"/>
          <w:highlight w:val="none"/>
          <w:lang w:eastAsia="zh-CN"/>
        </w:rPr>
        <w:t>。主要原因：</w:t>
      </w:r>
      <w:r>
        <w:rPr>
          <w:rFonts w:hint="eastAsia" w:ascii="仿宋_GB2312" w:eastAsia="仿宋_GB2312"/>
          <w:sz w:val="32"/>
          <w:szCs w:val="32"/>
          <w:highlight w:val="none"/>
          <w:lang w:val="en-US" w:eastAsia="zh-CN"/>
        </w:rPr>
        <w:t>增加了改革性补贴的支出</w:t>
      </w:r>
      <w:r>
        <w:rPr>
          <w:rFonts w:hint="eastAsia" w:ascii="仿宋_GB2312" w:eastAsia="仿宋_GB2312"/>
          <w:sz w:val="32"/>
          <w:szCs w:val="32"/>
          <w:highlight w:val="none"/>
          <w:lang w:eastAsia="zh-CN"/>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仿宋_GB2312" w:eastAsia="仿宋_GB2312"/>
          <w:b w:val="0"/>
          <w:bCs/>
          <w:sz w:val="32"/>
          <w:szCs w:val="32"/>
        </w:rPr>
      </w:pPr>
      <w:r>
        <w:rPr>
          <w:rFonts w:hint="eastAsia" w:ascii="黑体" w:eastAsia="黑体"/>
          <w:b w:val="0"/>
          <w:bCs/>
          <w:sz w:val="32"/>
          <w:szCs w:val="32"/>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（一）政府性基金预算财政拨款支出决算总体情况</w:t>
      </w:r>
    </w:p>
    <w:p>
      <w:pPr>
        <w:keepNext w:val="0"/>
        <w:keepLines w:val="0"/>
        <w:pageBreakBefore w:val="0"/>
        <w:widowControl w:val="0"/>
        <w:tabs>
          <w:tab w:val="center" w:pos="6979"/>
        </w:tabs>
        <w:kinsoku/>
        <w:wordWrap/>
        <w:overflowPunct/>
        <w:topLinePunct w:val="0"/>
        <w:bidi w:val="0"/>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年度政府性基金预算财政拨款支出</w:t>
      </w:r>
      <w:r>
        <w:rPr>
          <w:rFonts w:ascii="仿宋_GB2312" w:eastAsia="仿宋_GB2312"/>
          <w:sz w:val="32"/>
          <w:szCs w:val="32"/>
        </w:rPr>
        <w:t>9307.3</w:t>
      </w:r>
      <w:r>
        <w:rPr>
          <w:rFonts w:hint="eastAsia" w:ascii="仿宋_GB2312" w:eastAsia="仿宋_GB2312"/>
          <w:sz w:val="32"/>
          <w:szCs w:val="32"/>
          <w:lang w:val="en-US" w:eastAsia="zh-CN"/>
        </w:rPr>
        <w:t>0</w:t>
      </w:r>
      <w:r>
        <w:rPr>
          <w:rFonts w:hint="eastAsia" w:ascii="仿宋_GB2312" w:eastAsia="仿宋_GB2312"/>
          <w:sz w:val="32"/>
          <w:szCs w:val="32"/>
        </w:rPr>
        <w:t>万元，主要用于以下方面（按大类）：城乡社区支出</w:t>
      </w:r>
      <w:r>
        <w:rPr>
          <w:rFonts w:ascii="仿宋_GB2312" w:eastAsia="仿宋_GB2312"/>
          <w:sz w:val="32"/>
          <w:szCs w:val="32"/>
        </w:rPr>
        <w:t>9307.3</w:t>
      </w:r>
      <w:r>
        <w:rPr>
          <w:rFonts w:hint="eastAsia" w:ascii="仿宋_GB2312" w:eastAsia="仿宋_GB2312"/>
          <w:sz w:val="32"/>
          <w:szCs w:val="32"/>
          <w:lang w:val="en-US" w:eastAsia="zh-CN"/>
        </w:rPr>
        <w:t>0</w:t>
      </w:r>
      <w:r>
        <w:rPr>
          <w:rFonts w:hint="eastAsia" w:ascii="仿宋_GB2312" w:eastAsia="仿宋_GB2312"/>
          <w:sz w:val="32"/>
          <w:szCs w:val="32"/>
        </w:rPr>
        <w:t>万元，占本年财政拨款支出</w:t>
      </w:r>
      <w:r>
        <w:rPr>
          <w:rFonts w:hint="eastAsia" w:ascii="仿宋_GB2312" w:eastAsia="仿宋_GB2312"/>
          <w:sz w:val="32"/>
          <w:szCs w:val="32"/>
          <w:lang w:val="en-US" w:eastAsia="zh-CN"/>
        </w:rPr>
        <w:t>100.00</w:t>
      </w:r>
      <w:r>
        <w:rPr>
          <w:rFonts w:hint="eastAsia" w:ascii="仿宋_GB2312" w:eastAsia="仿宋_GB2312"/>
          <w:sz w:val="32"/>
          <w:szCs w:val="32"/>
        </w:rPr>
        <w:t>%。</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left"/>
        <w:textAlignment w:val="auto"/>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1.“城乡社区支出”202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686.63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2024年度决算9307.</w:t>
      </w:r>
      <w:r>
        <w:rPr>
          <w:rFonts w:hint="eastAsia" w:ascii="仿宋_GB2312" w:eastAsia="仿宋_GB2312"/>
          <w:sz w:val="32"/>
          <w:szCs w:val="32"/>
          <w:lang w:val="en-US" w:eastAsia="zh-CN"/>
        </w:rPr>
        <w:t>30</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1355.50</w:t>
      </w:r>
      <w:r>
        <w:rPr>
          <w:rFonts w:hint="eastAsia" w:ascii="仿宋_GB2312" w:eastAsia="仿宋_GB2312"/>
          <w:sz w:val="32"/>
          <w:szCs w:val="32"/>
        </w:rPr>
        <w:t>%。其中：</w:t>
      </w:r>
    </w:p>
    <w:p>
      <w:pPr>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国有土地使用权出让收入安排的支出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686.63</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2024年度决算9307.</w:t>
      </w:r>
      <w:r>
        <w:rPr>
          <w:rFonts w:hint="eastAsia" w:ascii="仿宋_GB2312" w:eastAsia="仿宋_GB2312"/>
          <w:sz w:val="32"/>
          <w:szCs w:val="32"/>
          <w:lang w:val="en-US" w:eastAsia="zh-CN"/>
        </w:rPr>
        <w:t>30</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1355.50</w:t>
      </w:r>
      <w:r>
        <w:rPr>
          <w:rFonts w:hint="eastAsia" w:ascii="仿宋_GB2312" w:eastAsia="仿宋_GB2312"/>
          <w:sz w:val="32"/>
          <w:szCs w:val="32"/>
        </w:rPr>
        <w:t>%。主要原因：</w:t>
      </w:r>
      <w:r>
        <w:rPr>
          <w:rFonts w:hint="eastAsia" w:ascii="仿宋_GB2312" w:eastAsia="仿宋_GB2312"/>
          <w:sz w:val="32"/>
          <w:szCs w:val="32"/>
          <w:lang w:val="en-US" w:eastAsia="zh-CN"/>
        </w:rPr>
        <w:t>按照要求调整了部分项目支出功能科目以及增加了供暖改造、并网等相关支出</w:t>
      </w:r>
      <w:r>
        <w:rPr>
          <w:rFonts w:hint="eastAsia" w:ascii="仿宋_GB2312" w:eastAsia="仿宋_GB2312"/>
          <w:sz w:val="32"/>
          <w:szCs w:val="32"/>
        </w:rPr>
        <w:t>。</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六、国有资本经营预算财</w:t>
      </w:r>
      <w:r>
        <w:rPr>
          <w:rFonts w:ascii="黑体" w:eastAsia="黑体"/>
          <w:b w:val="0"/>
          <w:bCs/>
          <w:sz w:val="32"/>
          <w:szCs w:val="32"/>
        </w:rPr>
        <w:t>政拨款</w:t>
      </w:r>
      <w:r>
        <w:rPr>
          <w:rFonts w:hint="eastAsia" w:ascii="黑体" w:eastAsia="黑体"/>
          <w:b w:val="0"/>
          <w:bCs/>
          <w:sz w:val="32"/>
          <w:szCs w:val="32"/>
        </w:rPr>
        <w:t>收支情况</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年度国有资本经营预算财政</w:t>
      </w:r>
      <w:r>
        <w:rPr>
          <w:rFonts w:ascii="仿宋_GB2312" w:eastAsia="仿宋_GB2312"/>
          <w:sz w:val="32"/>
          <w:szCs w:val="32"/>
        </w:rPr>
        <w:t>拨款</w:t>
      </w:r>
      <w:r>
        <w:rPr>
          <w:rFonts w:hint="eastAsia" w:ascii="仿宋_GB2312" w:eastAsia="仿宋_GB2312"/>
          <w:sz w:val="32"/>
          <w:szCs w:val="32"/>
        </w:rPr>
        <w:t>收入总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万元，国有资本经营预算财政</w:t>
      </w:r>
      <w:r>
        <w:rPr>
          <w:rFonts w:ascii="仿宋_GB2312" w:eastAsia="仿宋_GB2312"/>
          <w:sz w:val="32"/>
          <w:szCs w:val="32"/>
        </w:rPr>
        <w:t>拨款</w:t>
      </w:r>
      <w:r>
        <w:rPr>
          <w:rFonts w:hint="eastAsia" w:ascii="仿宋_GB2312" w:eastAsia="仿宋_GB2312"/>
          <w:sz w:val="32"/>
          <w:szCs w:val="32"/>
        </w:rPr>
        <w:t>支出总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w:t>
      </w:r>
    </w:p>
    <w:p>
      <w:pPr>
        <w:keepNext w:val="0"/>
        <w:keepLines w:val="0"/>
        <w:pageBreakBefore w:val="0"/>
        <w:widowControl w:val="0"/>
        <w:kinsoku/>
        <w:wordWrap/>
        <w:overflowPunct/>
        <w:topLinePunct w:val="0"/>
        <w:bidi w:val="0"/>
        <w:snapToGrid/>
        <w:spacing w:line="560" w:lineRule="exact"/>
        <w:ind w:firstLine="640" w:firstLineChars="200"/>
        <w:textAlignment w:val="auto"/>
        <w:rPr>
          <w:rFonts w:hint="eastAsia" w:ascii="黑体" w:eastAsia="黑体"/>
          <w:b w:val="0"/>
          <w:bCs/>
          <w:sz w:val="32"/>
          <w:szCs w:val="32"/>
        </w:rPr>
      </w:pPr>
      <w:r>
        <w:rPr>
          <w:rFonts w:hint="eastAsia" w:ascii="黑体" w:eastAsia="黑体"/>
          <w:b w:val="0"/>
          <w:bCs/>
          <w:sz w:val="32"/>
          <w:szCs w:val="32"/>
        </w:rPr>
        <w:t>七、财政拨款基本支出决算情况说明</w:t>
      </w:r>
    </w:p>
    <w:p>
      <w:pPr>
        <w:tabs>
          <w:tab w:val="center" w:pos="6979"/>
        </w:tabs>
        <w:spacing w:line="580" w:lineRule="exact"/>
        <w:ind w:firstLine="627" w:firstLineChars="196"/>
        <w:rPr>
          <w:rFonts w:hint="eastAsia" w:ascii="黑体" w:eastAsia="黑体"/>
          <w:b/>
          <w:sz w:val="28"/>
          <w:szCs w:val="28"/>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年度使用一般公共预算财政拨款安排基本支出</w:t>
      </w:r>
      <w:r>
        <w:rPr>
          <w:rFonts w:ascii="仿宋_GB2312" w:eastAsia="仿宋_GB2312"/>
          <w:sz w:val="32"/>
          <w:szCs w:val="32"/>
        </w:rPr>
        <w:t>4394.22</w:t>
      </w:r>
      <w:r>
        <w:rPr>
          <w:rFonts w:hint="eastAsia" w:ascii="仿宋_GB2312" w:eastAsia="仿宋_GB2312"/>
          <w:sz w:val="32"/>
          <w:szCs w:val="32"/>
        </w:rPr>
        <w:t>万元，使用政府性基金财政拨款安排基本支出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万元，（1）工资福利支出包括基本工资、津贴补贴、奖金、绩效工资、</w:t>
      </w:r>
      <w:r>
        <w:rPr>
          <w:rFonts w:hint="eastAsia" w:ascii="仿宋_GB2312" w:eastAsia="仿宋_GB2312"/>
          <w:sz w:val="32"/>
          <w:szCs w:val="32"/>
          <w:lang w:val="en-US" w:eastAsia="zh-CN"/>
        </w:rPr>
        <w:t>机关事业单位基本养老保险缴费、职业年金缴费、职工基本医疗保险缴费、公务员医疗补助缴费、其他社会保障缴费、住房公积金</w:t>
      </w:r>
      <w:r>
        <w:rPr>
          <w:rFonts w:hint="eastAsia" w:ascii="仿宋_GB2312" w:eastAsia="仿宋_GB2312"/>
          <w:sz w:val="32"/>
          <w:szCs w:val="32"/>
        </w:rPr>
        <w:t>；（2）商品和服务支出包括办公费、差旅费、维修（护）费、培训费、劳务费、委托业务费、工会经费、福利费、其他交通费、其他商品和服务支出；（3）对个人和家庭</w:t>
      </w:r>
      <w:r>
        <w:rPr>
          <w:rFonts w:hint="eastAsia" w:ascii="仿宋_GB2312" w:eastAsia="仿宋_GB2312"/>
          <w:sz w:val="32"/>
          <w:szCs w:val="32"/>
          <w:lang w:val="en-US" w:eastAsia="zh-CN"/>
        </w:rPr>
        <w:t>的</w:t>
      </w:r>
      <w:r>
        <w:rPr>
          <w:rFonts w:hint="eastAsia" w:ascii="仿宋_GB2312" w:eastAsia="仿宋_GB2312"/>
          <w:sz w:val="32"/>
          <w:szCs w:val="32"/>
        </w:rPr>
        <w:t>补助支出包括退休费、奖励金。（4）本单位2024年度无资本性支出。</w:t>
      </w:r>
    </w:p>
    <w:p>
      <w:pPr>
        <w:keepNext w:val="0"/>
        <w:keepLines w:val="0"/>
        <w:pageBreakBefore w:val="0"/>
        <w:widowControl w:val="0"/>
        <w:tabs>
          <w:tab w:val="center" w:pos="6979"/>
        </w:tabs>
        <w:kinsoku/>
        <w:wordWrap/>
        <w:overflowPunct/>
        <w:topLinePunct w:val="0"/>
        <w:bidi w:val="0"/>
        <w:snapToGrid/>
        <w:spacing w:line="560" w:lineRule="exact"/>
        <w:ind w:firstLine="560" w:firstLineChars="200"/>
        <w:textAlignment w:val="auto"/>
        <w:rPr>
          <w:rFonts w:hint="eastAsia" w:ascii="黑体" w:eastAsia="黑体"/>
          <w:b/>
          <w:sz w:val="28"/>
          <w:szCs w:val="28"/>
        </w:rPr>
      </w:pPr>
    </w:p>
    <w:p>
      <w:pPr>
        <w:keepNext w:val="0"/>
        <w:keepLines w:val="0"/>
        <w:pageBreakBefore w:val="0"/>
        <w:widowControl w:val="0"/>
        <w:kinsoku/>
        <w:wordWrap/>
        <w:overflowPunct/>
        <w:topLinePunct w:val="0"/>
        <w:autoSpaceDE w:val="0"/>
        <w:autoSpaceDN w:val="0"/>
        <w:bidi w:val="0"/>
        <w:adjustRightInd w:val="0"/>
        <w:snapToGrid/>
        <w:spacing w:line="560" w:lineRule="exact"/>
        <w:jc w:val="both"/>
        <w:textAlignment w:val="auto"/>
        <w:rPr>
          <w:rFonts w:hint="eastAsia" w:ascii="宋体" w:hAnsi="宋体"/>
          <w:b/>
          <w:spacing w:val="40"/>
          <w:sz w:val="32"/>
          <w:szCs w:val="32"/>
        </w:rPr>
      </w:pPr>
      <w:r>
        <w:rPr>
          <w:rFonts w:ascii="仿宋_GB2312" w:eastAsia="仿宋_GB2312"/>
          <w:b/>
          <w:sz w:val="32"/>
          <w:szCs w:val="32"/>
        </w:rPr>
        <w:tab/>
      </w:r>
    </w:p>
    <w:p>
      <w:pPr>
        <w:keepNext w:val="0"/>
        <w:keepLines w:val="0"/>
        <w:pageBreakBefore w:val="0"/>
        <w:widowControl w:val="0"/>
        <w:tabs>
          <w:tab w:val="center" w:pos="6979"/>
        </w:tabs>
        <w:kinsoku/>
        <w:wordWrap/>
        <w:overflowPunct/>
        <w:topLinePunct w:val="0"/>
        <w:bidi w:val="0"/>
        <w:snapToGrid/>
        <w:spacing w:line="560" w:lineRule="exact"/>
        <w:jc w:val="center"/>
        <w:textAlignment w:val="auto"/>
        <w:rPr>
          <w:rFonts w:hint="eastAsia" w:ascii="仿宋_GB2312" w:hAnsi="仿宋_GB2312" w:eastAsia="仿宋_GB2312" w:cs="仿宋_GB2312"/>
          <w:b/>
          <w:spacing w:val="40"/>
          <w:kern w:val="0"/>
          <w:sz w:val="32"/>
          <w:szCs w:val="32"/>
        </w:rPr>
      </w:pPr>
      <w:r>
        <w:rPr>
          <w:rFonts w:hint="eastAsia" w:ascii="仿宋_GB2312" w:hAnsi="仿宋_GB2312" w:eastAsia="仿宋_GB2312" w:cs="仿宋_GB2312"/>
          <w:b/>
          <w:bCs/>
          <w:spacing w:val="40"/>
          <w:kern w:val="0"/>
          <w:sz w:val="32"/>
          <w:szCs w:val="32"/>
        </w:rPr>
        <w:t>第三部分</w:t>
      </w:r>
      <w:r>
        <w:rPr>
          <w:rFonts w:hint="eastAsia" w:ascii="仿宋_GB2312" w:hAnsi="仿宋_GB2312" w:eastAsia="仿宋_GB2312" w:cs="仿宋_GB2312"/>
          <w:b/>
          <w:spacing w:val="40"/>
          <w:sz w:val="32"/>
          <w:szCs w:val="32"/>
        </w:rPr>
        <w:t>202</w:t>
      </w:r>
      <w:r>
        <w:rPr>
          <w:rFonts w:hint="eastAsia" w:ascii="仿宋_GB2312" w:hAnsi="仿宋_GB2312" w:eastAsia="仿宋_GB2312" w:cs="仿宋_GB2312"/>
          <w:b/>
          <w:spacing w:val="40"/>
          <w:sz w:val="32"/>
          <w:szCs w:val="32"/>
          <w:lang w:val="en-US" w:eastAsia="zh-CN"/>
        </w:rPr>
        <w:t>4</w:t>
      </w:r>
      <w:r>
        <w:rPr>
          <w:rFonts w:hint="eastAsia" w:ascii="仿宋_GB2312" w:hAnsi="仿宋_GB2312" w:eastAsia="仿宋_GB2312" w:cs="仿宋_GB2312"/>
          <w:b/>
          <w:spacing w:val="40"/>
          <w:sz w:val="32"/>
          <w:szCs w:val="32"/>
        </w:rPr>
        <w:t>年度</w:t>
      </w:r>
      <w:r>
        <w:rPr>
          <w:rFonts w:hint="eastAsia" w:ascii="仿宋_GB2312" w:hAnsi="仿宋_GB2312" w:eastAsia="仿宋_GB2312" w:cs="仿宋_GB2312"/>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rPr>
        <w:t>一、“三公”经费财政拨款决算情况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2024</w:t>
      </w:r>
      <w:r>
        <w:rPr>
          <w:rFonts w:hint="eastAsia" w:ascii="仿宋_GB2312" w:eastAsia="仿宋_GB2312"/>
          <w:sz w:val="32"/>
          <w:szCs w:val="32"/>
        </w:rPr>
        <w:t>年度“三公”经费财政拨款决算数</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万元，比</w:t>
      </w:r>
      <w:r>
        <w:rPr>
          <w:rFonts w:hint="eastAsia" w:ascii="仿宋_GB2312" w:eastAsia="仿宋_GB2312"/>
          <w:sz w:val="32"/>
          <w:szCs w:val="32"/>
          <w:lang w:eastAsia="zh-CN"/>
        </w:rPr>
        <w:t>2024</w:t>
      </w:r>
      <w:r>
        <w:rPr>
          <w:rFonts w:hint="eastAsia" w:ascii="仿宋_GB2312" w:eastAsia="仿宋_GB2312"/>
          <w:sz w:val="32"/>
          <w:szCs w:val="32"/>
        </w:rPr>
        <w:t>年度“三公”经费财政拨款年初预算</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1.因公出国（境）费用。202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val="en-US" w:eastAsia="zh-CN"/>
        </w:rPr>
        <w:t>本年度无</w:t>
      </w:r>
      <w:r>
        <w:rPr>
          <w:rFonts w:hint="eastAsia" w:ascii="仿宋_GB2312" w:eastAsia="仿宋_GB2312"/>
          <w:sz w:val="32"/>
          <w:szCs w:val="32"/>
        </w:rPr>
        <w:t>因公出国（境）</w:t>
      </w:r>
      <w:r>
        <w:rPr>
          <w:rFonts w:hint="eastAsia" w:ascii="仿宋_GB2312" w:eastAsia="仿宋_GB2312"/>
          <w:sz w:val="32"/>
          <w:szCs w:val="32"/>
          <w:lang w:val="en-US" w:eastAsia="zh-CN"/>
        </w:rPr>
        <w:t>工作安排</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年度因公出国（境）费用主要用于</w:t>
      </w:r>
      <w:r>
        <w:rPr>
          <w:rFonts w:hint="eastAsia" w:ascii="仿宋_GB2312" w:eastAsia="仿宋_GB2312"/>
          <w:sz w:val="32"/>
          <w:szCs w:val="32"/>
          <w:lang w:val="en-US" w:eastAsia="zh-CN"/>
        </w:rPr>
        <w:t>0个</w:t>
      </w:r>
      <w:r>
        <w:rPr>
          <w:rFonts w:hint="eastAsia" w:ascii="仿宋_GB2312" w:eastAsia="仿宋_GB2312"/>
          <w:sz w:val="32"/>
          <w:szCs w:val="32"/>
        </w:rPr>
        <w:t>方面，202</w:t>
      </w:r>
      <w:r>
        <w:rPr>
          <w:rFonts w:hint="eastAsia" w:ascii="仿宋_GB2312" w:eastAsia="仿宋_GB2312"/>
          <w:sz w:val="32"/>
          <w:szCs w:val="32"/>
          <w:lang w:val="en-US" w:eastAsia="zh-CN"/>
        </w:rPr>
        <w:t>4</w:t>
      </w:r>
      <w:r>
        <w:rPr>
          <w:rFonts w:hint="eastAsia" w:ascii="仿宋_GB2312" w:eastAsia="仿宋_GB2312"/>
          <w:sz w:val="32"/>
          <w:szCs w:val="32"/>
        </w:rPr>
        <w:t>年度组织因公出国（境）团组</w:t>
      </w:r>
      <w:r>
        <w:rPr>
          <w:rFonts w:hint="eastAsia" w:ascii="仿宋_GB2312" w:eastAsia="仿宋_GB2312"/>
          <w:sz w:val="32"/>
          <w:szCs w:val="32"/>
          <w:lang w:eastAsia="zh-CN"/>
        </w:rPr>
        <w:t>0</w:t>
      </w:r>
      <w:r>
        <w:rPr>
          <w:rFonts w:hint="eastAsia" w:ascii="仿宋_GB2312" w:eastAsia="仿宋_GB2312"/>
          <w:sz w:val="32"/>
          <w:szCs w:val="32"/>
        </w:rPr>
        <w:t>个、</w:t>
      </w:r>
      <w:r>
        <w:rPr>
          <w:rFonts w:hint="eastAsia" w:ascii="仿宋_GB2312" w:eastAsia="仿宋_GB2312"/>
          <w:sz w:val="32"/>
          <w:szCs w:val="32"/>
          <w:lang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2.公务接待费。202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val="en-US" w:eastAsia="zh-CN"/>
        </w:rPr>
        <w:t>本年度无</w:t>
      </w:r>
      <w:r>
        <w:rPr>
          <w:rFonts w:hint="eastAsia" w:ascii="仿宋_GB2312" w:eastAsia="仿宋_GB2312"/>
          <w:sz w:val="32"/>
          <w:szCs w:val="32"/>
        </w:rPr>
        <w:t>公务接待</w:t>
      </w:r>
      <w:r>
        <w:rPr>
          <w:rFonts w:hint="eastAsia" w:ascii="仿宋_GB2312" w:eastAsia="仿宋_GB2312"/>
          <w:sz w:val="32"/>
          <w:szCs w:val="32"/>
          <w:lang w:val="en-US" w:eastAsia="zh-CN"/>
        </w:rPr>
        <w:t>工作安排</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年度公务接待费主要用于</w:t>
      </w:r>
      <w:r>
        <w:rPr>
          <w:rFonts w:hint="eastAsia" w:ascii="仿宋_GB2312" w:eastAsia="仿宋_GB2312"/>
          <w:sz w:val="32"/>
          <w:szCs w:val="32"/>
          <w:lang w:val="en-US" w:eastAsia="zh-CN"/>
        </w:rPr>
        <w:t>0</w:t>
      </w:r>
      <w:r>
        <w:rPr>
          <w:rFonts w:hint="eastAsia" w:ascii="仿宋_GB2312" w:eastAsia="仿宋_GB2312"/>
          <w:sz w:val="32"/>
          <w:szCs w:val="32"/>
        </w:rPr>
        <w:t>事项。公务接待</w:t>
      </w:r>
      <w:r>
        <w:rPr>
          <w:rFonts w:hint="eastAsia" w:ascii="仿宋_GB2312" w:eastAsia="仿宋_GB2312"/>
          <w:sz w:val="32"/>
          <w:szCs w:val="32"/>
          <w:lang w:eastAsia="zh-CN"/>
        </w:rPr>
        <w:t>0</w:t>
      </w:r>
      <w:r>
        <w:rPr>
          <w:rFonts w:hint="eastAsia" w:ascii="仿宋_GB2312" w:eastAsia="仿宋_GB2312"/>
          <w:sz w:val="32"/>
          <w:szCs w:val="32"/>
        </w:rPr>
        <w:t>批次，公务接待</w:t>
      </w:r>
      <w:r>
        <w:rPr>
          <w:rFonts w:hint="eastAsia" w:ascii="仿宋_GB2312" w:eastAsia="仿宋_GB2312"/>
          <w:sz w:val="32"/>
          <w:szCs w:val="32"/>
          <w:lang w:eastAsia="zh-CN"/>
        </w:rPr>
        <w:t>0</w:t>
      </w:r>
      <w:r>
        <w:rPr>
          <w:rFonts w:hint="eastAsia" w:ascii="仿宋_GB2312" w:eastAsia="仿宋_GB2312"/>
          <w:sz w:val="32"/>
          <w:szCs w:val="32"/>
        </w:rPr>
        <w:t>人次。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3.公务用车购置及运行维护费。202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万元增加（减少）</w:t>
      </w:r>
      <w:r>
        <w:rPr>
          <w:rFonts w:hint="eastAsia" w:ascii="仿宋_GB2312" w:eastAsia="仿宋_GB2312"/>
          <w:sz w:val="32"/>
          <w:szCs w:val="32"/>
          <w:lang w:val="en-US" w:eastAsia="zh-CN"/>
        </w:rPr>
        <w:t>0.00</w:t>
      </w:r>
      <w:r>
        <w:rPr>
          <w:rFonts w:hint="eastAsia" w:ascii="仿宋_GB2312" w:eastAsia="仿宋_GB2312"/>
          <w:sz w:val="32"/>
          <w:szCs w:val="32"/>
        </w:rPr>
        <w:t>万元。其中，公务用车购置费202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lang w:eastAsia="zh-CN"/>
        </w:rPr>
        <w:t>本年度本单位未购置（更新）公务用车</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年度购置（更新）</w:t>
      </w:r>
      <w:r>
        <w:rPr>
          <w:rFonts w:hint="eastAsia" w:ascii="仿宋_GB2312" w:eastAsia="仿宋_GB2312"/>
          <w:sz w:val="32"/>
          <w:szCs w:val="32"/>
          <w:lang w:eastAsia="zh-CN"/>
        </w:rPr>
        <w:t>0</w:t>
      </w:r>
      <w:r>
        <w:rPr>
          <w:rFonts w:hint="eastAsia" w:ascii="仿宋_GB2312" w:eastAsia="仿宋_GB2312"/>
          <w:sz w:val="32"/>
          <w:szCs w:val="32"/>
        </w:rPr>
        <w:t>辆。公务用车运行维护费202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万元，主要原因：</w:t>
      </w:r>
      <w:r>
        <w:rPr>
          <w:rFonts w:hint="eastAsia" w:ascii="仿宋_GB2312" w:eastAsia="仿宋_GB2312"/>
          <w:sz w:val="32"/>
          <w:szCs w:val="32"/>
          <w:highlight w:val="none"/>
          <w:lang w:val="en-US" w:eastAsia="zh-CN"/>
        </w:rPr>
        <w:t>本年度未安排相关支出</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年度公务用车保有量</w:t>
      </w:r>
      <w:r>
        <w:rPr>
          <w:rFonts w:ascii="仿宋_GB2312" w:eastAsia="仿宋_GB2312"/>
          <w:sz w:val="32"/>
          <w:szCs w:val="32"/>
        </w:rPr>
        <w:t>0</w:t>
      </w:r>
      <w:r>
        <w:rPr>
          <w:rFonts w:hint="eastAsia" w:ascii="仿宋_GB2312" w:eastAsia="仿宋_GB2312"/>
          <w:sz w:val="32"/>
          <w:szCs w:val="32"/>
        </w:rPr>
        <w:t>辆。</w:t>
      </w:r>
    </w:p>
    <w:p>
      <w:pPr>
        <w:keepNext w:val="0"/>
        <w:keepLines w:val="0"/>
        <w:pageBreakBefore w:val="0"/>
        <w:widowControl w:val="0"/>
        <w:tabs>
          <w:tab w:val="center" w:pos="6979"/>
        </w:tabs>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rPr>
      </w:pPr>
      <w:r>
        <w:rPr>
          <w:rFonts w:hint="eastAsia" w:ascii="黑体" w:eastAsia="黑体"/>
          <w:sz w:val="32"/>
          <w:szCs w:val="32"/>
        </w:rPr>
        <w:t>二、机关运行经费支出情况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hint="eastAsia" w:ascii="仿宋_GB2312" w:eastAsia="仿宋_GB2312"/>
          <w:sz w:val="32"/>
          <w:szCs w:val="32"/>
          <w:lang w:eastAsia="zh-CN"/>
        </w:rPr>
        <w:t>机关运行经费</w:t>
      </w:r>
      <w:r>
        <w:rPr>
          <w:rFonts w:hint="eastAsia" w:ascii="仿宋_GB2312" w:eastAsia="仿宋_GB2312"/>
          <w:sz w:val="32"/>
          <w:szCs w:val="32"/>
        </w:rPr>
        <w:t>支出合计</w:t>
      </w:r>
      <w:r>
        <w:rPr>
          <w:rFonts w:hint="eastAsia" w:ascii="仿宋_GB2312" w:eastAsia="仿宋_GB2312"/>
          <w:sz w:val="32"/>
          <w:szCs w:val="32"/>
          <w:lang w:val="en-US" w:eastAsia="zh-CN"/>
        </w:rPr>
        <w:t>141.46</w:t>
      </w:r>
      <w:r>
        <w:rPr>
          <w:rFonts w:hint="eastAsia" w:ascii="仿宋_GB2312" w:eastAsia="仿宋_GB2312"/>
          <w:sz w:val="32"/>
          <w:szCs w:val="32"/>
        </w:rPr>
        <w:t>万元，比上年减少</w:t>
      </w:r>
      <w:r>
        <w:rPr>
          <w:rFonts w:hint="eastAsia" w:ascii="仿宋_GB2312" w:eastAsia="仿宋_GB2312"/>
          <w:sz w:val="32"/>
          <w:szCs w:val="32"/>
          <w:lang w:val="en-US" w:eastAsia="zh-CN"/>
        </w:rPr>
        <w:t>29.89</w:t>
      </w:r>
      <w:r>
        <w:rPr>
          <w:rFonts w:hint="eastAsia" w:ascii="仿宋_GB2312" w:eastAsia="仿宋_GB2312"/>
          <w:sz w:val="32"/>
          <w:szCs w:val="32"/>
        </w:rPr>
        <w:t>万元，减少原因：</w:t>
      </w:r>
      <w:r>
        <w:rPr>
          <w:rFonts w:hint="eastAsia" w:ascii="仿宋_GB2312" w:eastAsia="仿宋_GB2312"/>
          <w:sz w:val="32"/>
          <w:szCs w:val="32"/>
          <w:lang w:eastAsia="zh-CN"/>
        </w:rPr>
        <w:t>减少了办公费用等方面支出</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left="540" w:firstLine="640" w:firstLineChars="200"/>
        <w:textAlignment w:val="auto"/>
        <w:rPr>
          <w:rFonts w:hint="eastAsia" w:ascii="黑体" w:eastAsia="黑体"/>
          <w:sz w:val="32"/>
          <w:szCs w:val="32"/>
        </w:rPr>
      </w:pPr>
      <w:r>
        <w:rPr>
          <w:rFonts w:hint="eastAsia" w:ascii="黑体" w:eastAsia="黑体"/>
          <w:sz w:val="32"/>
          <w:szCs w:val="32"/>
        </w:rPr>
        <w:t>三、政府采购支出情况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年度政府采购支出总额</w:t>
      </w:r>
      <w:r>
        <w:rPr>
          <w:rFonts w:ascii="仿宋_GB2312" w:eastAsia="仿宋_GB2312"/>
          <w:sz w:val="32"/>
          <w:szCs w:val="32"/>
        </w:rPr>
        <w:t>803.87</w:t>
      </w:r>
      <w:r>
        <w:rPr>
          <w:rFonts w:hint="eastAsia" w:ascii="仿宋_GB2312" w:eastAsia="仿宋_GB2312"/>
          <w:sz w:val="32"/>
          <w:szCs w:val="32"/>
        </w:rPr>
        <w:t>万元，其中：政府采购货物支出</w:t>
      </w:r>
      <w:r>
        <w:rPr>
          <w:rFonts w:hint="eastAsia" w:ascii="仿宋_GB2312" w:eastAsia="仿宋_GB2312"/>
          <w:sz w:val="32"/>
          <w:szCs w:val="32"/>
          <w:highlight w:val="none"/>
        </w:rPr>
        <w:t>4.57</w:t>
      </w:r>
      <w:r>
        <w:rPr>
          <w:rFonts w:hint="eastAsia" w:ascii="仿宋_GB2312" w:eastAsia="仿宋_GB2312"/>
          <w:sz w:val="32"/>
          <w:szCs w:val="32"/>
        </w:rPr>
        <w:t>万元，政府采购工程支出</w:t>
      </w:r>
      <w:r>
        <w:rPr>
          <w:rFonts w:hint="eastAsia" w:ascii="仿宋_GB2312" w:eastAsia="仿宋_GB2312"/>
          <w:sz w:val="32"/>
          <w:szCs w:val="32"/>
          <w:lang w:val="en-US" w:eastAsia="zh-CN"/>
        </w:rPr>
        <w:t>0.00</w:t>
      </w:r>
      <w:r>
        <w:rPr>
          <w:rFonts w:hint="eastAsia" w:ascii="仿宋_GB2312" w:eastAsia="仿宋_GB2312"/>
          <w:sz w:val="32"/>
          <w:szCs w:val="32"/>
        </w:rPr>
        <w:t>万元，政府采购服务支出</w:t>
      </w:r>
      <w:r>
        <w:rPr>
          <w:rFonts w:hint="eastAsia" w:ascii="仿宋_GB2312" w:eastAsia="仿宋_GB2312"/>
          <w:sz w:val="32"/>
          <w:szCs w:val="32"/>
          <w:highlight w:val="none"/>
        </w:rPr>
        <w:t>799.30</w:t>
      </w:r>
      <w:r>
        <w:rPr>
          <w:rFonts w:hint="eastAsia" w:ascii="仿宋_GB2312" w:eastAsia="仿宋_GB2312"/>
          <w:sz w:val="32"/>
          <w:szCs w:val="32"/>
        </w:rPr>
        <w:t>万元。授予中小企业合同金额</w:t>
      </w:r>
      <w:r>
        <w:rPr>
          <w:rFonts w:ascii="仿宋_GB2312" w:eastAsia="仿宋_GB2312"/>
          <w:sz w:val="32"/>
          <w:szCs w:val="32"/>
        </w:rPr>
        <w:t>803.33</w:t>
      </w:r>
      <w:r>
        <w:rPr>
          <w:rFonts w:hint="eastAsia" w:ascii="仿宋_GB2312" w:eastAsia="仿宋_GB2312"/>
          <w:sz w:val="32"/>
          <w:szCs w:val="32"/>
        </w:rPr>
        <w:t>万元，占政府采购支出总额的</w:t>
      </w:r>
      <w:r>
        <w:rPr>
          <w:rFonts w:hint="eastAsia" w:ascii="仿宋_GB2312" w:eastAsia="仿宋_GB2312"/>
          <w:sz w:val="32"/>
          <w:szCs w:val="32"/>
          <w:lang w:eastAsia="zh-CN"/>
        </w:rPr>
        <w:t>99.93</w:t>
      </w:r>
      <w:r>
        <w:rPr>
          <w:rFonts w:hint="eastAsia" w:ascii="仿宋_GB2312" w:eastAsia="仿宋_GB2312"/>
          <w:sz w:val="32"/>
          <w:szCs w:val="32"/>
        </w:rPr>
        <w:t>%，其中：授予小微企业合同金额</w:t>
      </w:r>
      <w:r>
        <w:rPr>
          <w:rFonts w:ascii="仿宋_GB2312" w:eastAsia="仿宋_GB2312"/>
          <w:sz w:val="32"/>
          <w:szCs w:val="32"/>
        </w:rPr>
        <w:t>801</w:t>
      </w:r>
      <w:r>
        <w:rPr>
          <w:rFonts w:hint="eastAsia" w:ascii="仿宋_GB2312" w:eastAsia="仿宋_GB2312"/>
          <w:sz w:val="32"/>
          <w:szCs w:val="32"/>
          <w:lang w:val="en-US" w:eastAsia="zh-CN"/>
        </w:rPr>
        <w:t>.00</w:t>
      </w:r>
      <w:r>
        <w:rPr>
          <w:rFonts w:hint="eastAsia" w:ascii="仿宋_GB2312" w:eastAsia="仿宋_GB2312"/>
          <w:sz w:val="32"/>
          <w:szCs w:val="32"/>
        </w:rPr>
        <w:t>万元，占政府采购支出总额的</w:t>
      </w:r>
      <w:r>
        <w:rPr>
          <w:rFonts w:ascii="仿宋_GB2312" w:eastAsia="仿宋_GB2312"/>
          <w:sz w:val="32"/>
          <w:szCs w:val="32"/>
        </w:rPr>
        <w:t>99.64</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eastAsia="黑体"/>
          <w:sz w:val="32"/>
          <w:szCs w:val="32"/>
          <w:highlight w:val="yellow"/>
        </w:rPr>
      </w:pPr>
      <w:r>
        <w:rPr>
          <w:rFonts w:hint="eastAsia" w:ascii="黑体" w:eastAsia="黑体"/>
          <w:sz w:val="32"/>
          <w:szCs w:val="32"/>
          <w:highlight w:val="none"/>
        </w:rPr>
        <w:t>四、国有资产占用情况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lang w:val="en-US" w:eastAsia="zh-CN"/>
        </w:rPr>
        <w:t>12月31日，北京市大兴区城市管理委员会（本级）</w:t>
      </w:r>
      <w:r>
        <w:rPr>
          <w:rFonts w:hint="eastAsia" w:ascii="仿宋_GB2312" w:eastAsia="仿宋_GB2312"/>
          <w:sz w:val="32"/>
          <w:szCs w:val="32"/>
          <w:lang w:eastAsia="zh-CN"/>
        </w:rPr>
        <w:t>共有</w:t>
      </w:r>
      <w:r>
        <w:rPr>
          <w:rFonts w:hint="eastAsia" w:ascii="仿宋_GB2312" w:eastAsia="仿宋_GB2312"/>
          <w:sz w:val="32"/>
          <w:szCs w:val="32"/>
        </w:rPr>
        <w:t>车辆</w:t>
      </w:r>
      <w:r>
        <w:rPr>
          <w:rFonts w:hint="eastAsia" w:ascii="仿宋_GB2312" w:eastAsia="仿宋_GB2312"/>
          <w:sz w:val="32"/>
          <w:szCs w:val="32"/>
          <w:lang w:val="en-US" w:eastAsia="zh-CN"/>
        </w:rPr>
        <w:t>2</w:t>
      </w:r>
      <w:r>
        <w:rPr>
          <w:rFonts w:hint="eastAsia" w:ascii="仿宋_GB2312" w:eastAsia="仿宋_GB2312"/>
          <w:sz w:val="32"/>
          <w:szCs w:val="32"/>
        </w:rPr>
        <w:t>台；单位价值100万元</w:t>
      </w:r>
      <w:r>
        <w:rPr>
          <w:rFonts w:hint="eastAsia" w:ascii="仿宋_GB2312" w:eastAsia="仿宋_GB2312"/>
          <w:sz w:val="32"/>
          <w:szCs w:val="32"/>
          <w:lang w:eastAsia="zh-CN"/>
        </w:rPr>
        <w:t>（含）</w:t>
      </w:r>
      <w:r>
        <w:rPr>
          <w:rFonts w:hint="eastAsia" w:ascii="仿宋_GB2312" w:eastAsia="仿宋_GB2312"/>
          <w:sz w:val="32"/>
          <w:szCs w:val="32"/>
        </w:rPr>
        <w:t>以上的设备</w:t>
      </w:r>
      <w:r>
        <w:rPr>
          <w:rFonts w:hint="eastAsia" w:ascii="仿宋_GB2312" w:eastAsia="仿宋_GB2312"/>
          <w:sz w:val="32"/>
          <w:szCs w:val="32"/>
          <w:lang w:val="en-US" w:eastAsia="zh-CN"/>
        </w:rPr>
        <w:t>0</w:t>
      </w:r>
      <w:r>
        <w:rPr>
          <w:rFonts w:hint="eastAsia" w:ascii="仿宋_GB2312" w:eastAsia="仿宋_GB2312"/>
          <w:sz w:val="32"/>
          <w:szCs w:val="32"/>
        </w:rPr>
        <w:t>台（套）。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ascii="黑体" w:eastAsia="黑体"/>
          <w:sz w:val="32"/>
          <w:szCs w:val="32"/>
        </w:rPr>
      </w:pPr>
      <w:r>
        <w:rPr>
          <w:rFonts w:hint="eastAsia" w:ascii="黑体" w:eastAsia="黑体"/>
          <w:sz w:val="32"/>
          <w:szCs w:val="32"/>
        </w:rPr>
        <w:t>五</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ascii="仿宋_GB2312" w:eastAsia="仿宋_GB2312"/>
          <w:sz w:val="32"/>
          <w:szCs w:val="32"/>
        </w:rPr>
        <w:t>政府购买服务决算</w:t>
      </w:r>
      <w:r>
        <w:rPr>
          <w:rFonts w:hint="eastAsia" w:ascii="仿宋_GB2312" w:eastAsia="仿宋_GB2312"/>
          <w:sz w:val="32"/>
          <w:szCs w:val="32"/>
          <w:highlight w:val="none"/>
        </w:rPr>
        <w:t>2681.11</w:t>
      </w:r>
      <w:r>
        <w:rPr>
          <w:rFonts w:hint="eastAsia" w:ascii="仿宋_GB2312" w:eastAsia="仿宋_GB2312"/>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000000"/>
          <w:sz w:val="32"/>
          <w:szCs w:val="32"/>
        </w:rPr>
      </w:pPr>
      <w:r>
        <w:rPr>
          <w:rFonts w:hint="eastAsia" w:ascii="黑体" w:eastAsia="黑体"/>
          <w:sz w:val="32"/>
          <w:szCs w:val="32"/>
        </w:rPr>
        <w:t>六、</w:t>
      </w:r>
      <w:r>
        <w:rPr>
          <w:rFonts w:ascii="黑体" w:eastAsia="黑体"/>
          <w:sz w:val="32"/>
          <w:szCs w:val="32"/>
        </w:rPr>
        <w:t>专业名词解释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w:t>
      </w:r>
      <w:r>
        <w:rPr>
          <w:rFonts w:ascii="仿宋_GB2312" w:hAnsi="宋体" w:eastAsia="仿宋_GB2312"/>
          <w:sz w:val="32"/>
          <w:szCs w:val="32"/>
        </w:rPr>
        <w:t>保障</w:t>
      </w:r>
      <w:r>
        <w:rPr>
          <w:rFonts w:hint="eastAsia" w:ascii="仿宋_GB2312" w:hAnsi="宋体" w:eastAsia="仿宋_GB2312"/>
          <w:sz w:val="32"/>
          <w:szCs w:val="32"/>
        </w:rPr>
        <w:t>行政单位（含参照公务员法管理事业单位）运行用于</w:t>
      </w:r>
      <w:r>
        <w:rPr>
          <w:rFonts w:ascii="仿宋_GB2312" w:hAnsi="宋体" w:eastAsia="仿宋_GB2312"/>
          <w:sz w:val="32"/>
          <w:szCs w:val="32"/>
        </w:rPr>
        <w:t>购买货物和服务的各项资金</w:t>
      </w:r>
      <w:r>
        <w:rPr>
          <w:rFonts w:hint="eastAsia" w:ascii="仿宋_GB2312" w:hAnsi="宋体"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w:t>
      </w:r>
      <w:r>
        <w:rPr>
          <w:rFonts w:ascii="仿宋_GB2312" w:eastAsia="仿宋_GB2312"/>
          <w:sz w:val="32"/>
          <w:szCs w:val="32"/>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rPr>
        <w:t>7.社会保障和就业支出（类）行政事业单位养老支出（款）行政单位离退休（项）：</w:t>
      </w:r>
      <w:r>
        <w:rPr>
          <w:rFonts w:hint="eastAsia" w:ascii="仿宋_GB2312" w:eastAsia="仿宋_GB2312"/>
          <w:sz w:val="32"/>
          <w:szCs w:val="32"/>
          <w:lang w:eastAsia="zh-CN"/>
        </w:rPr>
        <w:t>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8.</w:t>
      </w:r>
      <w:r>
        <w:rPr>
          <w:rFonts w:hint="eastAsia" w:ascii="仿宋_GB2312" w:eastAsia="仿宋_GB2312"/>
          <w:sz w:val="32"/>
          <w:szCs w:val="32"/>
        </w:rPr>
        <w:t>社会保障和就业支出（类）行政事业单位养老支出（款）事业单位离退休（项）</w:t>
      </w:r>
      <w:r>
        <w:rPr>
          <w:rFonts w:hint="eastAsia" w:ascii="仿宋_GB2312" w:eastAsia="仿宋_GB2312"/>
          <w:sz w:val="32"/>
          <w:szCs w:val="32"/>
          <w:lang w:val="en-US" w:eastAsia="zh-CN"/>
        </w:rPr>
        <w:t>:反映事业单位开支的离退休经费。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9.</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eastAsia="仿宋_GB2312"/>
          <w:sz w:val="32"/>
          <w:szCs w:val="32"/>
          <w:lang w:val="en-US" w:eastAsia="zh-CN"/>
        </w:rPr>
        <w:t>:反映机关事业单位实施养老保险制度由单位缴纳的基本养老保险费支出。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10.</w:t>
      </w:r>
      <w:r>
        <w:rPr>
          <w:rFonts w:hint="eastAsia" w:ascii="仿宋_GB2312" w:eastAsia="仿宋_GB2312"/>
          <w:sz w:val="32"/>
          <w:szCs w:val="32"/>
        </w:rPr>
        <w:t>社会保障和就业支出（类）行政事业单位养老支出（款）机关事业单位职业年金缴费支出（项）</w:t>
      </w:r>
      <w:r>
        <w:rPr>
          <w:rFonts w:hint="eastAsia" w:ascii="仿宋_GB2312" w:eastAsia="仿宋_GB2312"/>
          <w:sz w:val="32"/>
          <w:szCs w:val="32"/>
          <w:lang w:val="en-US" w:eastAsia="zh-CN"/>
        </w:rPr>
        <w:t>:反映机关事业单位实施养老保险制度由单位实际缴纳的职业年金支出。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11.</w:t>
      </w:r>
      <w:r>
        <w:rPr>
          <w:rFonts w:hint="eastAsia" w:ascii="仿宋_GB2312" w:eastAsia="仿宋_GB2312"/>
          <w:sz w:val="32"/>
          <w:szCs w:val="32"/>
        </w:rPr>
        <w:t>社会保障和就业支出（类）社会福利（款）其他社会福利支出（项）</w:t>
      </w:r>
      <w:r>
        <w:rPr>
          <w:rFonts w:hint="eastAsia" w:ascii="仿宋_GB2312" w:eastAsia="仿宋_GB2312"/>
          <w:sz w:val="32"/>
          <w:szCs w:val="32"/>
          <w:lang w:val="en-US" w:eastAsia="zh-CN"/>
        </w:rPr>
        <w:t>:反映除上述项目以外其他用于社会福利方面的支出。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12.</w:t>
      </w:r>
      <w:r>
        <w:rPr>
          <w:rFonts w:hint="eastAsia" w:ascii="仿宋_GB2312" w:eastAsia="仿宋_GB2312"/>
          <w:sz w:val="32"/>
          <w:szCs w:val="32"/>
        </w:rPr>
        <w:t>卫生健康支出（类）行政事业单位医疗（款）行政单位医疗（项）：</w:t>
      </w:r>
      <w:r>
        <w:rPr>
          <w:rFonts w:hint="eastAsia" w:ascii="仿宋_GB2312" w:eastAsia="仿宋_GB2312"/>
          <w:sz w:val="32"/>
          <w:szCs w:val="32"/>
          <w:lang w:eastAsia="zh-CN"/>
        </w:rPr>
        <w:t>反映财政部门安排的行政单位（包括实行公务员管理的事业单位，下同）基本医疗保险缴费经费，未参加医疗保险的行政单位的公费医疗经费，按国家规定享受离休人员、红军老战士待遇人员的医疗经费。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13.</w:t>
      </w:r>
      <w:r>
        <w:rPr>
          <w:rFonts w:hint="eastAsia" w:ascii="仿宋_GB2312" w:eastAsia="仿宋_GB2312"/>
          <w:sz w:val="32"/>
          <w:szCs w:val="32"/>
        </w:rPr>
        <w:t>卫生健康支出（类）行政事业单位医疗（款）事业单位医疗（项）：</w:t>
      </w:r>
      <w:r>
        <w:rPr>
          <w:rFonts w:hint="eastAsia" w:ascii="仿宋_GB2312" w:eastAsia="仿宋_GB2312"/>
          <w:sz w:val="32"/>
          <w:szCs w:val="32"/>
          <w:lang w:eastAsia="zh-CN"/>
        </w:rPr>
        <w:t>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14.</w:t>
      </w:r>
      <w:r>
        <w:rPr>
          <w:rFonts w:hint="eastAsia" w:ascii="仿宋_GB2312" w:eastAsia="仿宋_GB2312"/>
          <w:sz w:val="32"/>
          <w:szCs w:val="32"/>
        </w:rPr>
        <w:t>卫生健康支出（类）行政事业单位医疗（款）公务员医疗补助（项）：</w:t>
      </w:r>
      <w:r>
        <w:rPr>
          <w:rFonts w:hint="eastAsia" w:ascii="仿宋_GB2312" w:eastAsia="仿宋_GB2312"/>
          <w:sz w:val="32"/>
          <w:szCs w:val="32"/>
          <w:lang w:eastAsia="zh-CN"/>
        </w:rPr>
        <w:t>反映财政部门安排的公务员医疗补助经费。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sz w:val="32"/>
          <w:szCs w:val="32"/>
          <w:lang w:eastAsia="zh-CN"/>
        </w:rPr>
      </w:pPr>
      <w:r>
        <w:rPr>
          <w:rFonts w:hint="eastAsia" w:ascii="仿宋_GB2312" w:eastAsia="仿宋_GB2312"/>
          <w:sz w:val="32"/>
          <w:szCs w:val="32"/>
          <w:lang w:val="en-US" w:eastAsia="zh-CN"/>
        </w:rPr>
        <w:t>15.</w:t>
      </w:r>
      <w:r>
        <w:rPr>
          <w:rFonts w:hint="eastAsia" w:ascii="仿宋_GB2312" w:eastAsia="仿宋_GB2312"/>
          <w:sz w:val="32"/>
          <w:szCs w:val="32"/>
        </w:rPr>
        <w:t>节能环保支出（类）污染防治（款）大气（项）：</w:t>
      </w:r>
      <w:r>
        <w:rPr>
          <w:rFonts w:hint="eastAsia" w:ascii="仿宋_GB2312" w:eastAsia="仿宋_GB2312"/>
          <w:sz w:val="32"/>
          <w:szCs w:val="32"/>
          <w:lang w:eastAsia="zh-CN"/>
        </w:rPr>
        <w:t>反映</w:t>
      </w:r>
      <w:r>
        <w:rPr>
          <w:rFonts w:hint="eastAsia" w:ascii="仿宋_GB2312" w:eastAsia="仿宋_GB2312"/>
          <w:sz w:val="32"/>
          <w:szCs w:val="32"/>
          <w:lang w:val="en-US" w:eastAsia="zh-CN"/>
        </w:rPr>
        <w:t>政府在治理空气污染、汽车尾气、酸雨、二氧化硫、沙尘暴等方面的支出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16.</w:t>
      </w:r>
      <w:r>
        <w:rPr>
          <w:rFonts w:hint="eastAsia" w:ascii="仿宋_GB2312" w:eastAsia="仿宋_GB2312"/>
          <w:sz w:val="32"/>
          <w:szCs w:val="32"/>
        </w:rPr>
        <w:t>城乡社区支出（类）城乡社区管理事务（款）行政运行（项）：</w:t>
      </w:r>
      <w:r>
        <w:rPr>
          <w:rFonts w:hint="eastAsia" w:ascii="仿宋_GB2312" w:eastAsia="仿宋_GB2312"/>
          <w:sz w:val="32"/>
          <w:szCs w:val="32"/>
          <w:lang w:eastAsia="zh-CN"/>
        </w:rPr>
        <w:t>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17.</w:t>
      </w:r>
      <w:r>
        <w:rPr>
          <w:rFonts w:hint="eastAsia" w:ascii="仿宋_GB2312" w:eastAsia="仿宋_GB2312"/>
          <w:sz w:val="32"/>
          <w:szCs w:val="32"/>
        </w:rPr>
        <w:t>城乡社区支出（类）城乡社区管理事务（款）一般行政管理事务（项）：</w:t>
      </w:r>
      <w:r>
        <w:rPr>
          <w:rFonts w:hint="eastAsia" w:ascii="仿宋_GB2312" w:eastAsia="仿宋_GB2312"/>
          <w:sz w:val="32"/>
          <w:szCs w:val="32"/>
          <w:lang w:eastAsia="zh-CN"/>
        </w:rPr>
        <w:t>反映行政单位（包括实行公务员管理的事业单位）未单独设置项级科目的其他项目支出。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18.</w:t>
      </w:r>
      <w:r>
        <w:rPr>
          <w:rFonts w:hint="eastAsia" w:ascii="仿宋_GB2312" w:eastAsia="仿宋_GB2312"/>
          <w:sz w:val="32"/>
          <w:szCs w:val="32"/>
        </w:rPr>
        <w:t>城乡社区支出（类）城乡社区管理事务（款）其他城乡社区管理事务支出（项）：</w:t>
      </w:r>
      <w:r>
        <w:rPr>
          <w:rFonts w:hint="eastAsia" w:ascii="仿宋_GB2312" w:eastAsia="仿宋_GB2312"/>
          <w:sz w:val="32"/>
          <w:szCs w:val="32"/>
          <w:lang w:eastAsia="zh-CN"/>
        </w:rPr>
        <w:t>反映除上述项目以外其他用于城乡社区管理事务方面的支出。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rPr>
      </w:pPr>
      <w:r>
        <w:rPr>
          <w:rFonts w:hint="eastAsia" w:ascii="仿宋_GB2312" w:eastAsia="仿宋_GB2312"/>
          <w:sz w:val="32"/>
          <w:szCs w:val="32"/>
          <w:lang w:val="en-US" w:eastAsia="zh-CN"/>
        </w:rPr>
        <w:t>19.</w:t>
      </w:r>
      <w:r>
        <w:rPr>
          <w:rFonts w:hint="eastAsia" w:ascii="仿宋_GB2312" w:eastAsia="仿宋_GB2312"/>
          <w:sz w:val="32"/>
          <w:szCs w:val="32"/>
        </w:rPr>
        <w:t>城乡社区支出（类）城乡社区公共设施（款）其他城乡社区公共设施支出（项）</w:t>
      </w:r>
      <w:r>
        <w:rPr>
          <w:rFonts w:hint="eastAsia" w:ascii="仿宋_GB2312" w:eastAsia="仿宋_GB2312"/>
          <w:sz w:val="32"/>
          <w:szCs w:val="32"/>
          <w:lang w:val="en-US" w:eastAsia="zh-CN"/>
        </w:rPr>
        <w:t>:</w:t>
      </w:r>
      <w:r>
        <w:rPr>
          <w:rFonts w:hint="eastAsia" w:ascii="仿宋_GB2312" w:eastAsia="仿宋_GB2312"/>
          <w:sz w:val="32"/>
          <w:szCs w:val="32"/>
          <w:lang w:eastAsia="zh-CN"/>
        </w:rPr>
        <w:t>反映除上述项目以外其他用于城乡社区公共设施方面的支出。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20.</w:t>
      </w:r>
      <w:r>
        <w:rPr>
          <w:rFonts w:hint="eastAsia" w:ascii="仿宋_GB2312" w:eastAsia="仿宋_GB2312"/>
          <w:sz w:val="32"/>
          <w:szCs w:val="32"/>
        </w:rPr>
        <w:t>城乡社区支出（类）城乡社区环境卫生（款）城乡社区环境卫生（项）：</w:t>
      </w:r>
      <w:r>
        <w:rPr>
          <w:rFonts w:hint="eastAsia" w:ascii="仿宋_GB2312" w:eastAsia="仿宋_GB2312"/>
          <w:sz w:val="32"/>
          <w:szCs w:val="32"/>
          <w:lang w:eastAsia="zh-CN"/>
        </w:rPr>
        <w:t>反映城乡社区道路清扫、垃圾清运与处理、公厕建设与维护、园林绿化等方面的支出。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sz w:val="32"/>
          <w:szCs w:val="32"/>
          <w:lang w:eastAsia="zh-CN"/>
        </w:rPr>
      </w:pPr>
      <w:r>
        <w:rPr>
          <w:rFonts w:hint="eastAsia" w:ascii="仿宋_GB2312" w:eastAsia="仿宋_GB2312"/>
          <w:sz w:val="32"/>
          <w:szCs w:val="32"/>
          <w:lang w:val="en-US" w:eastAsia="zh-CN"/>
        </w:rPr>
        <w:t>21.</w:t>
      </w:r>
      <w:r>
        <w:rPr>
          <w:rFonts w:hint="eastAsia" w:ascii="仿宋_GB2312" w:eastAsia="仿宋_GB2312"/>
          <w:sz w:val="32"/>
          <w:szCs w:val="32"/>
        </w:rPr>
        <w:t>城乡社区支出（类）国有土地使用权出让收入安排的支出（款）土地开发支出（项）：</w:t>
      </w:r>
      <w:r>
        <w:rPr>
          <w:rFonts w:hint="eastAsia" w:ascii="仿宋_GB2312" w:eastAsia="仿宋_GB2312"/>
          <w:sz w:val="32"/>
          <w:szCs w:val="32"/>
          <w:lang w:eastAsia="zh-CN"/>
        </w:rPr>
        <w:t>反映</w:t>
      </w:r>
      <w:r>
        <w:rPr>
          <w:rFonts w:hint="eastAsia" w:ascii="仿宋_GB2312" w:eastAsia="仿宋_GB2312"/>
          <w:sz w:val="32"/>
          <w:szCs w:val="32"/>
          <w:lang w:val="en-US" w:eastAsia="zh-CN"/>
        </w:rPr>
        <w:t>新疆生产建设兵团和地方政府用于前期土地开发性支出以及与前期土地开发相关的费用等支出</w:t>
      </w:r>
      <w:r>
        <w:rPr>
          <w:rFonts w:hint="eastAsia" w:ascii="仿宋_GB2312" w:eastAsia="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eastAsia="zh-CN"/>
        </w:rPr>
      </w:pPr>
      <w:r>
        <w:rPr>
          <w:rFonts w:hint="eastAsia" w:ascii="仿宋_GB2312" w:eastAsia="仿宋_GB2312"/>
          <w:sz w:val="32"/>
          <w:szCs w:val="32"/>
          <w:lang w:val="en-US" w:eastAsia="zh-CN"/>
        </w:rPr>
        <w:t>22.</w:t>
      </w:r>
      <w:r>
        <w:rPr>
          <w:rFonts w:hint="eastAsia" w:ascii="仿宋_GB2312" w:eastAsia="仿宋_GB2312"/>
          <w:sz w:val="32"/>
          <w:szCs w:val="32"/>
        </w:rPr>
        <w:t>城乡社区支出（类）国有土地使用权出让收入安排的支出（款）城市建设支出（项）：</w:t>
      </w:r>
      <w:r>
        <w:rPr>
          <w:rFonts w:hint="eastAsia" w:ascii="仿宋_GB2312" w:eastAsia="仿宋_GB2312"/>
          <w:sz w:val="32"/>
          <w:szCs w:val="32"/>
          <w:lang w:eastAsia="zh-CN"/>
        </w:rPr>
        <w:t>反映土地出让收入用于完善国有土地使用功能的配套设施建设和城市基础设施建设支出。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23.城乡社区支出（类）</w:t>
      </w:r>
      <w:r>
        <w:rPr>
          <w:rFonts w:hint="eastAsia" w:ascii="仿宋_GB2312" w:eastAsia="仿宋_GB2312"/>
          <w:sz w:val="32"/>
          <w:szCs w:val="32"/>
        </w:rPr>
        <w:t>国有土地使用权出让收入安排的支出</w:t>
      </w:r>
      <w:r>
        <w:rPr>
          <w:rFonts w:hint="eastAsia" w:ascii="仿宋_GB2312" w:eastAsia="仿宋_GB2312"/>
          <w:sz w:val="32"/>
          <w:szCs w:val="32"/>
          <w:lang w:val="en-US" w:eastAsia="zh-CN"/>
        </w:rPr>
        <w:t>（款）其他国有土地使用权出让收入安排的支出</w:t>
      </w:r>
      <w:r>
        <w:rPr>
          <w:rFonts w:hint="eastAsia" w:ascii="仿宋_GB2312" w:eastAsia="仿宋_GB2312"/>
          <w:sz w:val="32"/>
          <w:szCs w:val="32"/>
        </w:rPr>
        <w:t>（项）</w:t>
      </w:r>
      <w:r>
        <w:rPr>
          <w:rFonts w:hint="eastAsia" w:ascii="仿宋_GB2312" w:eastAsia="仿宋_GB2312"/>
          <w:sz w:val="32"/>
          <w:szCs w:val="32"/>
          <w:lang w:val="en-US" w:eastAsia="zh-CN"/>
        </w:rPr>
        <w:t>：反映土地出让收入用于其他方面的支出。不包括市县级政府当年按规定用土地出让收入向中央和省级政府缴纳的新增建设用地土地有偿使用费的支出。</w:t>
      </w:r>
    </w:p>
    <w:p>
      <w:pPr>
        <w:keepNext w:val="0"/>
        <w:keepLines w:val="0"/>
        <w:pageBreakBefore w:val="0"/>
        <w:widowControl w:val="0"/>
        <w:tabs>
          <w:tab w:val="center" w:pos="6979"/>
        </w:tabs>
        <w:kinsoku/>
        <w:wordWrap/>
        <w:overflowPunct/>
        <w:topLinePunct w:val="0"/>
        <w:autoSpaceDE/>
        <w:autoSpaceDN/>
        <w:bidi w:val="0"/>
        <w:adjustRightInd/>
        <w:snapToGrid/>
        <w:spacing w:before="156" w:beforeLines="50" w:after="156" w:afterLines="50" w:line="560" w:lineRule="exact"/>
        <w:ind w:firstLine="640" w:firstLineChars="200"/>
        <w:jc w:val="both"/>
        <w:textAlignment w:val="auto"/>
        <w:rPr>
          <w:rFonts w:hint="eastAsia" w:ascii="宋体" w:hAnsi="宋体" w:eastAsia="宋体" w:cs="宋体"/>
          <w:b/>
          <w:bCs/>
          <w:spacing w:val="40"/>
          <w:kern w:val="0"/>
          <w:sz w:val="32"/>
          <w:szCs w:val="32"/>
          <w:highlight w:val="none"/>
        </w:rPr>
      </w:pPr>
      <w:r>
        <w:rPr>
          <w:rFonts w:hint="eastAsia" w:ascii="仿宋_GB2312" w:eastAsia="仿宋_GB2312"/>
          <w:sz w:val="32"/>
          <w:szCs w:val="32"/>
          <w:lang w:val="en-US" w:eastAsia="zh-CN"/>
        </w:rPr>
        <w:t>24.住房保障支出（类）住房改革支出（款）购房补贴</w:t>
      </w:r>
      <w:r>
        <w:rPr>
          <w:rFonts w:hint="eastAsia" w:ascii="仿宋_GB2312" w:eastAsia="仿宋_GB2312"/>
          <w:sz w:val="32"/>
          <w:szCs w:val="32"/>
        </w:rPr>
        <w:t>（项）</w:t>
      </w:r>
      <w:r>
        <w:rPr>
          <w:rFonts w:hint="eastAsia" w:ascii="仿宋_GB2312" w:eastAsia="仿宋_GB2312"/>
          <w:sz w:val="32"/>
          <w:szCs w:val="32"/>
          <w:lang w:val="en-US" w:eastAsia="zh-CN"/>
        </w:rPr>
        <w:t>：反映按房改政策规定，行政事业单位向符合条件职工（含离退休人员）、军队（含武警）向转役复员离退休人员发放的用于购买住房的补贴。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pStyle w:val="2"/>
        <w:rPr>
          <w:rFonts w:hint="eastAsia" w:ascii="黑体" w:eastAsia="黑体"/>
          <w:sz w:val="32"/>
          <w:szCs w:val="32"/>
        </w:rPr>
      </w:pPr>
    </w:p>
    <w:p>
      <w:pPr>
        <w:pStyle w:val="3"/>
        <w:rPr>
          <w:rFonts w:hint="eastAsia" w:ascii="黑体" w:eastAsia="黑体"/>
          <w:sz w:val="32"/>
          <w:szCs w:val="32"/>
        </w:rPr>
      </w:pPr>
    </w:p>
    <w:p>
      <w:pPr>
        <w:rPr>
          <w:rFonts w:hint="eastAsia" w:ascii="黑体" w:eastAsia="黑体"/>
          <w:sz w:val="32"/>
          <w:szCs w:val="32"/>
        </w:rPr>
      </w:pPr>
    </w:p>
    <w:p>
      <w:pPr>
        <w:pStyle w:val="2"/>
        <w:rPr>
          <w:rFonts w:hint="eastAsia"/>
        </w:rPr>
      </w:pPr>
    </w:p>
    <w:p>
      <w:pPr>
        <w:ind w:firstLine="640" w:firstLineChars="200"/>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第四部分  202</w:t>
      </w:r>
      <w:r>
        <w:rPr>
          <w:rFonts w:hint="eastAsia" w:ascii="仿宋_GB2312" w:hAnsi="仿宋_GB2312" w:eastAsia="仿宋_GB2312" w:cs="仿宋_GB2312"/>
          <w:b/>
          <w:bCs/>
          <w:sz w:val="32"/>
          <w:szCs w:val="32"/>
          <w:lang w:val="en-US" w:eastAsia="zh-CN"/>
        </w:rPr>
        <w:t>4</w:t>
      </w:r>
      <w:r>
        <w:rPr>
          <w:rFonts w:hint="eastAsia" w:ascii="仿宋_GB2312" w:hAnsi="仿宋_GB2312" w:eastAsia="仿宋_GB2312" w:cs="仿宋_GB2312"/>
          <w:b/>
          <w:bCs/>
          <w:sz w:val="32"/>
          <w:szCs w:val="32"/>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textAlignment w:val="auto"/>
        <w:rPr>
          <w:rFonts w:ascii="黑体" w:eastAsia="黑体"/>
          <w:sz w:val="32"/>
          <w:szCs w:val="32"/>
          <w:highlight w:val="none"/>
        </w:rPr>
      </w:pPr>
      <w:r>
        <w:rPr>
          <w:rFonts w:hint="eastAsia" w:ascii="黑体" w:eastAsia="黑体"/>
          <w:sz w:val="32"/>
          <w:szCs w:val="32"/>
          <w:highlight w:val="none"/>
        </w:rPr>
        <w:t>项目</w:t>
      </w:r>
      <w:r>
        <w:rPr>
          <w:rFonts w:ascii="黑体" w:eastAsia="黑体"/>
          <w:sz w:val="32"/>
          <w:szCs w:val="32"/>
          <w:highlight w:val="none"/>
        </w:rPr>
        <w:t>支出绩效自评表</w:t>
      </w:r>
      <w:r>
        <w:rPr>
          <w:rFonts w:hint="eastAsia" w:ascii="黑体" w:eastAsia="黑体"/>
          <w:sz w:val="32"/>
          <w:szCs w:val="32"/>
          <w:highlight w:val="none"/>
          <w:lang w:eastAsia="zh-CN"/>
        </w:rPr>
        <w:t>（详见附件）</w:t>
      </w:r>
    </w:p>
    <w:p>
      <w:pPr>
        <w:spacing w:line="480" w:lineRule="exact"/>
      </w:pPr>
    </w:p>
    <w:sectPr>
      <w:footerReference r:id="rId4" w:type="default"/>
      <w:footerReference r:id="rId5" w:type="even"/>
      <w:pgSz w:w="16838" w:h="11906" w:orient="landscape"/>
      <w:pgMar w:top="1440" w:right="1474" w:bottom="1440" w:left="147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3</w:t>
    </w:r>
    <w:r>
      <w:fldChar w:fldCharType="end"/>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5</w:t>
    </w:r>
    <w:r>
      <w:fldChar w:fldCharType="end"/>
    </w:r>
  </w:p>
  <w:p>
    <w:pPr>
      <w:pStyle w:val="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center" w:y="1"/>
      <w:rPr>
        <w:rStyle w:val="14"/>
      </w:rPr>
    </w:pPr>
    <w:r>
      <w:fldChar w:fldCharType="begin"/>
    </w:r>
    <w:r>
      <w:rPr>
        <w:rStyle w:val="14"/>
      </w:rPr>
      <w:instrText xml:space="preserve">PAGE  </w:instrText>
    </w:r>
    <w:r>
      <w:fldChar w:fldCharType="separate"/>
    </w:r>
    <w:r>
      <w:rPr>
        <w:rStyle w:val="14"/>
      </w:rPr>
      <w:t>15</w:t>
    </w:r>
    <w: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44E24"/>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3BF1D49"/>
    <w:rsid w:val="04C3537C"/>
    <w:rsid w:val="05724C16"/>
    <w:rsid w:val="060742F2"/>
    <w:rsid w:val="075B72D5"/>
    <w:rsid w:val="079004AC"/>
    <w:rsid w:val="082166C9"/>
    <w:rsid w:val="0828562D"/>
    <w:rsid w:val="08D90F88"/>
    <w:rsid w:val="0BA148CA"/>
    <w:rsid w:val="0BCB1A94"/>
    <w:rsid w:val="0C1165C4"/>
    <w:rsid w:val="0C5B2DDC"/>
    <w:rsid w:val="0D6D544B"/>
    <w:rsid w:val="0DD136FE"/>
    <w:rsid w:val="0E0E03EC"/>
    <w:rsid w:val="0F542F2C"/>
    <w:rsid w:val="0F7B37AC"/>
    <w:rsid w:val="0F8E2C57"/>
    <w:rsid w:val="1059665E"/>
    <w:rsid w:val="10A76B94"/>
    <w:rsid w:val="10AC13BA"/>
    <w:rsid w:val="12511136"/>
    <w:rsid w:val="145A6C1B"/>
    <w:rsid w:val="14B73493"/>
    <w:rsid w:val="14DE15E6"/>
    <w:rsid w:val="14E147DA"/>
    <w:rsid w:val="14E64BC8"/>
    <w:rsid w:val="158262AB"/>
    <w:rsid w:val="167A2FF9"/>
    <w:rsid w:val="1764587C"/>
    <w:rsid w:val="18581C69"/>
    <w:rsid w:val="18B35E97"/>
    <w:rsid w:val="18B40653"/>
    <w:rsid w:val="18E60F68"/>
    <w:rsid w:val="194B7834"/>
    <w:rsid w:val="1A47621B"/>
    <w:rsid w:val="1AC16ADE"/>
    <w:rsid w:val="1AEC0734"/>
    <w:rsid w:val="1BD75E2D"/>
    <w:rsid w:val="1C6D1035"/>
    <w:rsid w:val="1DEF20B0"/>
    <w:rsid w:val="1F402AB0"/>
    <w:rsid w:val="1FF7AB17"/>
    <w:rsid w:val="20562FD0"/>
    <w:rsid w:val="214243FA"/>
    <w:rsid w:val="21AD613C"/>
    <w:rsid w:val="22467189"/>
    <w:rsid w:val="229B7910"/>
    <w:rsid w:val="235F785F"/>
    <w:rsid w:val="23A52CC3"/>
    <w:rsid w:val="257A14F5"/>
    <w:rsid w:val="27196C26"/>
    <w:rsid w:val="2890679C"/>
    <w:rsid w:val="28DC7082"/>
    <w:rsid w:val="296F24DB"/>
    <w:rsid w:val="29EF086F"/>
    <w:rsid w:val="2BBC6D29"/>
    <w:rsid w:val="2BC34C59"/>
    <w:rsid w:val="2DF34FB2"/>
    <w:rsid w:val="2E717891"/>
    <w:rsid w:val="2EF00145"/>
    <w:rsid w:val="2EFFE297"/>
    <w:rsid w:val="2F8E2402"/>
    <w:rsid w:val="2F946C1F"/>
    <w:rsid w:val="301437CA"/>
    <w:rsid w:val="308818E7"/>
    <w:rsid w:val="30A37489"/>
    <w:rsid w:val="31493B89"/>
    <w:rsid w:val="32513BCA"/>
    <w:rsid w:val="32766B9B"/>
    <w:rsid w:val="32844E33"/>
    <w:rsid w:val="349D1F0A"/>
    <w:rsid w:val="34DD0473"/>
    <w:rsid w:val="35255942"/>
    <w:rsid w:val="379E1017"/>
    <w:rsid w:val="37FE03D5"/>
    <w:rsid w:val="38A56B31"/>
    <w:rsid w:val="3A8E35DC"/>
    <w:rsid w:val="3C684897"/>
    <w:rsid w:val="3DA52B99"/>
    <w:rsid w:val="3DE83A8B"/>
    <w:rsid w:val="3DF9397A"/>
    <w:rsid w:val="3E361ECA"/>
    <w:rsid w:val="3EF033D7"/>
    <w:rsid w:val="3FF41843"/>
    <w:rsid w:val="407E7871"/>
    <w:rsid w:val="40A66214"/>
    <w:rsid w:val="425B1E11"/>
    <w:rsid w:val="42A32A1B"/>
    <w:rsid w:val="42AE0241"/>
    <w:rsid w:val="43324326"/>
    <w:rsid w:val="433E495C"/>
    <w:rsid w:val="43A83D66"/>
    <w:rsid w:val="44643261"/>
    <w:rsid w:val="45B869C4"/>
    <w:rsid w:val="4604247F"/>
    <w:rsid w:val="47505187"/>
    <w:rsid w:val="47C52227"/>
    <w:rsid w:val="47E45F49"/>
    <w:rsid w:val="47E64C9E"/>
    <w:rsid w:val="48154E04"/>
    <w:rsid w:val="489F2FD7"/>
    <w:rsid w:val="4A313E81"/>
    <w:rsid w:val="4AC27CB3"/>
    <w:rsid w:val="4BF72BEF"/>
    <w:rsid w:val="4C174E38"/>
    <w:rsid w:val="4EE716D5"/>
    <w:rsid w:val="4FA90297"/>
    <w:rsid w:val="4FC41A43"/>
    <w:rsid w:val="50180336"/>
    <w:rsid w:val="5033513B"/>
    <w:rsid w:val="519E3743"/>
    <w:rsid w:val="51DB3C59"/>
    <w:rsid w:val="53ED195D"/>
    <w:rsid w:val="53F04AAB"/>
    <w:rsid w:val="550C0952"/>
    <w:rsid w:val="556C7817"/>
    <w:rsid w:val="55762E42"/>
    <w:rsid w:val="56013C19"/>
    <w:rsid w:val="562347E3"/>
    <w:rsid w:val="577B6127"/>
    <w:rsid w:val="57A7B272"/>
    <w:rsid w:val="58470068"/>
    <w:rsid w:val="58747CAC"/>
    <w:rsid w:val="589A7C83"/>
    <w:rsid w:val="59214468"/>
    <w:rsid w:val="5A1720F9"/>
    <w:rsid w:val="5AA67149"/>
    <w:rsid w:val="5B9C37C2"/>
    <w:rsid w:val="5B9D1DC6"/>
    <w:rsid w:val="5BA7C654"/>
    <w:rsid w:val="5DC62DFA"/>
    <w:rsid w:val="5DF716AE"/>
    <w:rsid w:val="5F9F507E"/>
    <w:rsid w:val="60416BFF"/>
    <w:rsid w:val="60A54109"/>
    <w:rsid w:val="61893747"/>
    <w:rsid w:val="61D01CDF"/>
    <w:rsid w:val="63BA4044"/>
    <w:rsid w:val="64A840B9"/>
    <w:rsid w:val="64C0607C"/>
    <w:rsid w:val="65316E17"/>
    <w:rsid w:val="65756C86"/>
    <w:rsid w:val="674D385B"/>
    <w:rsid w:val="676F09E1"/>
    <w:rsid w:val="684A37F8"/>
    <w:rsid w:val="68B01905"/>
    <w:rsid w:val="6D2E4CC4"/>
    <w:rsid w:val="6D784F3A"/>
    <w:rsid w:val="6E2C59E6"/>
    <w:rsid w:val="6F203098"/>
    <w:rsid w:val="71691990"/>
    <w:rsid w:val="71793A80"/>
    <w:rsid w:val="71E0298C"/>
    <w:rsid w:val="72D36F87"/>
    <w:rsid w:val="730E4826"/>
    <w:rsid w:val="7357290B"/>
    <w:rsid w:val="75344881"/>
    <w:rsid w:val="756E3DEA"/>
    <w:rsid w:val="75BC3688"/>
    <w:rsid w:val="76FB1693"/>
    <w:rsid w:val="772B75AD"/>
    <w:rsid w:val="779E31D7"/>
    <w:rsid w:val="798524E4"/>
    <w:rsid w:val="79D53AAE"/>
    <w:rsid w:val="79F236CA"/>
    <w:rsid w:val="7A1529B0"/>
    <w:rsid w:val="7A3E033C"/>
    <w:rsid w:val="7A7F1C49"/>
    <w:rsid w:val="7AEC6146"/>
    <w:rsid w:val="7B5B7AE6"/>
    <w:rsid w:val="7B7B6628"/>
    <w:rsid w:val="7BA7071E"/>
    <w:rsid w:val="7BDF6DA8"/>
    <w:rsid w:val="7C7EDC1A"/>
    <w:rsid w:val="7CCED98D"/>
    <w:rsid w:val="7D08410F"/>
    <w:rsid w:val="7D86333B"/>
    <w:rsid w:val="7DB96DED"/>
    <w:rsid w:val="7DD3AD81"/>
    <w:rsid w:val="7DFFF77E"/>
    <w:rsid w:val="7E8027FD"/>
    <w:rsid w:val="7EB606BC"/>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2">
    <w:name w:val="Default Paragraph Font"/>
    <w:unhideWhenUsed/>
    <w:qFormat/>
    <w:uiPriority w:val="1"/>
  </w:style>
  <w:style w:type="table" w:default="1" w:styleId="15">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0"/>
    <w:pPr>
      <w:spacing w:after="140" w:line="276" w:lineRule="auto"/>
    </w:pPr>
  </w:style>
  <w:style w:type="paragraph" w:customStyle="1" w:styleId="3">
    <w:name w:val="toc 11"/>
    <w:next w:val="1"/>
    <w:qFormat/>
    <w:uiPriority w:val="0"/>
    <w:pPr>
      <w:wordWrap w:val="0"/>
      <w:jc w:val="both"/>
    </w:pPr>
    <w:rPr>
      <w:rFonts w:ascii="Times New Roman" w:hAnsi="Times New Roman" w:eastAsia="宋体" w:cs="Times New Roman"/>
      <w:sz w:val="21"/>
      <w:szCs w:val="22"/>
      <w:lang w:val="en-US" w:eastAsia="zh-CN" w:bidi="ar-SA"/>
    </w:rPr>
  </w:style>
  <w:style w:type="paragraph" w:styleId="5">
    <w:name w:val="Normal Indent"/>
    <w:basedOn w:val="1"/>
    <w:qFormat/>
    <w:uiPriority w:val="0"/>
    <w:pPr>
      <w:ind w:firstLine="200" w:firstLineChars="200"/>
    </w:pPr>
  </w:style>
  <w:style w:type="paragraph" w:styleId="6">
    <w:name w:val="Body Text Indent"/>
    <w:basedOn w:val="1"/>
    <w:qFormat/>
    <w:uiPriority w:val="0"/>
    <w:pPr>
      <w:ind w:firstLine="645"/>
    </w:pPr>
    <w:rPr>
      <w:rFonts w:ascii="仿宋_GB2312" w:hAnsi="Calibri" w:eastAsia="仿宋_GB2312"/>
      <w:sz w:val="32"/>
      <w:szCs w:val="32"/>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link w:val="16"/>
    <w:qFormat/>
    <w:uiPriority w:val="0"/>
    <w:pPr>
      <w:tabs>
        <w:tab w:val="center" w:pos="4153"/>
        <w:tab w:val="right" w:pos="8306"/>
      </w:tabs>
      <w:snapToGrid w:val="0"/>
      <w:jc w:val="left"/>
    </w:pPr>
    <w:rPr>
      <w:sz w:val="18"/>
      <w:szCs w:val="18"/>
    </w:rPr>
  </w:style>
  <w:style w:type="paragraph" w:styleId="10">
    <w:name w:val="header"/>
    <w:basedOn w:val="1"/>
    <w:link w:val="17"/>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11">
    <w:name w:val="Normal (Web)"/>
    <w:basedOn w:val="1"/>
    <w:unhideWhenUsed/>
    <w:qFormat/>
    <w:uiPriority w:val="0"/>
    <w:pPr>
      <w:spacing w:before="100" w:beforeAutospacing="1" w:after="100" w:afterAutospacing="1"/>
      <w:ind w:right="238"/>
      <w:jc w:val="left"/>
    </w:pPr>
    <w:rPr>
      <w:b/>
      <w:kern w:val="0"/>
      <w:sz w:val="24"/>
      <w:szCs w:val="20"/>
    </w:rPr>
  </w:style>
  <w:style w:type="character" w:styleId="13">
    <w:name w:val="Strong"/>
    <w:qFormat/>
    <w:uiPriority w:val="0"/>
    <w:rPr>
      <w:b/>
    </w:rPr>
  </w:style>
  <w:style w:type="character" w:styleId="14">
    <w:name w:val="page number"/>
    <w:qFormat/>
    <w:uiPriority w:val="0"/>
  </w:style>
  <w:style w:type="character" w:customStyle="1" w:styleId="16">
    <w:name w:val="页脚 Char"/>
    <w:link w:val="9"/>
    <w:qFormat/>
    <w:uiPriority w:val="0"/>
    <w:rPr>
      <w:rFonts w:eastAsia="宋体"/>
      <w:kern w:val="2"/>
      <w:sz w:val="18"/>
      <w:szCs w:val="18"/>
      <w:lang w:val="en-US" w:eastAsia="zh-CN" w:bidi="ar-SA"/>
    </w:rPr>
  </w:style>
  <w:style w:type="character" w:customStyle="1" w:styleId="17">
    <w:name w:val="页眉 Char"/>
    <w:link w:val="10"/>
    <w:qFormat/>
    <w:uiPriority w:val="0"/>
    <w:rPr>
      <w:rFonts w:ascii="Calibri" w:hAnsi="Calibri" w:eastAsia="宋体"/>
      <w:kern w:val="2"/>
      <w:sz w:val="18"/>
      <w:szCs w:val="18"/>
      <w:lang w:val="en-US" w:eastAsia="zh-CN" w:bidi="ar-SA"/>
    </w:rPr>
  </w:style>
  <w:style w:type="paragraph" w:customStyle="1" w:styleId="18">
    <w:name w:val="Char Char Char Char Char Char Char"/>
    <w:basedOn w:val="1"/>
    <w:qFormat/>
    <w:uiPriority w:val="0"/>
    <w:rPr>
      <w:rFonts w:ascii="Tahoma" w:hAnsi="Tahoma"/>
      <w:sz w:val="24"/>
      <w:szCs w:val="20"/>
    </w:rPr>
  </w:style>
  <w:style w:type="paragraph" w:customStyle="1" w:styleId="19">
    <w:name w:val="Char1 Char Char Char"/>
    <w:basedOn w:val="1"/>
    <w:qFormat/>
    <w:uiPriority w:val="0"/>
    <w:pPr>
      <w:widowControl/>
      <w:spacing w:after="160" w:line="240" w:lineRule="exact"/>
      <w:jc w:val="left"/>
    </w:pPr>
    <w:rPr>
      <w:szCs w:val="20"/>
    </w:rPr>
  </w:style>
  <w:style w:type="paragraph" w:customStyle="1" w:styleId="20">
    <w:name w:val="Char"/>
    <w:basedOn w:val="1"/>
    <w:qFormat/>
    <w:uiPriority w:val="0"/>
    <w:rPr>
      <w:rFonts w:ascii="Tahoma" w:hAnsi="Tahoma"/>
      <w:sz w:val="24"/>
      <w:szCs w:val="20"/>
    </w:rPr>
  </w:style>
  <w:style w:type="paragraph" w:customStyle="1" w:styleId="21">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50873.76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4394.22</c:v>
                </c:pt>
                <c:pt idx="1">
                  <c:v>46798.16</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chy</cp:lastModifiedBy>
  <cp:lastPrinted>2020-08-09T03:39:00Z</cp:lastPrinted>
  <dcterms:modified xsi:type="dcterms:W3CDTF">2025-11-07T07:36:58Z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