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年度部门决算（</w:t>
      </w:r>
      <w:r>
        <w:rPr>
          <w:rFonts w:hint="eastAsia" w:ascii="方正小标宋简体" w:hAnsi="方正小标宋简体" w:eastAsia="方正小标宋简体" w:cs="方正小标宋简体"/>
          <w:sz w:val="44"/>
          <w:szCs w:val="44"/>
          <w:lang w:val="en-US" w:eastAsia="zh-CN"/>
        </w:rPr>
        <w:t>公开</w:t>
      </w:r>
      <w:r>
        <w:rPr>
          <w:rFonts w:hint="eastAsia" w:ascii="方正小标宋简体" w:hAnsi="方正小标宋简体" w:eastAsia="方正小标宋简体" w:cs="方正小标宋简体"/>
          <w:sz w:val="44"/>
          <w:szCs w:val="44"/>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第一部分 202</w:t>
      </w:r>
      <w:r>
        <w:rPr>
          <w:rFonts w:hint="eastAsia" w:ascii="仿宋_GB2312" w:hAnsi="仿宋_GB2312" w:eastAsia="仿宋_GB2312" w:cs="仿宋_GB2312"/>
          <w:bCs/>
          <w:spacing w:val="40"/>
          <w:kern w:val="0"/>
          <w:sz w:val="32"/>
          <w:szCs w:val="32"/>
          <w:lang w:val="en-US" w:eastAsia="zh-CN"/>
        </w:rPr>
        <w:t>4</w:t>
      </w:r>
      <w:r>
        <w:rPr>
          <w:rFonts w:hint="eastAsia" w:ascii="仿宋_GB2312" w:hAnsi="仿宋_GB2312" w:eastAsia="仿宋_GB2312" w:cs="仿宋_GB2312"/>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_GB2312" w:eastAsia="仿宋_GB2312" w:cs="仿宋_GB2312"/>
          <w:spacing w:val="40"/>
          <w:sz w:val="32"/>
          <w:szCs w:val="32"/>
        </w:rPr>
      </w:pPr>
      <w:r>
        <w:rPr>
          <w:rFonts w:hint="eastAsia" w:ascii="仿宋_GB2312" w:hAnsi="仿宋_GB2312" w:eastAsia="仿宋_GB2312" w:cs="仿宋_GB2312"/>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六、一般公共预算财政拨款基本支出决算表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eastAsia="zh-CN"/>
        </w:rPr>
        <w:t>七</w:t>
      </w:r>
      <w:r>
        <w:rPr>
          <w:rFonts w:hint="eastAsia" w:ascii="仿宋_GB2312" w:hAnsi="仿宋_GB2312" w:eastAsia="仿宋_GB2312" w:cs="仿宋_GB2312"/>
          <w:bCs/>
          <w:spacing w:val="40"/>
          <w:kern w:val="0"/>
          <w:sz w:val="32"/>
          <w:szCs w:val="32"/>
        </w:rPr>
        <w:t>、政府性基金预算财政拨款收入支出决算表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eastAsia="zh-CN"/>
        </w:rPr>
        <w:t>八</w:t>
      </w:r>
      <w:r>
        <w:rPr>
          <w:rFonts w:hint="eastAsia" w:ascii="仿宋_GB2312" w:hAnsi="仿宋_GB2312" w:eastAsia="仿宋_GB2312" w:cs="仿宋_GB2312"/>
          <w:bCs/>
          <w:spacing w:val="40"/>
          <w:kern w:val="0"/>
          <w:sz w:val="32"/>
          <w:szCs w:val="32"/>
        </w:rPr>
        <w:t>、政府性基金预算财政拨款基本支出决算表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eastAsia="zh-CN"/>
        </w:rPr>
        <w:t>九</w:t>
      </w:r>
      <w:r>
        <w:rPr>
          <w:rFonts w:hint="eastAsia" w:ascii="仿宋_GB2312" w:hAnsi="仿宋_GB2312" w:eastAsia="仿宋_GB2312" w:cs="仿宋_GB2312"/>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十、财政拨款“三公”经费支出决算表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十</w:t>
      </w:r>
      <w:r>
        <w:rPr>
          <w:rFonts w:hint="eastAsia" w:ascii="仿宋_GB2312" w:hAnsi="仿宋_GB2312" w:eastAsia="仿宋_GB2312" w:cs="仿宋_GB2312"/>
          <w:bCs/>
          <w:spacing w:val="40"/>
          <w:kern w:val="0"/>
          <w:sz w:val="32"/>
          <w:szCs w:val="32"/>
          <w:lang w:eastAsia="zh-CN"/>
        </w:rPr>
        <w:t>二</w:t>
      </w:r>
      <w:r>
        <w:rPr>
          <w:rFonts w:hint="eastAsia" w:ascii="仿宋_GB2312" w:hAnsi="仿宋_GB2312" w:eastAsia="仿宋_GB2312" w:cs="仿宋_GB2312"/>
          <w:bCs/>
          <w:spacing w:val="40"/>
          <w:kern w:val="0"/>
          <w:sz w:val="32"/>
          <w:szCs w:val="32"/>
        </w:rPr>
        <w:t>、政府购买服务决算公开情况表</w:t>
      </w:r>
    </w:p>
    <w:p>
      <w:pPr>
        <w:tabs>
          <w:tab w:val="center" w:pos="6979"/>
        </w:tabs>
        <w:spacing w:line="500" w:lineRule="exact"/>
        <w:ind w:firstLine="1600" w:firstLineChars="4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 xml:space="preserve">第二部分 </w:t>
      </w:r>
      <w:r>
        <w:rPr>
          <w:rFonts w:hint="eastAsia" w:ascii="仿宋_GB2312" w:hAnsi="仿宋_GB2312" w:eastAsia="仿宋_GB2312" w:cs="仿宋_GB2312"/>
          <w:spacing w:val="40"/>
          <w:sz w:val="32"/>
          <w:szCs w:val="32"/>
        </w:rPr>
        <w:t>202</w:t>
      </w:r>
      <w:r>
        <w:rPr>
          <w:rFonts w:hint="eastAsia" w:ascii="仿宋_GB2312" w:hAnsi="仿宋_GB2312" w:eastAsia="仿宋_GB2312" w:cs="仿宋_GB2312"/>
          <w:spacing w:val="40"/>
          <w:sz w:val="32"/>
          <w:szCs w:val="32"/>
          <w:lang w:val="en-US" w:eastAsia="zh-CN"/>
        </w:rPr>
        <w:t>4</w:t>
      </w:r>
      <w:r>
        <w:rPr>
          <w:rFonts w:hint="eastAsia" w:ascii="仿宋_GB2312" w:hAnsi="仿宋_GB2312" w:eastAsia="仿宋_GB2312" w:cs="仿宋_GB2312"/>
          <w:spacing w:val="40"/>
          <w:sz w:val="32"/>
          <w:szCs w:val="32"/>
        </w:rPr>
        <w:t>年度部门决算说明</w:t>
      </w:r>
    </w:p>
    <w:p>
      <w:pPr>
        <w:tabs>
          <w:tab w:val="center" w:pos="6979"/>
        </w:tabs>
        <w:spacing w:line="500" w:lineRule="exact"/>
        <w:ind w:firstLine="1600" w:firstLineChars="400"/>
        <w:jc w:val="left"/>
        <w:rPr>
          <w:rFonts w:hint="eastAsia" w:ascii="仿宋_GB2312" w:hAnsi="仿宋_GB2312" w:eastAsia="仿宋_GB2312" w:cs="仿宋_GB2312"/>
          <w:spacing w:val="40"/>
          <w:kern w:val="0"/>
          <w:sz w:val="32"/>
          <w:szCs w:val="32"/>
        </w:rPr>
      </w:pPr>
      <w:r>
        <w:rPr>
          <w:rFonts w:hint="eastAsia" w:ascii="仿宋_GB2312" w:hAnsi="仿宋_GB2312" w:eastAsia="仿宋_GB2312" w:cs="仿宋_GB2312"/>
          <w:bCs/>
          <w:spacing w:val="40"/>
          <w:kern w:val="0"/>
          <w:sz w:val="32"/>
          <w:szCs w:val="32"/>
        </w:rPr>
        <w:t xml:space="preserve">第三部分 </w:t>
      </w:r>
      <w:r>
        <w:rPr>
          <w:rFonts w:hint="eastAsia" w:ascii="仿宋_GB2312" w:hAnsi="仿宋_GB2312" w:eastAsia="仿宋_GB2312" w:cs="仿宋_GB2312"/>
          <w:spacing w:val="40"/>
          <w:sz w:val="32"/>
          <w:szCs w:val="32"/>
        </w:rPr>
        <w:t>202</w:t>
      </w:r>
      <w:r>
        <w:rPr>
          <w:rFonts w:hint="eastAsia" w:ascii="仿宋_GB2312" w:hAnsi="仿宋_GB2312" w:eastAsia="仿宋_GB2312" w:cs="仿宋_GB2312"/>
          <w:spacing w:val="40"/>
          <w:sz w:val="32"/>
          <w:szCs w:val="32"/>
          <w:lang w:val="en-US" w:eastAsia="zh-CN"/>
        </w:rPr>
        <w:t>4</w:t>
      </w:r>
      <w:r>
        <w:rPr>
          <w:rFonts w:hint="eastAsia" w:ascii="仿宋_GB2312" w:hAnsi="仿宋_GB2312" w:eastAsia="仿宋_GB2312" w:cs="仿宋_GB2312"/>
          <w:spacing w:val="40"/>
          <w:sz w:val="32"/>
          <w:szCs w:val="32"/>
        </w:rPr>
        <w:t>年度</w:t>
      </w:r>
      <w:r>
        <w:rPr>
          <w:rFonts w:hint="eastAsia" w:ascii="仿宋_GB2312" w:hAnsi="仿宋_GB2312" w:eastAsia="仿宋_GB2312" w:cs="仿宋_GB2312"/>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仿宋_GB2312" w:hAnsi="仿宋_GB2312" w:eastAsia="仿宋_GB2312" w:cs="仿宋_GB2312"/>
          <w:spacing w:val="40"/>
          <w:kern w:val="0"/>
          <w:sz w:val="32"/>
          <w:szCs w:val="32"/>
        </w:rPr>
        <w:t>第四部分 202</w:t>
      </w:r>
      <w:r>
        <w:rPr>
          <w:rFonts w:hint="eastAsia" w:ascii="仿宋_GB2312" w:hAnsi="仿宋_GB2312" w:eastAsia="仿宋_GB2312" w:cs="仿宋_GB2312"/>
          <w:spacing w:val="40"/>
          <w:kern w:val="0"/>
          <w:sz w:val="32"/>
          <w:szCs w:val="32"/>
          <w:lang w:val="en-US" w:eastAsia="zh-CN"/>
        </w:rPr>
        <w:t>4</w:t>
      </w:r>
      <w:r>
        <w:rPr>
          <w:rFonts w:hint="eastAsia" w:ascii="仿宋_GB2312" w:hAnsi="仿宋_GB2312" w:eastAsia="仿宋_GB2312" w:cs="仿宋_GB2312"/>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rPr>
          <w:rFonts w:ascii="宋体" w:hAnsi="宋体" w:cs="宋体"/>
          <w:b/>
          <w:bCs/>
          <w:spacing w:val="40"/>
          <w:kern w:val="0"/>
          <w:sz w:val="32"/>
          <w:szCs w:val="32"/>
        </w:rPr>
      </w:pPr>
    </w:p>
    <w:p>
      <w:pPr>
        <w:rPr>
          <w:rFonts w:ascii="宋体" w:hAnsi="宋体" w:cs="宋体"/>
          <w:b/>
          <w:bCs/>
          <w:spacing w:val="40"/>
          <w:kern w:val="0"/>
          <w:sz w:val="32"/>
          <w:szCs w:val="32"/>
        </w:rPr>
      </w:pPr>
    </w:p>
    <w:p>
      <w:pPr>
        <w:pStyle w:val="2"/>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仿宋_GB2312" w:hAnsi="仿宋_GB2312" w:eastAsia="仿宋_GB2312" w:cs="仿宋_GB2312"/>
          <w:b/>
          <w:bCs/>
          <w:spacing w:val="40"/>
          <w:kern w:val="0"/>
          <w:sz w:val="32"/>
          <w:szCs w:val="32"/>
        </w:rPr>
        <w:t xml:space="preserve">第一部分 </w:t>
      </w:r>
      <w:r>
        <w:rPr>
          <w:rFonts w:hint="eastAsia" w:ascii="仿宋_GB2312" w:hAnsi="仿宋_GB2312" w:eastAsia="仿宋_GB2312" w:cs="仿宋_GB2312"/>
          <w:b/>
          <w:bCs/>
          <w:spacing w:val="40"/>
          <w:kern w:val="0"/>
          <w:sz w:val="32"/>
          <w:szCs w:val="32"/>
          <w:lang w:eastAsia="zh-CN"/>
        </w:rPr>
        <w:t>2024</w:t>
      </w:r>
      <w:r>
        <w:rPr>
          <w:rFonts w:hint="eastAsia" w:ascii="仿宋_GB2312" w:hAnsi="仿宋_GB2312" w:eastAsia="仿宋_GB2312" w:cs="仿宋_GB2312"/>
          <w:b/>
          <w:bCs/>
          <w:spacing w:val="40"/>
          <w:kern w:val="0"/>
          <w:sz w:val="32"/>
          <w:szCs w:val="32"/>
        </w:rPr>
        <w:t>年度部门决算报表</w:t>
      </w:r>
    </w:p>
    <w:p>
      <w:pPr>
        <w:pStyle w:val="2"/>
        <w:keepNext/>
        <w:keepLines/>
        <w:pageBreakBefore w:val="0"/>
        <w:widowControl w:val="0"/>
        <w:kinsoku/>
        <w:wordWrap/>
        <w:overflowPunct/>
        <w:topLinePunct w:val="0"/>
        <w:autoSpaceDE/>
        <w:autoSpaceDN/>
        <w:bidi w:val="0"/>
        <w:adjustRightInd/>
        <w:snapToGrid/>
        <w:ind w:firstLine="560" w:firstLineChars="200"/>
        <w:textAlignment w:val="auto"/>
        <w:rPr>
          <w:b w:val="0"/>
          <w:bCs w:val="0"/>
        </w:rPr>
        <w:sectPr>
          <w:footerReference r:id="rId3" w:type="default"/>
          <w:pgSz w:w="16838" w:h="11906" w:orient="landscape"/>
          <w:pgMar w:top="1440" w:right="1474" w:bottom="1440" w:left="147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32"/>
          <w:szCs w:val="32"/>
        </w:rPr>
        <w:t xml:space="preserve"> </w:t>
      </w:r>
      <w:r>
        <w:rPr>
          <w:rFonts w:hint="eastAsia" w:ascii="仿宋_GB2312" w:eastAsia="仿宋_GB2312"/>
          <w:b w:val="0"/>
          <w:bCs w:val="0"/>
          <w:sz w:val="32"/>
          <w:szCs w:val="32"/>
        </w:rPr>
        <w:t>报表详见附件。</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line="560" w:lineRule="exact"/>
        <w:ind w:firstLine="800" w:firstLineChars="200"/>
        <w:jc w:val="center"/>
        <w:textAlignment w:val="auto"/>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一、单位基本情况</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kern w:val="0"/>
          <w:sz w:val="32"/>
          <w:szCs w:val="32"/>
          <w:lang w:eastAsia="zh-CN"/>
        </w:rPr>
      </w:pPr>
      <w:r>
        <w:rPr>
          <w:rFonts w:hint="eastAsia" w:ascii="楷体_GB2312" w:hAnsi="楷体_GB2312" w:eastAsia="楷体_GB2312" w:cs="楷体_GB2312"/>
          <w:sz w:val="32"/>
          <w:szCs w:val="32"/>
        </w:rPr>
        <w:t>（一）</w:t>
      </w:r>
      <w:r>
        <w:rPr>
          <w:rFonts w:hint="eastAsia" w:ascii="楷体_GB2312" w:hAnsi="楷体_GB2312" w:eastAsia="楷体_GB2312" w:cs="楷体_GB2312"/>
          <w:sz w:val="32"/>
          <w:szCs w:val="32"/>
          <w:lang w:eastAsia="zh-CN"/>
        </w:rPr>
        <w:t>单位职责</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kern w:val="0"/>
          <w:sz w:val="32"/>
          <w:szCs w:val="32"/>
        </w:rPr>
      </w:pPr>
      <w:r>
        <w:rPr>
          <w:rFonts w:hint="eastAsia" w:ascii="仿宋_GB2312" w:eastAsia="仿宋_GB2312"/>
          <w:kern w:val="0"/>
          <w:sz w:val="32"/>
          <w:szCs w:val="32"/>
        </w:rPr>
        <w:t>北京市大兴区机动车公共停车场管理事务中心单位职责为协助机关做好本区经营性停车场、临时占道停车位、公共自行车管理等方面辅助性、事务性工作；协助机关开展本区新能源汽车充电站（桩）的建设和运营管理方面辅助性、事务性工作。</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lang w:eastAsia="zh-CN"/>
        </w:rPr>
      </w:pPr>
      <w:r>
        <w:rPr>
          <w:rFonts w:hint="eastAsia" w:ascii="楷体_GB2312" w:hAnsi="楷体_GB2312" w:eastAsia="楷体_GB2312" w:cs="楷体_GB2312"/>
          <w:sz w:val="32"/>
          <w:szCs w:val="32"/>
          <w:lang w:eastAsia="zh-CN"/>
        </w:rPr>
        <w:t>（二）机构设置情况</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default" w:ascii="仿宋_GB2312" w:eastAsia="仿宋_GB2312"/>
          <w:kern w:val="0"/>
          <w:sz w:val="32"/>
          <w:szCs w:val="32"/>
          <w:lang w:val="en-US" w:eastAsia="zh-CN"/>
        </w:rPr>
      </w:pPr>
      <w:r>
        <w:rPr>
          <w:rFonts w:hint="eastAsia" w:ascii="仿宋_GB2312" w:eastAsia="仿宋_GB2312"/>
          <w:kern w:val="0"/>
          <w:sz w:val="32"/>
          <w:szCs w:val="32"/>
        </w:rPr>
        <w:t>北京市大兴区机动车公共停车场管理事务中心</w:t>
      </w:r>
      <w:r>
        <w:rPr>
          <w:rFonts w:hint="eastAsia" w:ascii="仿宋_GB2312" w:eastAsia="仿宋_GB2312"/>
          <w:kern w:val="0"/>
          <w:sz w:val="32"/>
          <w:szCs w:val="32"/>
          <w:lang w:val="en-US" w:eastAsia="zh-CN"/>
        </w:rPr>
        <w:t>1个</w:t>
      </w:r>
      <w:r>
        <w:rPr>
          <w:rFonts w:hint="eastAsia" w:ascii="仿宋_GB2312" w:eastAsia="仿宋_GB2312"/>
          <w:kern w:val="0"/>
          <w:sz w:val="32"/>
          <w:szCs w:val="32"/>
          <w:lang w:eastAsia="zh-CN"/>
        </w:rPr>
        <w:t>内设机构，</w:t>
      </w:r>
      <w:r>
        <w:rPr>
          <w:rFonts w:hint="eastAsia" w:ascii="仿宋_GB2312" w:eastAsia="仿宋_GB2312"/>
          <w:kern w:val="0"/>
          <w:sz w:val="32"/>
          <w:szCs w:val="32"/>
          <w:lang w:val="en-US" w:eastAsia="zh-CN"/>
        </w:rPr>
        <w:t>为停车中心。</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黑体" w:eastAsia="黑体"/>
          <w:b/>
          <w:sz w:val="28"/>
          <w:szCs w:val="28"/>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32"/>
          <w:szCs w:val="32"/>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345.77</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增加16.9</w:t>
      </w:r>
      <w:r>
        <w:rPr>
          <w:rFonts w:hint="eastAsia" w:ascii="仿宋_GB2312" w:eastAsia="仿宋_GB2312"/>
          <w:sz w:val="32"/>
          <w:szCs w:val="32"/>
          <w:lang w:val="en-US" w:eastAsia="zh-CN"/>
        </w:rPr>
        <w:t>5</w:t>
      </w:r>
      <w:r>
        <w:rPr>
          <w:rFonts w:hint="eastAsia" w:ascii="仿宋_GB2312" w:eastAsia="仿宋_GB2312"/>
          <w:sz w:val="32"/>
          <w:szCs w:val="32"/>
        </w:rPr>
        <w:t>万元，增长5.1</w:t>
      </w:r>
      <w:r>
        <w:rPr>
          <w:rFonts w:hint="eastAsia" w:ascii="仿宋_GB2312" w:eastAsia="仿宋_GB2312"/>
          <w:sz w:val="32"/>
          <w:szCs w:val="32"/>
          <w:lang w:val="en-US" w:eastAsia="zh-CN"/>
        </w:rPr>
        <w:t>5</w:t>
      </w:r>
      <w:r>
        <w:rPr>
          <w:rFonts w:hint="eastAsia" w:ascii="仿宋_GB2312" w:eastAsia="仿宋_GB2312"/>
          <w:sz w:val="32"/>
          <w:szCs w:val="32"/>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（一）收入决算说明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年度本年收入合计</w:t>
      </w:r>
      <w:r>
        <w:rPr>
          <w:rFonts w:ascii="仿宋_GB2312" w:eastAsia="仿宋_GB2312"/>
          <w:sz w:val="32"/>
          <w:szCs w:val="32"/>
        </w:rPr>
        <w:t>321.48</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lang w:eastAsia="zh-CN"/>
        </w:rPr>
        <w:t>减少</w:t>
      </w:r>
      <w:r>
        <w:rPr>
          <w:rFonts w:hint="eastAsia" w:ascii="仿宋_GB2312" w:eastAsia="仿宋_GB2312"/>
          <w:sz w:val="32"/>
          <w:szCs w:val="32"/>
        </w:rPr>
        <w:t>7.34万元，</w:t>
      </w:r>
      <w:r>
        <w:rPr>
          <w:rFonts w:hint="eastAsia" w:ascii="仿宋_GB2312" w:eastAsia="仿宋_GB2312"/>
          <w:sz w:val="32"/>
          <w:szCs w:val="32"/>
          <w:lang w:eastAsia="zh-CN"/>
        </w:rPr>
        <w:t>下降</w:t>
      </w:r>
      <w:r>
        <w:rPr>
          <w:rFonts w:hint="eastAsia" w:ascii="仿宋_GB2312" w:eastAsia="仿宋_GB2312"/>
          <w:sz w:val="32"/>
          <w:szCs w:val="32"/>
        </w:rPr>
        <w:t>2.23%</w:t>
      </w:r>
      <w:r>
        <w:rPr>
          <w:rFonts w:hint="eastAsia" w:ascii="仿宋_GB2312" w:eastAsia="仿宋_GB2312"/>
          <w:sz w:val="32"/>
          <w:szCs w:val="32"/>
          <w:lang w:eastAsia="zh-CN"/>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财政拨款收入</w:t>
      </w:r>
      <w:r>
        <w:rPr>
          <w:rFonts w:ascii="仿宋_GB2312" w:eastAsia="仿宋_GB2312"/>
          <w:sz w:val="32"/>
          <w:szCs w:val="32"/>
        </w:rPr>
        <w:t>321.48</w:t>
      </w:r>
      <w:r>
        <w:rPr>
          <w:rFonts w:hint="eastAsia" w:ascii="仿宋_GB2312" w:eastAsia="仿宋_GB2312"/>
          <w:sz w:val="32"/>
          <w:szCs w:val="32"/>
        </w:rPr>
        <w:t>万元，占收入合计的</w:t>
      </w:r>
      <w:r>
        <w:rPr>
          <w:rFonts w:hint="eastAsia" w:ascii="仿宋_GB2312" w:eastAsia="仿宋_GB2312"/>
          <w:sz w:val="32"/>
          <w:szCs w:val="32"/>
          <w:lang w:eastAsia="zh-CN"/>
        </w:rPr>
        <w:t>100%。</w:t>
      </w:r>
      <w:r>
        <w:rPr>
          <w:rFonts w:hint="eastAsia" w:ascii="仿宋_GB2312" w:eastAsia="仿宋_GB2312"/>
          <w:sz w:val="32"/>
          <w:szCs w:val="32"/>
        </w:rPr>
        <w:t>其中：</w:t>
      </w:r>
      <w:r>
        <w:rPr>
          <w:rFonts w:hint="eastAsia" w:ascii="仿宋_GB2312" w:eastAsia="仿宋_GB2312"/>
          <w:sz w:val="32"/>
          <w:szCs w:val="32"/>
          <w:lang w:eastAsia="zh-CN"/>
        </w:rPr>
        <w:t>一般公共预算财政拨款收入</w:t>
      </w:r>
      <w:r>
        <w:rPr>
          <w:rFonts w:ascii="仿宋_GB2312" w:eastAsia="仿宋_GB2312"/>
          <w:sz w:val="32"/>
          <w:szCs w:val="32"/>
        </w:rPr>
        <w:t>321.48</w:t>
      </w:r>
      <w:r>
        <w:rPr>
          <w:rFonts w:hint="eastAsia" w:ascii="仿宋_GB2312" w:eastAsia="仿宋_GB2312"/>
          <w:sz w:val="32"/>
          <w:szCs w:val="32"/>
        </w:rPr>
        <w:t>万元，占收入合计的</w:t>
      </w:r>
      <w:r>
        <w:rPr>
          <w:rFonts w:hint="eastAsia" w:ascii="仿宋_GB2312" w:eastAsia="仿宋_GB2312"/>
          <w:sz w:val="32"/>
          <w:szCs w:val="32"/>
          <w:lang w:eastAsia="zh-CN"/>
        </w:rPr>
        <w:t>100</w:t>
      </w:r>
      <w:r>
        <w:rPr>
          <w:rFonts w:hint="eastAsia" w:ascii="仿宋_GB2312" w:eastAsia="仿宋_GB2312"/>
          <w:sz w:val="32"/>
          <w:szCs w:val="32"/>
          <w:highlight w:val="none"/>
        </w:rPr>
        <w:t>%；</w:t>
      </w:r>
      <w:r>
        <w:rPr>
          <w:rFonts w:hint="eastAsia" w:ascii="仿宋_GB2312" w:eastAsia="仿宋_GB2312"/>
          <w:sz w:val="32"/>
          <w:szCs w:val="32"/>
          <w:lang w:eastAsia="zh-CN"/>
        </w:rPr>
        <w:t>政府性基金预算财政拨款收入</w:t>
      </w:r>
      <w:r>
        <w:rPr>
          <w:rFonts w:hint="eastAsia" w:ascii="仿宋_GB2312" w:eastAsia="仿宋_GB2312"/>
          <w:sz w:val="32"/>
          <w:szCs w:val="32"/>
          <w:lang w:val="en-US" w:eastAsia="zh-CN"/>
        </w:rPr>
        <w:t>0.00</w:t>
      </w:r>
      <w:r>
        <w:rPr>
          <w:rFonts w:hint="eastAsia" w:ascii="仿宋_GB2312" w:eastAsia="仿宋_GB2312"/>
          <w:sz w:val="32"/>
          <w:szCs w:val="32"/>
        </w:rPr>
        <w:t>万元，占收入合计的</w:t>
      </w:r>
      <w:r>
        <w:rPr>
          <w:rFonts w:hint="eastAsia" w:ascii="仿宋_GB2312" w:eastAsia="仿宋_GB2312"/>
          <w:sz w:val="32"/>
          <w:szCs w:val="32"/>
          <w:lang w:val="en-US" w:eastAsia="zh-CN"/>
        </w:rPr>
        <w:t>0.00</w:t>
      </w:r>
      <w:r>
        <w:rPr>
          <w:rFonts w:hint="eastAsia" w:ascii="仿宋_GB2312" w:eastAsia="仿宋_GB2312"/>
          <w:color w:val="auto"/>
          <w:sz w:val="32"/>
          <w:szCs w:val="32"/>
          <w:highlight w:val="none"/>
        </w:rPr>
        <w:t>%</w:t>
      </w:r>
      <w:r>
        <w:rPr>
          <w:rFonts w:hint="eastAsia" w:ascii="仿宋_GB2312" w:eastAsia="仿宋_GB2312"/>
          <w:sz w:val="32"/>
          <w:szCs w:val="32"/>
          <w:highlight w:val="none"/>
        </w:rPr>
        <w:t>；</w:t>
      </w:r>
      <w:r>
        <w:rPr>
          <w:rFonts w:hint="eastAsia" w:ascii="仿宋_GB2312" w:eastAsia="仿宋_GB2312"/>
          <w:sz w:val="32"/>
          <w:szCs w:val="32"/>
          <w:lang w:eastAsia="zh-CN"/>
        </w:rPr>
        <w:t>国有资本经营预算财政拨款收入</w:t>
      </w:r>
      <w:r>
        <w:rPr>
          <w:rFonts w:hint="eastAsia" w:ascii="仿宋_GB2312" w:eastAsia="仿宋_GB2312"/>
          <w:sz w:val="32"/>
          <w:szCs w:val="32"/>
          <w:lang w:val="en-US" w:eastAsia="zh-CN"/>
        </w:rPr>
        <w:t>0.00</w:t>
      </w:r>
      <w:r>
        <w:rPr>
          <w:rFonts w:hint="eastAsia" w:ascii="仿宋_GB2312" w:eastAsia="仿宋_GB2312"/>
          <w:sz w:val="32"/>
          <w:szCs w:val="32"/>
        </w:rPr>
        <w:t>万元，占收入合计的</w:t>
      </w:r>
      <w:r>
        <w:rPr>
          <w:rFonts w:hint="eastAsia" w:ascii="仿宋_GB2312" w:eastAsia="仿宋_GB2312"/>
          <w:sz w:val="32"/>
          <w:szCs w:val="32"/>
          <w:lang w:val="en-US" w:eastAsia="zh-CN"/>
        </w:rPr>
        <w:t>0.00</w:t>
      </w:r>
      <w:r>
        <w:rPr>
          <w:rFonts w:hint="eastAsia" w:ascii="仿宋_GB2312" w:eastAsia="仿宋_GB2312"/>
          <w:sz w:val="32"/>
          <w:szCs w:val="32"/>
          <w:highlight w:val="none"/>
        </w:rPr>
        <w:t>%</w:t>
      </w:r>
      <w:r>
        <w:rPr>
          <w:rFonts w:hint="eastAsia" w:ascii="仿宋_GB2312" w:eastAsia="仿宋_GB2312"/>
          <w:sz w:val="32"/>
          <w:szCs w:val="32"/>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lang w:val="en-US" w:eastAsia="zh-CN"/>
        </w:rPr>
        <w:t>2.</w:t>
      </w:r>
      <w:r>
        <w:rPr>
          <w:rFonts w:hint="eastAsia" w:ascii="仿宋_GB2312" w:eastAsia="仿宋_GB2312"/>
          <w:sz w:val="32"/>
          <w:szCs w:val="32"/>
        </w:rPr>
        <w:t>上级补助收入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事业收入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4.经营收入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5.附属单位上缴收入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6.其他收入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pStyle w:val="2"/>
        <w:ind w:firstLine="0"/>
        <w:jc w:val="center"/>
        <w:rPr>
          <w:sz w:val="32"/>
          <w:szCs w:val="32"/>
        </w:rP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（二）支出决算说明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年度本年支出合计</w:t>
      </w:r>
      <w:r>
        <w:rPr>
          <w:rFonts w:ascii="仿宋_GB2312" w:eastAsia="仿宋_GB2312"/>
          <w:sz w:val="32"/>
          <w:szCs w:val="32"/>
        </w:rPr>
        <w:t>345.77</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增加16.9</w:t>
      </w:r>
      <w:r>
        <w:rPr>
          <w:rFonts w:hint="eastAsia" w:ascii="仿宋_GB2312" w:eastAsia="仿宋_GB2312"/>
          <w:sz w:val="32"/>
          <w:szCs w:val="32"/>
          <w:lang w:val="en-US" w:eastAsia="zh-CN"/>
        </w:rPr>
        <w:t>5</w:t>
      </w:r>
      <w:r>
        <w:rPr>
          <w:rFonts w:hint="eastAsia" w:ascii="仿宋_GB2312" w:eastAsia="仿宋_GB2312"/>
          <w:sz w:val="32"/>
          <w:szCs w:val="32"/>
        </w:rPr>
        <w:t>万元，增长5.1</w:t>
      </w:r>
      <w:r>
        <w:rPr>
          <w:rFonts w:hint="eastAsia" w:ascii="仿宋_GB2312" w:eastAsia="仿宋_GB2312"/>
          <w:sz w:val="32"/>
          <w:szCs w:val="32"/>
          <w:lang w:val="en-US" w:eastAsia="zh-CN"/>
        </w:rPr>
        <w:t>5</w:t>
      </w:r>
      <w:r>
        <w:rPr>
          <w:rFonts w:hint="eastAsia" w:ascii="仿宋_GB2312" w:eastAsia="仿宋_GB2312"/>
          <w:sz w:val="32"/>
          <w:szCs w:val="32"/>
        </w:rPr>
        <w:t>%，其中：基本支</w:t>
      </w:r>
      <w:r>
        <w:rPr>
          <w:rFonts w:hint="eastAsia" w:ascii="仿宋_GB2312" w:eastAsia="仿宋_GB2312"/>
          <w:sz w:val="32"/>
          <w:szCs w:val="32"/>
          <w:highlight w:val="none"/>
        </w:rPr>
        <w:t>出</w:t>
      </w:r>
      <w:r>
        <w:rPr>
          <w:rFonts w:ascii="仿宋_GB2312" w:eastAsia="仿宋_GB2312"/>
          <w:sz w:val="32"/>
          <w:szCs w:val="32"/>
          <w:highlight w:val="none"/>
        </w:rPr>
        <w:t>345.77</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100</w:t>
      </w:r>
      <w:r>
        <w:rPr>
          <w:rFonts w:hint="eastAsia" w:ascii="仿宋_GB2312" w:eastAsia="仿宋_GB2312"/>
          <w:sz w:val="32"/>
          <w:szCs w:val="32"/>
          <w:highlight w:val="none"/>
        </w:rPr>
        <w:t>%；项目支出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%;上缴上级支出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%；经营支出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%；对附属单位补助支出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r>
        <w:rPr>
          <w:rFonts w:hint="eastAsia" w:ascii="仿宋_GB2312" w:eastAsia="仿宋_GB2312"/>
          <w:sz w:val="32"/>
          <w:szCs w:val="32"/>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三</w:t>
      </w:r>
      <w:r>
        <w:rPr>
          <w:rFonts w:ascii="黑体" w:eastAsia="黑体"/>
          <w:b w:val="0"/>
          <w:bCs/>
          <w:sz w:val="32"/>
          <w:szCs w:val="32"/>
        </w:rPr>
        <w:t>、财政拨款</w:t>
      </w:r>
      <w:r>
        <w:rPr>
          <w:rFonts w:hint="eastAsia" w:ascii="黑体" w:eastAsia="黑体"/>
          <w:b w:val="0"/>
          <w:bCs/>
          <w:sz w:val="32"/>
          <w:szCs w:val="32"/>
        </w:rPr>
        <w:t>收入支出决算</w:t>
      </w:r>
      <w:r>
        <w:rPr>
          <w:rFonts w:ascii="黑体" w:eastAsia="黑体"/>
          <w:b w:val="0"/>
          <w:bCs/>
          <w:sz w:val="32"/>
          <w:szCs w:val="32"/>
        </w:rPr>
        <w:t>总体情况说明</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年度财政拨款收、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345.77</w:t>
      </w:r>
      <w:r>
        <w:rPr>
          <w:rFonts w:hint="eastAsia" w:ascii="仿宋_GB2312" w:eastAsia="仿宋_GB2312"/>
          <w:sz w:val="32"/>
          <w:szCs w:val="32"/>
        </w:rPr>
        <w:t>万元，比上年增加16.9</w:t>
      </w:r>
      <w:r>
        <w:rPr>
          <w:rFonts w:hint="eastAsia" w:ascii="仿宋_GB2312" w:eastAsia="仿宋_GB2312"/>
          <w:sz w:val="32"/>
          <w:szCs w:val="32"/>
          <w:lang w:val="en-US" w:eastAsia="zh-CN"/>
        </w:rPr>
        <w:t>5</w:t>
      </w:r>
      <w:r>
        <w:rPr>
          <w:rFonts w:hint="eastAsia" w:ascii="仿宋_GB2312" w:eastAsia="仿宋_GB2312"/>
          <w:sz w:val="32"/>
          <w:szCs w:val="32"/>
        </w:rPr>
        <w:t>万元，增长5.1</w:t>
      </w:r>
      <w:r>
        <w:rPr>
          <w:rFonts w:hint="eastAsia" w:ascii="仿宋_GB2312" w:eastAsia="仿宋_GB2312"/>
          <w:sz w:val="32"/>
          <w:szCs w:val="32"/>
          <w:lang w:val="en-US" w:eastAsia="zh-CN"/>
        </w:rPr>
        <w:t>5</w:t>
      </w:r>
      <w:r>
        <w:rPr>
          <w:rFonts w:hint="eastAsia" w:ascii="仿宋_GB2312" w:eastAsia="仿宋_GB2312"/>
          <w:sz w:val="32"/>
          <w:szCs w:val="32"/>
        </w:rPr>
        <w:t>%。主要原因：</w:t>
      </w:r>
      <w:r>
        <w:rPr>
          <w:rFonts w:hint="eastAsia" w:ascii="仿宋_GB2312" w:eastAsia="仿宋_GB2312"/>
          <w:sz w:val="32"/>
          <w:szCs w:val="32"/>
          <w:lang w:eastAsia="zh-CN"/>
        </w:rPr>
        <w:t>增加了改革性补贴的支出</w:t>
      </w:r>
      <w:r>
        <w:rPr>
          <w:rFonts w:hint="eastAsia" w:ascii="仿宋_GB2312" w:eastAsia="仿宋_GB2312"/>
          <w:sz w:val="32"/>
          <w:szCs w:val="32"/>
        </w:rPr>
        <w:t>。</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黑体" w:hAnsi="黑体" w:eastAsia="黑体" w:cs="黑体"/>
          <w:b w:val="0"/>
          <w:bCs/>
          <w:sz w:val="32"/>
          <w:szCs w:val="32"/>
        </w:rPr>
      </w:pPr>
      <w:r>
        <w:rPr>
          <w:rFonts w:hint="eastAsia" w:ascii="黑体" w:hAnsi="黑体" w:eastAsia="黑体" w:cs="黑体"/>
          <w:b w:val="0"/>
          <w:bCs/>
          <w:sz w:val="32"/>
          <w:szCs w:val="32"/>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年度一般公共预算财政拨款支出</w:t>
      </w:r>
      <w:r>
        <w:rPr>
          <w:rFonts w:ascii="仿宋_GB2312" w:eastAsia="仿宋_GB2312"/>
          <w:sz w:val="32"/>
          <w:szCs w:val="32"/>
        </w:rPr>
        <w:t>345.77</w:t>
      </w:r>
      <w:r>
        <w:rPr>
          <w:rFonts w:hint="eastAsia" w:ascii="仿宋_GB2312" w:eastAsia="仿宋_GB2312"/>
          <w:sz w:val="32"/>
          <w:szCs w:val="32"/>
        </w:rPr>
        <w:t>万元，主要用于以下方面（按大类）：社会保障和就业支出</w:t>
      </w:r>
      <w:r>
        <w:rPr>
          <w:rFonts w:hint="eastAsia" w:ascii="仿宋_GB2312" w:eastAsia="仿宋_GB2312"/>
          <w:sz w:val="32"/>
          <w:szCs w:val="32"/>
          <w:lang w:val="en-US" w:eastAsia="zh-CN"/>
        </w:rPr>
        <w:t>36.88</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10.67</w:t>
      </w:r>
      <w:r>
        <w:rPr>
          <w:rFonts w:hint="eastAsia" w:ascii="仿宋_GB2312" w:eastAsia="仿宋_GB2312"/>
          <w:sz w:val="32"/>
          <w:szCs w:val="32"/>
        </w:rPr>
        <w:t>%；卫生健康支出</w:t>
      </w:r>
      <w:r>
        <w:rPr>
          <w:rFonts w:hint="eastAsia" w:ascii="仿宋_GB2312" w:eastAsia="仿宋_GB2312"/>
          <w:sz w:val="32"/>
          <w:szCs w:val="32"/>
          <w:lang w:val="en-US" w:eastAsia="zh-CN"/>
        </w:rPr>
        <w:t>29.07</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8.41</w:t>
      </w:r>
      <w:r>
        <w:rPr>
          <w:rFonts w:hint="eastAsia" w:ascii="仿宋_GB2312" w:eastAsia="仿宋_GB2312"/>
          <w:sz w:val="32"/>
          <w:szCs w:val="32"/>
        </w:rPr>
        <w:t>%；城乡社区支出</w:t>
      </w:r>
      <w:r>
        <w:rPr>
          <w:rFonts w:hint="eastAsia" w:ascii="仿宋_GB2312" w:eastAsia="仿宋_GB2312"/>
          <w:sz w:val="32"/>
          <w:szCs w:val="32"/>
          <w:lang w:val="en-US" w:eastAsia="zh-CN"/>
        </w:rPr>
        <w:t>255.53</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73.90</w:t>
      </w:r>
      <w:r>
        <w:rPr>
          <w:rFonts w:hint="eastAsia" w:ascii="仿宋_GB2312" w:eastAsia="仿宋_GB2312"/>
          <w:sz w:val="32"/>
          <w:szCs w:val="32"/>
        </w:rPr>
        <w:t>%</w:t>
      </w:r>
      <w:r>
        <w:rPr>
          <w:rFonts w:hint="eastAsia" w:ascii="仿宋_GB2312" w:eastAsia="仿宋_GB2312"/>
          <w:sz w:val="32"/>
          <w:szCs w:val="32"/>
          <w:lang w:val="en-US" w:eastAsia="zh-CN"/>
        </w:rPr>
        <w:t>；住房保障支出24.29</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7.02</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1.“社会保障和就业支出”（类）202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30.70</w:t>
      </w:r>
      <w:r>
        <w:rPr>
          <w:rFonts w:hint="eastAsia" w:ascii="仿宋_GB2312" w:eastAsia="仿宋_GB2312"/>
          <w:sz w:val="32"/>
          <w:szCs w:val="32"/>
        </w:rPr>
        <w:t>万元</w:t>
      </w:r>
      <w:r>
        <w:rPr>
          <w:rFonts w:hint="eastAsia" w:ascii="仿宋_GB2312" w:eastAsia="仿宋_GB2312"/>
          <w:sz w:val="32"/>
          <w:szCs w:val="32"/>
          <w:lang w:val="en-US" w:eastAsia="zh-CN"/>
        </w:rPr>
        <w:t>,</w:t>
      </w:r>
      <w:r>
        <w:rPr>
          <w:rFonts w:hint="eastAsia" w:ascii="仿宋_GB2312" w:eastAsia="仿宋_GB2312"/>
          <w:sz w:val="32"/>
          <w:szCs w:val="32"/>
        </w:rPr>
        <w:t>2024年度决算</w:t>
      </w:r>
      <w:r>
        <w:rPr>
          <w:rFonts w:hint="eastAsia" w:ascii="仿宋_GB2312" w:eastAsia="仿宋_GB2312"/>
          <w:sz w:val="32"/>
          <w:szCs w:val="32"/>
          <w:lang w:val="en-US" w:eastAsia="zh-CN"/>
        </w:rPr>
        <w:t>36.88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120.17</w:t>
      </w:r>
      <w:r>
        <w:rPr>
          <w:rFonts w:hint="eastAsia" w:ascii="仿宋_GB2312" w:eastAsia="仿宋_GB2312"/>
          <w:sz w:val="32"/>
          <w:szCs w:val="32"/>
        </w:rPr>
        <w:t>%。其中：</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“行政事业单位养老支出”（款）202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30.70</w:t>
      </w:r>
      <w:r>
        <w:rPr>
          <w:rFonts w:hint="eastAsia" w:ascii="仿宋_GB2312" w:eastAsia="仿宋_GB2312"/>
          <w:sz w:val="32"/>
          <w:szCs w:val="32"/>
        </w:rPr>
        <w:t>万元，2024年度决算</w:t>
      </w:r>
      <w:r>
        <w:rPr>
          <w:rFonts w:hint="eastAsia" w:ascii="仿宋_GB2312" w:eastAsia="仿宋_GB2312"/>
          <w:sz w:val="32"/>
          <w:szCs w:val="32"/>
          <w:lang w:val="en-US" w:eastAsia="zh-CN"/>
        </w:rPr>
        <w:t>36.88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120.17</w:t>
      </w:r>
      <w:r>
        <w:rPr>
          <w:rFonts w:hint="eastAsia" w:ascii="仿宋_GB2312" w:eastAsia="仿宋_GB2312"/>
          <w:sz w:val="32"/>
          <w:szCs w:val="32"/>
        </w:rPr>
        <w:t>%。主要原因：</w:t>
      </w:r>
      <w:r>
        <w:rPr>
          <w:rFonts w:hint="eastAsia" w:ascii="仿宋_GB2312" w:eastAsia="仿宋_GB2312"/>
          <w:sz w:val="32"/>
          <w:szCs w:val="32"/>
          <w:lang w:eastAsia="zh-CN"/>
        </w:rPr>
        <w:t>本年度有人员变动、养老年金缴费基数调整</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2.“卫生健康支出”(类) 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25.19</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年度决算2</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07</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115.40</w:t>
      </w:r>
      <w:r>
        <w:rPr>
          <w:rFonts w:hint="eastAsia" w:ascii="仿宋_GB2312" w:eastAsia="仿宋_GB2312"/>
          <w:sz w:val="32"/>
          <w:szCs w:val="32"/>
        </w:rPr>
        <w:t>%。其中：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“行政事业单位医疗”（款）202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25.19</w:t>
      </w:r>
      <w:r>
        <w:rPr>
          <w:rFonts w:hint="eastAsia" w:ascii="仿宋_GB2312" w:eastAsia="仿宋_GB2312"/>
          <w:sz w:val="32"/>
          <w:szCs w:val="32"/>
        </w:rPr>
        <w:t>万元</w:t>
      </w:r>
      <w:r>
        <w:rPr>
          <w:rFonts w:hint="eastAsia" w:ascii="仿宋_GB2312" w:eastAsia="仿宋_GB2312"/>
          <w:sz w:val="32"/>
          <w:szCs w:val="32"/>
          <w:lang w:val="en-US" w:eastAsia="zh-CN"/>
        </w:rPr>
        <w:t>,</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年度决算2</w:t>
      </w:r>
      <w:r>
        <w:rPr>
          <w:rFonts w:hint="eastAsia" w:ascii="仿宋_GB2312" w:eastAsia="仿宋_GB2312"/>
          <w:sz w:val="32"/>
          <w:szCs w:val="32"/>
          <w:lang w:val="en-US" w:eastAsia="zh-CN"/>
        </w:rPr>
        <w:t>9</w:t>
      </w:r>
      <w:r>
        <w:rPr>
          <w:rFonts w:hint="eastAsia" w:ascii="仿宋_GB2312" w:eastAsia="仿宋_GB2312"/>
          <w:sz w:val="32"/>
          <w:szCs w:val="32"/>
        </w:rPr>
        <w:t>.</w:t>
      </w:r>
      <w:r>
        <w:rPr>
          <w:rFonts w:hint="eastAsia" w:ascii="仿宋_GB2312" w:eastAsia="仿宋_GB2312"/>
          <w:sz w:val="32"/>
          <w:szCs w:val="32"/>
          <w:lang w:val="en-US" w:eastAsia="zh-CN"/>
        </w:rPr>
        <w:t>07</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115.40</w:t>
      </w:r>
      <w:r>
        <w:rPr>
          <w:rFonts w:hint="eastAsia" w:ascii="仿宋_GB2312" w:eastAsia="仿宋_GB2312"/>
          <w:sz w:val="32"/>
          <w:szCs w:val="32"/>
        </w:rPr>
        <w:t>%。主要原因：</w:t>
      </w:r>
      <w:r>
        <w:rPr>
          <w:rFonts w:hint="eastAsia" w:ascii="仿宋_GB2312" w:eastAsia="仿宋_GB2312"/>
          <w:sz w:val="32"/>
          <w:szCs w:val="32"/>
          <w:lang w:eastAsia="zh-CN"/>
        </w:rPr>
        <w:t>本年度有人员变动、医疗保险缴费基数调整。</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3</w:t>
      </w:r>
      <w:r>
        <w:rPr>
          <w:rFonts w:hint="eastAsia" w:ascii="仿宋_GB2312" w:eastAsia="仿宋_GB2312"/>
          <w:sz w:val="32"/>
          <w:szCs w:val="32"/>
        </w:rPr>
        <w:t>.“城乡社区支出”（类）202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243.34</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255.53</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105.01</w:t>
      </w:r>
      <w:r>
        <w:rPr>
          <w:rFonts w:hint="eastAsia" w:ascii="仿宋_GB2312" w:eastAsia="仿宋_GB2312"/>
          <w:sz w:val="32"/>
          <w:szCs w:val="32"/>
        </w:rPr>
        <w:t>%。其中：</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“城乡社区公共设施”（款）202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243.34</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255.53</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105.01</w:t>
      </w:r>
      <w:r>
        <w:rPr>
          <w:rFonts w:hint="eastAsia" w:ascii="仿宋_GB2312" w:eastAsia="仿宋_GB2312"/>
          <w:sz w:val="32"/>
          <w:szCs w:val="32"/>
        </w:rPr>
        <w:t>%。主要原因：</w:t>
      </w:r>
      <w:r>
        <w:rPr>
          <w:rFonts w:hint="eastAsia" w:ascii="仿宋_GB2312" w:eastAsia="仿宋_GB2312"/>
          <w:sz w:val="32"/>
          <w:szCs w:val="32"/>
          <w:lang w:eastAsia="zh-CN"/>
        </w:rPr>
        <w:t>本年度有人员变动、公积金缴存基数调整</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4</w:t>
      </w:r>
      <w:r>
        <w:rPr>
          <w:rFonts w:hint="eastAsia" w:ascii="仿宋_GB2312" w:eastAsia="仿宋_GB2312"/>
          <w:sz w:val="32"/>
          <w:szCs w:val="32"/>
        </w:rPr>
        <w:t>.“住房保障支出”（类）202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0.00</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24.29</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100.00</w:t>
      </w:r>
      <w:r>
        <w:rPr>
          <w:rFonts w:hint="eastAsia" w:ascii="仿宋_GB2312" w:eastAsia="仿宋_GB2312"/>
          <w:sz w:val="32"/>
          <w:szCs w:val="32"/>
        </w:rPr>
        <w:t>%。其中：</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“住房改革支出”（款）202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0.00</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24.29</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100.00</w:t>
      </w:r>
      <w:r>
        <w:rPr>
          <w:rFonts w:hint="eastAsia" w:ascii="仿宋_GB2312" w:eastAsia="仿宋_GB2312"/>
          <w:sz w:val="32"/>
          <w:szCs w:val="32"/>
        </w:rPr>
        <w:t>%。主要原因：</w:t>
      </w:r>
      <w:r>
        <w:rPr>
          <w:rFonts w:hint="eastAsia" w:ascii="仿宋_GB2312" w:eastAsia="仿宋_GB2312"/>
          <w:sz w:val="32"/>
          <w:szCs w:val="32"/>
          <w:lang w:eastAsia="zh-CN"/>
        </w:rPr>
        <w:t>增加了改革性补贴的支出</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b w:val="0"/>
          <w:bCs/>
          <w:sz w:val="32"/>
          <w:szCs w:val="32"/>
        </w:rPr>
      </w:pPr>
      <w:r>
        <w:rPr>
          <w:rFonts w:hint="eastAsia" w:ascii="黑体" w:eastAsia="黑体"/>
          <w:b w:val="0"/>
          <w:bCs/>
          <w:sz w:val="32"/>
          <w:szCs w:val="32"/>
        </w:rPr>
        <w:t>五、政府性基金预算财政拨款支出决算情况说明</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仿宋_GB2312" w:eastAsia="仿宋_GB2312"/>
          <w:sz w:val="28"/>
          <w:szCs w:val="28"/>
          <w:lang w:eastAsia="zh-CN"/>
        </w:rPr>
      </w:pPr>
      <w:r>
        <w:rPr>
          <w:rFonts w:hint="eastAsia" w:ascii="仿宋_GB2312" w:eastAsia="仿宋_GB2312"/>
          <w:sz w:val="32"/>
          <w:szCs w:val="32"/>
        </w:rPr>
        <w:t>本单位2024年度无政府性基金预算财政拨款安排的支出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黑体" w:eastAsia="黑体"/>
          <w:b w:val="0"/>
          <w:bCs/>
          <w:sz w:val="32"/>
          <w:szCs w:val="32"/>
        </w:rPr>
      </w:pPr>
      <w:r>
        <w:rPr>
          <w:rFonts w:hint="eastAsia" w:ascii="黑体" w:eastAsia="黑体"/>
          <w:b w:val="0"/>
          <w:bCs/>
          <w:sz w:val="32"/>
          <w:szCs w:val="32"/>
        </w:rPr>
        <w:t>六、国有资本经营预算财</w:t>
      </w:r>
      <w:r>
        <w:rPr>
          <w:rFonts w:ascii="黑体" w:eastAsia="黑体"/>
          <w:b w:val="0"/>
          <w:bCs/>
          <w:sz w:val="32"/>
          <w:szCs w:val="32"/>
        </w:rPr>
        <w:t>政拨款</w:t>
      </w:r>
      <w:r>
        <w:rPr>
          <w:rFonts w:hint="eastAsia" w:ascii="黑体" w:eastAsia="黑体"/>
          <w:b w:val="0"/>
          <w:bCs/>
          <w:sz w:val="32"/>
          <w:szCs w:val="32"/>
        </w:rPr>
        <w:t>收支情况</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年度国有资本经营预算财政</w:t>
      </w:r>
      <w:r>
        <w:rPr>
          <w:rFonts w:ascii="仿宋_GB2312" w:eastAsia="仿宋_GB2312"/>
          <w:sz w:val="32"/>
          <w:szCs w:val="32"/>
        </w:rPr>
        <w:t>拨款</w:t>
      </w:r>
      <w:r>
        <w:rPr>
          <w:rFonts w:hint="eastAsia" w:ascii="仿宋_GB2312" w:eastAsia="仿宋_GB2312"/>
          <w:sz w:val="32"/>
          <w:szCs w:val="32"/>
        </w:rPr>
        <w:t>收入总</w:t>
      </w:r>
      <w:r>
        <w:rPr>
          <w:rFonts w:ascii="仿宋_GB2312" w:eastAsia="仿宋_GB2312"/>
          <w:sz w:val="32"/>
          <w:szCs w:val="32"/>
        </w:rPr>
        <w:t>计0</w:t>
      </w:r>
      <w:r>
        <w:rPr>
          <w:rFonts w:hint="eastAsia" w:ascii="仿宋_GB2312" w:eastAsia="仿宋_GB2312"/>
          <w:sz w:val="32"/>
          <w:szCs w:val="32"/>
          <w:lang w:val="en-US" w:eastAsia="zh-CN"/>
        </w:rPr>
        <w:t>.00</w:t>
      </w:r>
      <w:r>
        <w:rPr>
          <w:rFonts w:hint="eastAsia" w:ascii="仿宋_GB2312" w:eastAsia="仿宋_GB2312"/>
          <w:sz w:val="32"/>
          <w:szCs w:val="32"/>
        </w:rPr>
        <w:t>万元，国有资本经营预算财政</w:t>
      </w:r>
      <w:r>
        <w:rPr>
          <w:rFonts w:ascii="仿宋_GB2312" w:eastAsia="仿宋_GB2312"/>
          <w:sz w:val="32"/>
          <w:szCs w:val="32"/>
        </w:rPr>
        <w:t>拨款</w:t>
      </w:r>
      <w:r>
        <w:rPr>
          <w:rFonts w:hint="eastAsia" w:ascii="仿宋_GB2312" w:eastAsia="仿宋_GB2312"/>
          <w:sz w:val="32"/>
          <w:szCs w:val="32"/>
        </w:rPr>
        <w:t>支出总</w:t>
      </w:r>
      <w:r>
        <w:rPr>
          <w:rFonts w:ascii="仿宋_GB2312" w:eastAsia="仿宋_GB2312"/>
          <w:sz w:val="32"/>
          <w:szCs w:val="32"/>
        </w:rPr>
        <w:t>计0</w:t>
      </w:r>
      <w:r>
        <w:rPr>
          <w:rFonts w:hint="eastAsia" w:ascii="仿宋_GB2312" w:eastAsia="仿宋_GB2312"/>
          <w:sz w:val="32"/>
          <w:szCs w:val="32"/>
          <w:lang w:val="en-US" w:eastAsia="zh-CN"/>
        </w:rPr>
        <w:t>.00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黑体" w:eastAsia="黑体"/>
          <w:b w:val="0"/>
          <w:bCs/>
          <w:sz w:val="32"/>
          <w:szCs w:val="32"/>
        </w:rPr>
      </w:pPr>
      <w:r>
        <w:rPr>
          <w:rFonts w:hint="eastAsia" w:ascii="黑体" w:eastAsia="黑体"/>
          <w:b w:val="0"/>
          <w:bCs/>
          <w:sz w:val="32"/>
          <w:szCs w:val="32"/>
        </w:rPr>
        <w:t>七、财政拨款基本支出决算情况说明</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年度使用一般公共预算财政拨款安排基本支出</w:t>
      </w:r>
      <w:r>
        <w:rPr>
          <w:rFonts w:ascii="仿宋_GB2312" w:eastAsia="仿宋_GB2312"/>
          <w:sz w:val="32"/>
          <w:szCs w:val="32"/>
        </w:rPr>
        <w:t>345.77</w:t>
      </w:r>
      <w:r>
        <w:rPr>
          <w:rFonts w:hint="eastAsia" w:ascii="仿宋_GB2312" w:eastAsia="仿宋_GB2312"/>
          <w:sz w:val="32"/>
          <w:szCs w:val="32"/>
        </w:rPr>
        <w:t>万元，使用政府性基金财政拨款安排基本支出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万元，（1）工资福利支出包括基本工资</w:t>
      </w:r>
      <w:r>
        <w:rPr>
          <w:rFonts w:ascii="仿宋_GB2312" w:eastAsia="仿宋_GB2312"/>
          <w:sz w:val="32"/>
          <w:szCs w:val="32"/>
        </w:rPr>
        <w:t>、津贴补贴、绩效工资、</w:t>
      </w:r>
      <w:r>
        <w:rPr>
          <w:rFonts w:hint="eastAsia" w:ascii="仿宋_GB2312" w:eastAsia="仿宋_GB2312"/>
          <w:sz w:val="32"/>
          <w:szCs w:val="32"/>
        </w:rPr>
        <w:t>机关事业单位基本养老保险缴费</w:t>
      </w:r>
      <w:r>
        <w:rPr>
          <w:rFonts w:ascii="仿宋_GB2312" w:eastAsia="仿宋_GB2312"/>
          <w:sz w:val="32"/>
          <w:szCs w:val="32"/>
        </w:rPr>
        <w:t>、</w:t>
      </w:r>
      <w:r>
        <w:rPr>
          <w:rFonts w:hint="eastAsia" w:ascii="仿宋_GB2312" w:eastAsia="仿宋_GB2312"/>
          <w:sz w:val="32"/>
          <w:szCs w:val="32"/>
        </w:rPr>
        <w:t>职业年金缴费</w:t>
      </w:r>
      <w:r>
        <w:rPr>
          <w:rFonts w:hint="eastAsia" w:ascii="仿宋_GB2312" w:eastAsia="仿宋_GB2312"/>
          <w:sz w:val="32"/>
          <w:szCs w:val="32"/>
          <w:lang w:eastAsia="zh-CN"/>
        </w:rPr>
        <w:t>、职工基本医疗保险缴费、公务员医疗补助缴费、其他社会保障缴费、住房公积金</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；（2）商品和服务支出包括</w:t>
      </w:r>
      <w:r>
        <w:rPr>
          <w:rFonts w:ascii="仿宋_GB2312" w:eastAsia="仿宋_GB2312"/>
          <w:sz w:val="32"/>
          <w:szCs w:val="32"/>
        </w:rPr>
        <w:t>办公费、手续费、工会经费、福利费</w:t>
      </w:r>
      <w:r>
        <w:rPr>
          <w:rFonts w:hint="eastAsia" w:ascii="仿宋_GB2312" w:eastAsia="仿宋_GB2312"/>
          <w:sz w:val="32"/>
          <w:szCs w:val="32"/>
        </w:rPr>
        <w:t>等</w:t>
      </w:r>
      <w:r>
        <w:rPr>
          <w:rFonts w:ascii="仿宋_GB2312" w:eastAsia="仿宋_GB2312"/>
          <w:sz w:val="32"/>
          <w:szCs w:val="32"/>
        </w:rPr>
        <w:t>支出</w:t>
      </w:r>
      <w:r>
        <w:rPr>
          <w:rFonts w:hint="eastAsia" w:ascii="仿宋_GB2312" w:eastAsia="仿宋_GB2312"/>
          <w:sz w:val="32"/>
          <w:szCs w:val="32"/>
        </w:rPr>
        <w:t>；（3）对个人和家庭补助支出包括</w:t>
      </w:r>
      <w:r>
        <w:rPr>
          <w:rFonts w:ascii="仿宋_GB2312" w:eastAsia="仿宋_GB2312"/>
          <w:sz w:val="32"/>
          <w:szCs w:val="32"/>
        </w:rPr>
        <w:t>奖励金支出</w:t>
      </w:r>
      <w:r>
        <w:rPr>
          <w:rFonts w:hint="eastAsia" w:ascii="仿宋_GB2312" w:eastAsia="仿宋_GB2312"/>
          <w:sz w:val="32"/>
          <w:szCs w:val="32"/>
        </w:rPr>
        <w:t>。（4）本单位2024年度无资本性支出。</w:t>
      </w:r>
      <w:bookmarkStart w:id="0" w:name="_GoBack"/>
      <w:bookmarkEnd w:id="0"/>
    </w:p>
    <w:p>
      <w:pPr>
        <w:keepNext w:val="0"/>
        <w:keepLines w:val="0"/>
        <w:pageBreakBefore w:val="0"/>
        <w:widowControl w:val="0"/>
        <w:tabs>
          <w:tab w:val="center" w:pos="6979"/>
        </w:tabs>
        <w:kinsoku/>
        <w:wordWrap/>
        <w:overflowPunct/>
        <w:topLinePunct w:val="0"/>
        <w:bidi w:val="0"/>
        <w:snapToGrid/>
        <w:spacing w:line="560" w:lineRule="exact"/>
        <w:ind w:firstLine="800" w:firstLineChars="200"/>
        <w:jc w:val="center"/>
        <w:textAlignment w:val="auto"/>
        <w:rPr>
          <w:rFonts w:hint="eastAsia" w:ascii="仿宋_GB2312" w:hAnsi="仿宋_GB2312" w:eastAsia="仿宋_GB2312" w:cs="仿宋_GB2312"/>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60" w:lineRule="exact"/>
        <w:ind w:firstLine="800" w:firstLineChars="200"/>
        <w:jc w:val="center"/>
        <w:textAlignment w:val="auto"/>
        <w:rPr>
          <w:rFonts w:hint="eastAsia" w:ascii="仿宋_GB2312" w:hAnsi="仿宋_GB2312" w:eastAsia="仿宋_GB2312" w:cs="仿宋_GB2312"/>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60" w:lineRule="exact"/>
        <w:ind w:firstLine="800" w:firstLineChars="200"/>
        <w:jc w:val="center"/>
        <w:textAlignment w:val="auto"/>
        <w:rPr>
          <w:rFonts w:hint="eastAsia" w:ascii="仿宋_GB2312" w:hAnsi="仿宋_GB2312" w:eastAsia="仿宋_GB2312" w:cs="仿宋_GB2312"/>
          <w:b/>
          <w:bCs/>
          <w:spacing w:val="40"/>
          <w:kern w:val="0"/>
          <w:sz w:val="32"/>
          <w:szCs w:val="32"/>
        </w:rPr>
      </w:pPr>
    </w:p>
    <w:p>
      <w:pPr>
        <w:keepNext w:val="0"/>
        <w:keepLines w:val="0"/>
        <w:pageBreakBefore w:val="0"/>
        <w:widowControl w:val="0"/>
        <w:tabs>
          <w:tab w:val="center" w:pos="6979"/>
        </w:tabs>
        <w:kinsoku/>
        <w:wordWrap/>
        <w:overflowPunct/>
        <w:topLinePunct w:val="0"/>
        <w:bidi w:val="0"/>
        <w:snapToGrid/>
        <w:spacing w:line="560" w:lineRule="exact"/>
        <w:ind w:firstLine="800" w:firstLineChars="200"/>
        <w:jc w:val="center"/>
        <w:textAlignment w:val="auto"/>
        <w:rPr>
          <w:rFonts w:hint="eastAsia" w:ascii="仿宋_GB2312" w:hAnsi="仿宋_GB2312" w:eastAsia="仿宋_GB2312" w:cs="仿宋_GB2312"/>
          <w:b/>
          <w:spacing w:val="40"/>
          <w:kern w:val="0"/>
          <w:sz w:val="32"/>
          <w:szCs w:val="32"/>
        </w:rPr>
      </w:pPr>
      <w:r>
        <w:rPr>
          <w:rFonts w:hint="eastAsia" w:ascii="仿宋_GB2312" w:hAnsi="仿宋_GB2312" w:eastAsia="仿宋_GB2312" w:cs="仿宋_GB2312"/>
          <w:b/>
          <w:bCs/>
          <w:spacing w:val="40"/>
          <w:kern w:val="0"/>
          <w:sz w:val="32"/>
          <w:szCs w:val="32"/>
        </w:rPr>
        <w:t>第三部分</w:t>
      </w:r>
      <w:r>
        <w:rPr>
          <w:rFonts w:hint="eastAsia" w:ascii="仿宋_GB2312" w:hAnsi="仿宋_GB2312" w:eastAsia="仿宋_GB2312" w:cs="仿宋_GB2312"/>
          <w:b/>
          <w:spacing w:val="40"/>
          <w:sz w:val="32"/>
          <w:szCs w:val="32"/>
        </w:rPr>
        <w:t>202</w:t>
      </w:r>
      <w:r>
        <w:rPr>
          <w:rFonts w:hint="eastAsia" w:ascii="仿宋_GB2312" w:hAnsi="仿宋_GB2312" w:eastAsia="仿宋_GB2312" w:cs="仿宋_GB2312"/>
          <w:b/>
          <w:spacing w:val="40"/>
          <w:sz w:val="32"/>
          <w:szCs w:val="32"/>
          <w:lang w:val="en-US" w:eastAsia="zh-CN"/>
        </w:rPr>
        <w:t>4</w:t>
      </w:r>
      <w:r>
        <w:rPr>
          <w:rFonts w:hint="eastAsia" w:ascii="仿宋_GB2312" w:hAnsi="仿宋_GB2312" w:eastAsia="仿宋_GB2312" w:cs="仿宋_GB2312"/>
          <w:b/>
          <w:spacing w:val="40"/>
          <w:sz w:val="32"/>
          <w:szCs w:val="32"/>
        </w:rPr>
        <w:t>年度</w:t>
      </w:r>
      <w:r>
        <w:rPr>
          <w:rFonts w:hint="eastAsia" w:ascii="仿宋_GB2312" w:hAnsi="仿宋_GB2312" w:eastAsia="仿宋_GB2312" w:cs="仿宋_GB2312"/>
          <w:b/>
          <w:spacing w:val="40"/>
          <w:kern w:val="0"/>
          <w:sz w:val="32"/>
          <w:szCs w:val="32"/>
        </w:rPr>
        <w:t>其他重要事项的情况说明</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rPr>
        <w:t>一、“三公”经费财政拨款决算情况</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2024</w:t>
      </w:r>
      <w:r>
        <w:rPr>
          <w:rFonts w:hint="eastAsia" w:ascii="仿宋_GB2312" w:eastAsia="仿宋_GB2312"/>
          <w:sz w:val="32"/>
          <w:szCs w:val="32"/>
        </w:rPr>
        <w:t>年度“三公”经费财政拨款决算数</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万元，比</w:t>
      </w:r>
      <w:r>
        <w:rPr>
          <w:rFonts w:hint="eastAsia" w:ascii="仿宋_GB2312" w:eastAsia="仿宋_GB2312"/>
          <w:sz w:val="32"/>
          <w:szCs w:val="32"/>
          <w:lang w:eastAsia="zh-CN"/>
        </w:rPr>
        <w:t>2024</w:t>
      </w:r>
      <w:r>
        <w:rPr>
          <w:rFonts w:hint="eastAsia" w:ascii="仿宋_GB2312" w:eastAsia="仿宋_GB2312"/>
          <w:sz w:val="32"/>
          <w:szCs w:val="32"/>
        </w:rPr>
        <w:t>年度“三公”经费财政拨款年初预算</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万元。其中：</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1.因公出国（境）费用。202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eastAsia="zh-CN"/>
        </w:rPr>
        <w:t>本单位</w:t>
      </w:r>
      <w:r>
        <w:rPr>
          <w:rFonts w:hint="eastAsia" w:ascii="仿宋_GB2312" w:eastAsia="仿宋_GB2312"/>
          <w:sz w:val="32"/>
          <w:szCs w:val="32"/>
          <w:lang w:val="en-US" w:eastAsia="zh-CN"/>
        </w:rPr>
        <w:t>2024年</w:t>
      </w:r>
      <w:r>
        <w:rPr>
          <w:rFonts w:hint="eastAsia" w:ascii="仿宋_GB2312" w:eastAsia="仿宋_GB2312"/>
          <w:sz w:val="32"/>
          <w:szCs w:val="32"/>
          <w:lang w:eastAsia="zh-CN"/>
        </w:rPr>
        <w:t>无</w:t>
      </w:r>
      <w:r>
        <w:rPr>
          <w:rFonts w:hint="eastAsia" w:ascii="仿宋_GB2312" w:eastAsia="仿宋_GB2312"/>
          <w:sz w:val="32"/>
          <w:szCs w:val="32"/>
        </w:rPr>
        <w:t>因公出国（境）</w:t>
      </w:r>
      <w:r>
        <w:rPr>
          <w:rFonts w:hint="eastAsia" w:ascii="仿宋_GB2312" w:eastAsia="仿宋_GB2312"/>
          <w:sz w:val="32"/>
          <w:szCs w:val="32"/>
          <w:lang w:eastAsia="zh-CN"/>
        </w:rPr>
        <w:t>工作安排</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年度因公出国（境）费用主要用于</w:t>
      </w:r>
      <w:r>
        <w:rPr>
          <w:rFonts w:hint="eastAsia" w:ascii="仿宋_GB2312" w:eastAsia="仿宋_GB2312"/>
          <w:sz w:val="32"/>
          <w:szCs w:val="32"/>
          <w:lang w:val="en-US" w:eastAsia="zh-CN"/>
        </w:rPr>
        <w:t>0</w:t>
      </w:r>
      <w:r>
        <w:rPr>
          <w:rFonts w:hint="eastAsia" w:ascii="仿宋_GB2312" w:eastAsia="仿宋_GB2312"/>
          <w:sz w:val="32"/>
          <w:szCs w:val="32"/>
        </w:rPr>
        <w:t>方面，202</w:t>
      </w:r>
      <w:r>
        <w:rPr>
          <w:rFonts w:hint="eastAsia" w:ascii="仿宋_GB2312" w:eastAsia="仿宋_GB2312"/>
          <w:sz w:val="32"/>
          <w:szCs w:val="32"/>
          <w:lang w:val="en-US" w:eastAsia="zh-CN"/>
        </w:rPr>
        <w:t>4</w:t>
      </w:r>
      <w:r>
        <w:rPr>
          <w:rFonts w:hint="eastAsia" w:ascii="仿宋_GB2312" w:eastAsia="仿宋_GB2312"/>
          <w:sz w:val="32"/>
          <w:szCs w:val="32"/>
        </w:rPr>
        <w:t>年度组织因公出国（境）团组</w:t>
      </w:r>
      <w:r>
        <w:rPr>
          <w:rFonts w:hint="eastAsia" w:ascii="仿宋_GB2312" w:eastAsia="仿宋_GB2312"/>
          <w:sz w:val="32"/>
          <w:szCs w:val="32"/>
          <w:lang w:eastAsia="zh-CN"/>
        </w:rPr>
        <w:t>0</w:t>
      </w:r>
      <w:r>
        <w:rPr>
          <w:rFonts w:hint="eastAsia" w:ascii="仿宋_GB2312" w:eastAsia="仿宋_GB2312"/>
          <w:sz w:val="32"/>
          <w:szCs w:val="32"/>
        </w:rPr>
        <w:t>个、</w:t>
      </w:r>
      <w:r>
        <w:rPr>
          <w:rFonts w:hint="eastAsia" w:ascii="仿宋_GB2312" w:eastAsia="仿宋_GB2312"/>
          <w:sz w:val="32"/>
          <w:szCs w:val="32"/>
          <w:lang w:eastAsia="zh-CN"/>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2.公务接待费。202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eastAsia="zh-CN"/>
        </w:rPr>
        <w:t>本单位</w:t>
      </w:r>
      <w:r>
        <w:rPr>
          <w:rFonts w:hint="eastAsia" w:ascii="仿宋_GB2312" w:eastAsia="仿宋_GB2312"/>
          <w:sz w:val="32"/>
          <w:szCs w:val="32"/>
          <w:lang w:val="en-US" w:eastAsia="zh-CN"/>
        </w:rPr>
        <w:t>2024年无公务接待工作安排</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年度公务接待费主要用于</w:t>
      </w:r>
      <w:r>
        <w:rPr>
          <w:rFonts w:hint="eastAsia" w:ascii="仿宋_GB2312" w:eastAsia="仿宋_GB2312"/>
          <w:sz w:val="32"/>
          <w:szCs w:val="32"/>
          <w:lang w:val="en-US" w:eastAsia="zh-CN"/>
        </w:rPr>
        <w:t>0</w:t>
      </w:r>
      <w:r>
        <w:rPr>
          <w:rFonts w:hint="eastAsia" w:ascii="仿宋_GB2312" w:eastAsia="仿宋_GB2312"/>
          <w:sz w:val="32"/>
          <w:szCs w:val="32"/>
        </w:rPr>
        <w:t>事项。公务接待</w:t>
      </w:r>
      <w:r>
        <w:rPr>
          <w:rFonts w:hint="eastAsia" w:ascii="仿宋_GB2312" w:eastAsia="仿宋_GB2312"/>
          <w:sz w:val="32"/>
          <w:szCs w:val="32"/>
          <w:lang w:eastAsia="zh-CN"/>
        </w:rPr>
        <w:t>0</w:t>
      </w:r>
      <w:r>
        <w:rPr>
          <w:rFonts w:hint="eastAsia" w:ascii="仿宋_GB2312" w:eastAsia="仿宋_GB2312"/>
          <w:sz w:val="32"/>
          <w:szCs w:val="32"/>
        </w:rPr>
        <w:t>批次，公务接待</w:t>
      </w:r>
      <w:r>
        <w:rPr>
          <w:rFonts w:hint="eastAsia" w:ascii="仿宋_GB2312" w:eastAsia="仿宋_GB2312"/>
          <w:sz w:val="32"/>
          <w:szCs w:val="32"/>
          <w:lang w:eastAsia="zh-CN"/>
        </w:rPr>
        <w:t>0</w:t>
      </w:r>
      <w:r>
        <w:rPr>
          <w:rFonts w:hint="eastAsia" w:ascii="仿宋_GB2312" w:eastAsia="仿宋_GB2312"/>
          <w:sz w:val="32"/>
          <w:szCs w:val="32"/>
        </w:rPr>
        <w:t>人次。</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28"/>
          <w:szCs w:val="28"/>
        </w:rPr>
      </w:pPr>
      <w:r>
        <w:rPr>
          <w:rFonts w:hint="eastAsia" w:ascii="仿宋_GB2312" w:eastAsia="仿宋_GB2312"/>
          <w:sz w:val="32"/>
          <w:szCs w:val="32"/>
        </w:rPr>
        <w:t>3.公务用车购置及运行维护费。202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万元。其中，公务用车购置费202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eastAsia="zh-CN"/>
        </w:rPr>
        <w:t>本单位</w:t>
      </w:r>
      <w:r>
        <w:rPr>
          <w:rFonts w:hint="eastAsia" w:ascii="仿宋_GB2312" w:eastAsia="仿宋_GB2312"/>
          <w:sz w:val="32"/>
          <w:szCs w:val="32"/>
          <w:lang w:val="en-US" w:eastAsia="zh-CN"/>
        </w:rPr>
        <w:t>2024年无公务用车购置工作安排</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年度购置（更新）</w:t>
      </w:r>
      <w:r>
        <w:rPr>
          <w:rFonts w:hint="eastAsia" w:ascii="仿宋_GB2312" w:eastAsia="仿宋_GB2312"/>
          <w:sz w:val="32"/>
          <w:szCs w:val="32"/>
          <w:lang w:eastAsia="zh-CN"/>
        </w:rPr>
        <w:t>0</w:t>
      </w:r>
      <w:r>
        <w:rPr>
          <w:rFonts w:hint="eastAsia" w:ascii="仿宋_GB2312" w:eastAsia="仿宋_GB2312"/>
          <w:sz w:val="32"/>
          <w:szCs w:val="32"/>
        </w:rPr>
        <w:t>辆。公务用车运行维护费202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eastAsia="zh-CN"/>
        </w:rPr>
        <w:t>本单位</w:t>
      </w:r>
      <w:r>
        <w:rPr>
          <w:rFonts w:hint="eastAsia" w:ascii="仿宋_GB2312" w:eastAsia="仿宋_GB2312"/>
          <w:sz w:val="32"/>
          <w:szCs w:val="32"/>
          <w:lang w:val="en-US" w:eastAsia="zh-CN"/>
        </w:rPr>
        <w:t>2024年无公务用车相关支出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年度公务用车保有量</w:t>
      </w:r>
      <w:r>
        <w:rPr>
          <w:rFonts w:ascii="仿宋_GB2312" w:eastAsia="仿宋_GB2312"/>
          <w:sz w:val="32"/>
          <w:szCs w:val="32"/>
        </w:rPr>
        <w:t>0</w:t>
      </w:r>
      <w:r>
        <w:rPr>
          <w:rFonts w:hint="eastAsia" w:ascii="仿宋_GB2312" w:eastAsia="仿宋_GB2312"/>
          <w:sz w:val="32"/>
          <w:szCs w:val="32"/>
        </w:rPr>
        <w:t>辆。</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rPr>
        <w:t>二、机关运行经费支出情况</w:t>
      </w:r>
    </w:p>
    <w:p>
      <w:pPr>
        <w:keepNext w:val="0"/>
        <w:keepLines w:val="0"/>
        <w:pageBreakBefore w:val="0"/>
        <w:widowControl w:val="0"/>
        <w:kinsoku/>
        <w:wordWrap/>
        <w:overflowPunct/>
        <w:topLinePunct w:val="0"/>
        <w:bidi w:val="0"/>
        <w:snapToGrid/>
        <w:spacing w:line="560" w:lineRule="exact"/>
        <w:ind w:left="540"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本单位不在机关运行经费统计范围之内</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rPr>
        <w:t>三、政府采购支出情况</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年度政府采购支出总额</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万元，其中：政府采购货物支出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万元，政府采购工程支出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万元，政府采购服务支出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万元。授予中小企业合同金额</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万元，占政府采购支出总额的</w:t>
      </w:r>
      <w:r>
        <w:rPr>
          <w:rFonts w:hint="eastAsia" w:ascii="仿宋_GB2312" w:eastAsia="仿宋_GB2312"/>
          <w:sz w:val="32"/>
          <w:szCs w:val="32"/>
          <w:lang w:eastAsia="zh-CN"/>
        </w:rPr>
        <w:t>0</w:t>
      </w:r>
      <w:r>
        <w:rPr>
          <w:rFonts w:hint="eastAsia" w:ascii="仿宋_GB2312" w:eastAsia="仿宋_GB2312"/>
          <w:sz w:val="32"/>
          <w:szCs w:val="32"/>
          <w:lang w:val="en-US" w:eastAsia="zh-CN"/>
        </w:rPr>
        <w:t>.00</w:t>
      </w:r>
      <w:r>
        <w:rPr>
          <w:rFonts w:hint="eastAsia" w:ascii="仿宋_GB2312" w:eastAsia="仿宋_GB2312"/>
          <w:sz w:val="32"/>
          <w:szCs w:val="32"/>
        </w:rPr>
        <w:t>%，其中：授予小微企业合同金额</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万元，占政府采购支出总额的</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eastAsia="黑体"/>
          <w:sz w:val="32"/>
          <w:szCs w:val="32"/>
          <w:highlight w:val="yellow"/>
        </w:rPr>
      </w:pPr>
      <w:r>
        <w:rPr>
          <w:rFonts w:hint="eastAsia" w:ascii="黑体" w:eastAsia="黑体"/>
          <w:sz w:val="32"/>
          <w:szCs w:val="32"/>
          <w:highlight w:val="none"/>
        </w:rPr>
        <w:t>四、国有资产占用情况</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截至</w:t>
      </w:r>
      <w:r>
        <w:rPr>
          <w:rFonts w:hint="eastAsia" w:ascii="仿宋_GB2312" w:eastAsia="仿宋_GB2312"/>
          <w:sz w:val="32"/>
          <w:szCs w:val="32"/>
          <w:lang w:val="en-US" w:eastAsia="zh-CN"/>
        </w:rPr>
        <w:t>12月31日，北京市大兴区机动车公共停车场管理事务中心</w:t>
      </w:r>
      <w:r>
        <w:rPr>
          <w:rFonts w:hint="eastAsia" w:ascii="仿宋_GB2312" w:eastAsia="仿宋_GB2312"/>
          <w:sz w:val="32"/>
          <w:szCs w:val="32"/>
          <w:lang w:eastAsia="zh-CN"/>
        </w:rPr>
        <w:t>共有</w:t>
      </w:r>
      <w:r>
        <w:rPr>
          <w:rFonts w:hint="eastAsia" w:ascii="仿宋_GB2312" w:eastAsia="仿宋_GB2312"/>
          <w:sz w:val="32"/>
          <w:szCs w:val="32"/>
        </w:rPr>
        <w:t>车辆</w:t>
      </w:r>
      <w:r>
        <w:rPr>
          <w:rFonts w:hint="eastAsia" w:ascii="仿宋_GB2312" w:eastAsia="仿宋_GB2312"/>
          <w:sz w:val="32"/>
          <w:szCs w:val="32"/>
          <w:lang w:val="en-US" w:eastAsia="zh-CN"/>
        </w:rPr>
        <w:t>0</w:t>
      </w:r>
      <w:r>
        <w:rPr>
          <w:rFonts w:hint="eastAsia" w:ascii="仿宋_GB2312" w:eastAsia="仿宋_GB2312"/>
          <w:sz w:val="32"/>
          <w:szCs w:val="32"/>
        </w:rPr>
        <w:t>台；单位价值100万元</w:t>
      </w:r>
      <w:r>
        <w:rPr>
          <w:rFonts w:hint="eastAsia" w:ascii="仿宋_GB2312" w:eastAsia="仿宋_GB2312"/>
          <w:sz w:val="32"/>
          <w:szCs w:val="32"/>
          <w:lang w:eastAsia="zh-CN"/>
        </w:rPr>
        <w:t>（含）</w:t>
      </w:r>
      <w:r>
        <w:rPr>
          <w:rFonts w:hint="eastAsia" w:ascii="仿宋_GB2312" w:eastAsia="仿宋_GB2312"/>
          <w:sz w:val="32"/>
          <w:szCs w:val="32"/>
        </w:rPr>
        <w:t>以上的设备</w:t>
      </w:r>
      <w:r>
        <w:rPr>
          <w:rFonts w:hint="eastAsia" w:ascii="仿宋_GB2312" w:eastAsia="仿宋_GB2312"/>
          <w:sz w:val="32"/>
          <w:szCs w:val="32"/>
          <w:lang w:val="en-US" w:eastAsia="zh-CN"/>
        </w:rPr>
        <w:t>0</w:t>
      </w:r>
      <w:r>
        <w:rPr>
          <w:rFonts w:hint="eastAsia" w:ascii="仿宋_GB2312" w:eastAsia="仿宋_GB2312"/>
          <w:sz w:val="32"/>
          <w:szCs w:val="32"/>
        </w:rPr>
        <w:t>台（套）。</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黑体" w:eastAsia="黑体"/>
          <w:sz w:val="32"/>
          <w:szCs w:val="32"/>
        </w:rPr>
      </w:pPr>
      <w:r>
        <w:rPr>
          <w:rFonts w:hint="eastAsia" w:ascii="黑体" w:eastAsia="黑体"/>
          <w:sz w:val="32"/>
          <w:szCs w:val="32"/>
        </w:rPr>
        <w:t>五</w:t>
      </w:r>
      <w:r>
        <w:rPr>
          <w:rFonts w:ascii="黑体" w:eastAsia="黑体"/>
          <w:sz w:val="32"/>
          <w:szCs w:val="32"/>
        </w:rPr>
        <w:t>、政府购买服务</w:t>
      </w:r>
      <w:r>
        <w:rPr>
          <w:rFonts w:hint="eastAsia" w:ascii="黑体" w:eastAsia="黑体"/>
          <w:sz w:val="32"/>
          <w:szCs w:val="32"/>
        </w:rPr>
        <w:t>支出</w:t>
      </w:r>
      <w:r>
        <w:rPr>
          <w:rFonts w:ascii="黑体" w:eastAsia="黑体"/>
          <w:sz w:val="32"/>
          <w:szCs w:val="32"/>
        </w:rPr>
        <w:t>说明</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28"/>
          <w:szCs w:val="28"/>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ascii="仿宋_GB2312" w:eastAsia="仿宋_GB2312"/>
          <w:sz w:val="32"/>
          <w:szCs w:val="32"/>
        </w:rPr>
        <w:t>政府购买服务决算0</w:t>
      </w:r>
      <w:r>
        <w:rPr>
          <w:rFonts w:hint="eastAsia" w:ascii="仿宋_GB2312" w:eastAsia="仿宋_GB2312"/>
          <w:sz w:val="32"/>
          <w:szCs w:val="32"/>
          <w:lang w:val="en-US" w:eastAsia="zh-CN"/>
        </w:rPr>
        <w:t>.00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firstLine="640" w:firstLineChars="200"/>
        <w:jc w:val="left"/>
        <w:textAlignment w:val="auto"/>
        <w:rPr>
          <w:rFonts w:hint="eastAsia" w:ascii="仿宋_GB2312" w:eastAsia="仿宋_GB2312"/>
          <w:color w:val="000000"/>
          <w:sz w:val="32"/>
          <w:szCs w:val="32"/>
        </w:rPr>
      </w:pPr>
      <w:r>
        <w:rPr>
          <w:rFonts w:hint="eastAsia" w:ascii="黑体" w:eastAsia="黑体"/>
          <w:sz w:val="32"/>
          <w:szCs w:val="32"/>
        </w:rPr>
        <w:t>六、</w:t>
      </w:r>
      <w:r>
        <w:rPr>
          <w:rFonts w:ascii="黑体" w:eastAsia="黑体"/>
          <w:sz w:val="32"/>
          <w:szCs w:val="32"/>
        </w:rPr>
        <w:t>专业名词解释</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1.基本支出：指为保障机构正常运转、完成日常工作任务而发生的人员支出和公用支出。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eastAsia="仿宋_GB2312"/>
          <w:sz w:val="32"/>
          <w:szCs w:val="32"/>
        </w:rPr>
        <w:t>3.“三公”经费：</w:t>
      </w:r>
      <w:r>
        <w:rPr>
          <w:rFonts w:hint="eastAsia" w:ascii="仿宋_GB2312" w:hAnsi="宋体" w:eastAsia="仿宋_GB2312"/>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hAnsi="宋体"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机关运行经费：</w:t>
      </w:r>
      <w:r>
        <w:rPr>
          <w:rFonts w:hint="eastAsia" w:ascii="仿宋_GB2312" w:hAnsi="宋体" w:eastAsia="仿宋_GB2312"/>
          <w:sz w:val="32"/>
          <w:szCs w:val="32"/>
        </w:rPr>
        <w:t>指为</w:t>
      </w:r>
      <w:r>
        <w:rPr>
          <w:rFonts w:ascii="仿宋_GB2312" w:hAnsi="宋体" w:eastAsia="仿宋_GB2312"/>
          <w:sz w:val="32"/>
          <w:szCs w:val="32"/>
        </w:rPr>
        <w:t>保障</w:t>
      </w:r>
      <w:r>
        <w:rPr>
          <w:rFonts w:hint="eastAsia" w:ascii="仿宋_GB2312" w:hAnsi="宋体" w:eastAsia="仿宋_GB2312"/>
          <w:sz w:val="32"/>
          <w:szCs w:val="32"/>
        </w:rPr>
        <w:t>行政单位（含参照公务员法管理事业单位）运行用于</w:t>
      </w:r>
      <w:r>
        <w:rPr>
          <w:rFonts w:ascii="仿宋_GB2312" w:hAnsi="宋体" w:eastAsia="仿宋_GB2312"/>
          <w:sz w:val="32"/>
          <w:szCs w:val="32"/>
        </w:rPr>
        <w:t>购买货物和服务的各项资金</w:t>
      </w:r>
      <w:r>
        <w:rPr>
          <w:rFonts w:hint="eastAsia" w:ascii="仿宋_GB2312" w:hAnsi="宋体"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政府采购</w:t>
      </w:r>
      <w:r>
        <w:rPr>
          <w:rFonts w:ascii="仿宋_GB2312" w:eastAsia="仿宋_GB2312"/>
          <w:sz w:val="32"/>
          <w:szCs w:val="32"/>
        </w:rPr>
        <w:t>：</w:t>
      </w:r>
      <w:r>
        <w:rPr>
          <w:rFonts w:hint="eastAsia" w:ascii="仿宋_GB2312" w:eastAsia="仿宋_GB2312"/>
          <w:sz w:val="32"/>
          <w:szCs w:val="32"/>
        </w:rPr>
        <w:t>指</w:t>
      </w:r>
      <w:r>
        <w:rPr>
          <w:rFonts w:ascii="仿宋_GB2312" w:eastAsia="仿宋_GB2312"/>
          <w:sz w:val="32"/>
          <w:szCs w:val="32"/>
        </w:rPr>
        <w:t>各级国家机关、事业单位和团体组织，使用</w:t>
      </w:r>
      <w:r>
        <w:rPr>
          <w:rFonts w:hint="eastAsia" w:ascii="仿宋_GB2312" w:eastAsia="仿宋_GB2312"/>
          <w:sz w:val="32"/>
          <w:szCs w:val="32"/>
        </w:rPr>
        <w:t>财政性</w:t>
      </w:r>
      <w:r>
        <w:rPr>
          <w:rFonts w:ascii="仿宋_GB2312" w:eastAsia="仿宋_GB2312"/>
          <w:sz w:val="32"/>
          <w:szCs w:val="32"/>
        </w:rPr>
        <w:t>资金采购依法制定的集中目录以内的或者采购限额标准以上的货物、工程和服务的行为</w:t>
      </w:r>
      <w:r>
        <w:rPr>
          <w:rFonts w:hint="eastAsia" w:ascii="仿宋_GB2312" w:eastAsia="仿宋_GB2312"/>
          <w:sz w:val="32"/>
          <w:szCs w:val="32"/>
        </w:rPr>
        <w:t>，</w:t>
      </w:r>
      <w:r>
        <w:rPr>
          <w:rFonts w:ascii="仿宋_GB2312" w:eastAsia="仿宋_GB2312"/>
          <w:sz w:val="32"/>
          <w:szCs w:val="32"/>
        </w:rPr>
        <w:t>是规范财政支出管理和强化预算约束的有效措施。</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6</w:t>
      </w:r>
      <w:r>
        <w:rPr>
          <w:rFonts w:ascii="仿宋_GB2312" w:eastAsia="仿宋_GB2312"/>
          <w:sz w:val="32"/>
          <w:szCs w:val="32"/>
        </w:rPr>
        <w:t>.政府购买服务：</w:t>
      </w:r>
      <w:r>
        <w:rPr>
          <w:rFonts w:hint="eastAsia" w:ascii="仿宋_GB2312" w:eastAsia="仿宋_GB2312"/>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rPr>
        <w:t>7.  社会保障和就业支出（类）行政事业单位养老支出（款）</w:t>
      </w:r>
      <w:r>
        <w:rPr>
          <w:rFonts w:hint="eastAsia" w:ascii="仿宋_GB2312" w:eastAsia="仿宋_GB2312"/>
          <w:sz w:val="32"/>
          <w:szCs w:val="32"/>
          <w:lang w:eastAsia="zh-CN"/>
        </w:rPr>
        <w:t>机关事业单位基本养老保险缴费支出</w:t>
      </w:r>
      <w:r>
        <w:rPr>
          <w:rFonts w:hint="eastAsia" w:ascii="仿宋_GB2312" w:eastAsia="仿宋_GB2312"/>
          <w:sz w:val="32"/>
          <w:szCs w:val="32"/>
        </w:rPr>
        <w:t>（项）：反映</w:t>
      </w:r>
      <w:r>
        <w:rPr>
          <w:rFonts w:hint="eastAsia" w:ascii="仿宋_GB2312" w:eastAsia="仿宋_GB2312"/>
          <w:sz w:val="32"/>
          <w:szCs w:val="32"/>
          <w:lang w:eastAsia="zh-CN"/>
        </w:rPr>
        <w:t>机关事业单位实施养老保险制度由单位缴纳的基本养老保险费支出。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8.</w:t>
      </w:r>
      <w:r>
        <w:rPr>
          <w:rFonts w:hint="eastAsia" w:ascii="仿宋_GB2312" w:eastAsia="仿宋_GB2312"/>
          <w:sz w:val="32"/>
          <w:szCs w:val="32"/>
        </w:rPr>
        <w:t>社会保障和就业支出（类）行政事业单位养老支出（款）</w:t>
      </w:r>
      <w:r>
        <w:rPr>
          <w:rFonts w:hint="eastAsia" w:ascii="仿宋_GB2312" w:eastAsia="仿宋_GB2312"/>
          <w:sz w:val="32"/>
          <w:szCs w:val="32"/>
          <w:lang w:eastAsia="zh-CN"/>
        </w:rPr>
        <w:t>机关事业单位职业年金缴费支出</w:t>
      </w:r>
      <w:r>
        <w:rPr>
          <w:rFonts w:hint="eastAsia" w:ascii="仿宋_GB2312" w:eastAsia="仿宋_GB2312"/>
          <w:sz w:val="32"/>
          <w:szCs w:val="32"/>
        </w:rPr>
        <w:t>（项）</w:t>
      </w:r>
      <w:r>
        <w:rPr>
          <w:rFonts w:hint="eastAsia" w:ascii="仿宋_GB2312" w:eastAsia="仿宋_GB2312"/>
          <w:sz w:val="32"/>
          <w:szCs w:val="32"/>
          <w:lang w:eastAsia="zh-CN"/>
        </w:rPr>
        <w:t>：</w:t>
      </w:r>
      <w:r>
        <w:rPr>
          <w:rFonts w:hint="eastAsia" w:ascii="仿宋_GB2312" w:eastAsia="仿宋_GB2312"/>
          <w:sz w:val="32"/>
          <w:szCs w:val="32"/>
        </w:rPr>
        <w:t>反映</w:t>
      </w:r>
      <w:r>
        <w:rPr>
          <w:rFonts w:hint="eastAsia" w:ascii="仿宋_GB2312" w:eastAsia="仿宋_GB2312"/>
          <w:sz w:val="32"/>
          <w:szCs w:val="32"/>
          <w:lang w:eastAsia="zh-CN"/>
        </w:rPr>
        <w:t>机关事业单位实施养老保险制度由单位实际缴纳的职业年金支出（含职业年金补记支出）。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卫生健康支出（类）行政事业单位医疗（款）事业单位医疗（项）：反映财政部门安排的事业单位基本医疗保险缴费经费，未参加医疗保险的事业单位的公费医疗经费，按照国家规定享受离休人员待遇的医疗经费。</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10.卫生健康支出（类）行政事业单位医疗（款）公务员医疗补助（项）：反映财政部门安排的公务员医疗补助经费。</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11.城乡社区支出（类）城乡社区公共设施（款）其他城乡社区公共设施支出（项）：反映除上述项目以外其他用于城乡社区公共设施方面的支出。</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lang w:val="en-US" w:eastAsia="zh-CN"/>
        </w:rPr>
        <w:t>12.住房保障支出（类）住房改革支出（款）购房补贴（项）：反映按房改政策规定，行政事业单位向符合条件职工（含离退休人员）、军队（含武警）向转役复员离退休人员发放的用于购买住房的补贴。</w:t>
      </w:r>
    </w:p>
    <w:p>
      <w:pPr>
        <w:pageBreakBefore w:val="0"/>
        <w:widowControl w:val="0"/>
        <w:kinsoku/>
        <w:wordWrap/>
        <w:overflowPunct/>
        <w:topLinePunct w:val="0"/>
        <w:bidi w:val="0"/>
        <w:snapToGrid/>
        <w:spacing w:line="560" w:lineRule="exact"/>
        <w:jc w:val="both"/>
        <w:textAlignment w:val="auto"/>
        <w:rPr>
          <w:rFonts w:hint="eastAsia" w:ascii="黑体" w:eastAsia="黑体"/>
          <w:sz w:val="32"/>
          <w:szCs w:val="32"/>
        </w:rPr>
      </w:pPr>
    </w:p>
    <w:p>
      <w:pPr>
        <w:pStyle w:val="2"/>
        <w:pageBreakBefore w:val="0"/>
        <w:widowControl w:val="0"/>
        <w:kinsoku/>
        <w:wordWrap/>
        <w:overflowPunct/>
        <w:topLinePunct w:val="0"/>
        <w:bidi w:val="0"/>
        <w:snapToGrid/>
        <w:spacing w:line="560" w:lineRule="exact"/>
        <w:textAlignment w:val="auto"/>
        <w:rPr>
          <w:rFonts w:hint="eastAsia" w:ascii="黑体" w:eastAsia="黑体"/>
          <w:sz w:val="32"/>
          <w:szCs w:val="32"/>
        </w:rPr>
      </w:pPr>
    </w:p>
    <w:p>
      <w:pPr>
        <w:pageBreakBefore w:val="0"/>
        <w:widowControl w:val="0"/>
        <w:kinsoku/>
        <w:wordWrap/>
        <w:overflowPunct/>
        <w:topLinePunct w:val="0"/>
        <w:bidi w:val="0"/>
        <w:snapToGrid/>
        <w:spacing w:line="560" w:lineRule="exact"/>
        <w:textAlignment w:val="auto"/>
        <w:rPr>
          <w:rFonts w:hint="eastAsia" w:ascii="黑体" w:eastAsia="黑体"/>
          <w:sz w:val="32"/>
          <w:szCs w:val="32"/>
        </w:rPr>
      </w:pPr>
    </w:p>
    <w:p>
      <w:pPr>
        <w:pStyle w:val="2"/>
        <w:rPr>
          <w:rFonts w:hint="eastAsia" w:ascii="黑体" w:eastAsia="黑体"/>
          <w:sz w:val="32"/>
          <w:szCs w:val="32"/>
        </w:rPr>
      </w:pPr>
    </w:p>
    <w:p>
      <w:pPr>
        <w:rPr>
          <w:rFonts w:hint="eastAsia" w:ascii="黑体" w:eastAsia="黑体"/>
          <w:sz w:val="32"/>
          <w:szCs w:val="32"/>
        </w:rPr>
      </w:pPr>
    </w:p>
    <w:p>
      <w:pPr>
        <w:pStyle w:val="2"/>
        <w:rPr>
          <w:rFonts w:hint="eastAsia"/>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keepNext w:val="0"/>
        <w:keepLines w:val="0"/>
        <w:pageBreakBefore w:val="0"/>
        <w:widowControl w:val="0"/>
        <w:tabs>
          <w:tab w:val="center" w:pos="6979"/>
        </w:tabs>
        <w:kinsoku/>
        <w:wordWrap/>
        <w:overflowPunct/>
        <w:topLinePunct w:val="0"/>
        <w:bidi w:val="0"/>
        <w:snapToGrid/>
        <w:spacing w:line="560" w:lineRule="exact"/>
        <w:ind w:firstLine="800" w:firstLineChars="200"/>
        <w:jc w:val="center"/>
        <w:textAlignment w:val="auto"/>
        <w:rPr>
          <w:rFonts w:hint="eastAsia" w:ascii="仿宋_GB2312" w:hAnsi="仿宋_GB2312" w:eastAsia="仿宋_GB2312" w:cs="仿宋_GB2312"/>
          <w:b/>
          <w:spacing w:val="40"/>
          <w:sz w:val="32"/>
          <w:szCs w:val="32"/>
        </w:rPr>
      </w:pPr>
      <w:r>
        <w:rPr>
          <w:rFonts w:hint="eastAsia" w:ascii="仿宋_GB2312" w:hAnsi="仿宋_GB2312" w:eastAsia="仿宋_GB2312" w:cs="仿宋_GB2312"/>
          <w:b/>
          <w:spacing w:val="40"/>
          <w:sz w:val="32"/>
          <w:szCs w:val="32"/>
        </w:rPr>
        <w:t>第四部分  202</w:t>
      </w:r>
      <w:r>
        <w:rPr>
          <w:rFonts w:hint="eastAsia" w:ascii="仿宋_GB2312" w:hAnsi="仿宋_GB2312" w:eastAsia="仿宋_GB2312" w:cs="仿宋_GB2312"/>
          <w:b/>
          <w:spacing w:val="40"/>
          <w:sz w:val="32"/>
          <w:szCs w:val="32"/>
          <w:lang w:val="en-US" w:eastAsia="zh-CN"/>
        </w:rPr>
        <w:t>4</w:t>
      </w:r>
      <w:r>
        <w:rPr>
          <w:rFonts w:hint="eastAsia" w:ascii="仿宋_GB2312" w:hAnsi="仿宋_GB2312" w:eastAsia="仿宋_GB2312" w:cs="仿宋_GB2312"/>
          <w:b/>
          <w:spacing w:val="40"/>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640" w:firstLineChars="200"/>
        <w:rPr>
          <w:rFonts w:ascii="黑体" w:eastAsia="黑体"/>
          <w:sz w:val="32"/>
          <w:szCs w:val="32"/>
          <w:highlight w:val="none"/>
        </w:rPr>
      </w:pPr>
      <w:r>
        <w:rPr>
          <w:rFonts w:hint="eastAsia" w:ascii="黑体" w:eastAsia="黑体"/>
          <w:sz w:val="32"/>
          <w:szCs w:val="32"/>
          <w:highlight w:val="none"/>
        </w:rPr>
        <w:t>项目</w:t>
      </w:r>
      <w:r>
        <w:rPr>
          <w:rFonts w:ascii="黑体" w:eastAsia="黑体"/>
          <w:sz w:val="32"/>
          <w:szCs w:val="32"/>
          <w:highlight w:val="none"/>
        </w:rPr>
        <w:t>支出绩效自评表</w:t>
      </w:r>
    </w:p>
    <w:tbl>
      <w:tblPr>
        <w:tblStyle w:val="10"/>
        <w:tblW w:w="8928" w:type="dxa"/>
        <w:jc w:val="center"/>
        <w:tblInd w:w="0" w:type="dxa"/>
        <w:tblLayout w:type="fixed"/>
        <w:tblCellMar>
          <w:top w:w="0" w:type="dxa"/>
          <w:left w:w="108" w:type="dxa"/>
          <w:bottom w:w="0" w:type="dxa"/>
          <w:right w:w="108" w:type="dxa"/>
        </w:tblCellMar>
      </w:tblPr>
      <w:tblGrid>
        <w:gridCol w:w="537"/>
        <w:gridCol w:w="679"/>
        <w:gridCol w:w="989"/>
        <w:gridCol w:w="679"/>
        <w:gridCol w:w="678"/>
        <w:gridCol w:w="207"/>
        <w:gridCol w:w="982"/>
        <w:gridCol w:w="895"/>
        <w:gridCol w:w="500"/>
        <w:gridCol w:w="443"/>
        <w:gridCol w:w="528"/>
        <w:gridCol w:w="452"/>
        <w:gridCol w:w="679"/>
        <w:gridCol w:w="680"/>
      </w:tblGrid>
      <w:tr>
        <w:tblPrEx>
          <w:tblLayout w:type="fixed"/>
          <w:tblCellMar>
            <w:top w:w="0" w:type="dxa"/>
            <w:left w:w="108" w:type="dxa"/>
            <w:bottom w:w="0" w:type="dxa"/>
            <w:right w:w="108" w:type="dxa"/>
          </w:tblCellMar>
        </w:tblPrEx>
        <w:trPr>
          <w:trHeight w:val="541" w:hRule="exact"/>
          <w:jc w:val="center"/>
        </w:trPr>
        <w:tc>
          <w:tcPr>
            <w:tcW w:w="8928" w:type="dxa"/>
            <w:gridSpan w:val="14"/>
            <w:tcBorders>
              <w:top w:val="nil"/>
              <w:left w:val="nil"/>
              <w:bottom w:val="nil"/>
              <w:right w:val="nil"/>
            </w:tcBorders>
            <w:noWrap w:val="0"/>
            <w:vAlign w:val="center"/>
          </w:tcPr>
          <w:p>
            <w:pPr>
              <w:keepNext w:val="0"/>
              <w:keepLines w:val="0"/>
              <w:widowControl/>
              <w:suppressLineNumbers w:val="0"/>
              <w:jc w:val="center"/>
              <w:textAlignment w:val="center"/>
              <w:rPr>
                <w:rFonts w:ascii="宋体" w:hAnsi="宋体" w:cs="宋体"/>
                <w:b/>
                <w:bCs/>
                <w:kern w:val="0"/>
                <w:sz w:val="32"/>
                <w:szCs w:val="32"/>
                <w:highlight w:val="none"/>
              </w:rPr>
            </w:pPr>
            <w:r>
              <w:rPr>
                <w:rFonts w:hint="eastAsia" w:ascii="宋体" w:hAnsi="宋体" w:eastAsia="宋体" w:cs="宋体"/>
                <w:b/>
                <w:bCs/>
                <w:i w:val="0"/>
                <w:iCs w:val="0"/>
                <w:color w:val="000000"/>
                <w:kern w:val="0"/>
                <w:sz w:val="32"/>
                <w:szCs w:val="32"/>
                <w:highlight w:val="none"/>
                <w:u w:val="none"/>
                <w:lang w:val="en-US" w:eastAsia="zh-CN" w:bidi="ar"/>
              </w:rPr>
              <w:t>项目支出绩效自评表</w:t>
            </w:r>
          </w:p>
        </w:tc>
      </w:tr>
      <w:tr>
        <w:tblPrEx>
          <w:tblLayout w:type="fixed"/>
          <w:tblCellMar>
            <w:top w:w="0" w:type="dxa"/>
            <w:left w:w="108" w:type="dxa"/>
            <w:bottom w:w="0" w:type="dxa"/>
            <w:right w:w="108" w:type="dxa"/>
          </w:tblCellMar>
        </w:tblPrEx>
        <w:trPr>
          <w:trHeight w:val="194" w:hRule="atLeast"/>
          <w:jc w:val="center"/>
        </w:trPr>
        <w:tc>
          <w:tcPr>
            <w:tcW w:w="8928" w:type="dxa"/>
            <w:gridSpan w:val="14"/>
            <w:tcBorders>
              <w:top w:val="nil"/>
              <w:left w:val="nil"/>
              <w:bottom w:val="nil"/>
              <w:right w:val="nil"/>
            </w:tcBorders>
            <w:noWrap w:val="0"/>
            <w:vAlign w:val="top"/>
          </w:tcPr>
          <w:p>
            <w:pPr>
              <w:keepNext w:val="0"/>
              <w:keepLines w:val="0"/>
              <w:widowControl/>
              <w:suppressLineNumbers w:val="0"/>
              <w:jc w:val="center"/>
              <w:textAlignment w:val="top"/>
              <w:rPr>
                <w:rFonts w:ascii="宋体" w:hAnsi="宋体" w:cs="宋体"/>
                <w:kern w:val="0"/>
                <w:sz w:val="22"/>
                <w:highlight w:val="none"/>
              </w:rPr>
            </w:pPr>
            <w:r>
              <w:rPr>
                <w:rFonts w:hint="eastAsia" w:ascii="宋体" w:hAnsi="宋体" w:eastAsia="宋体" w:cs="宋体"/>
                <w:i w:val="0"/>
                <w:iCs w:val="0"/>
                <w:color w:val="000000"/>
                <w:kern w:val="0"/>
                <w:sz w:val="22"/>
                <w:szCs w:val="22"/>
                <w:highlight w:val="none"/>
                <w:u w:val="none"/>
                <w:lang w:val="en-US" w:eastAsia="zh-CN" w:bidi="ar"/>
              </w:rPr>
              <w:t>（2024年度）</w:t>
            </w: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项目名称</w:t>
            </w:r>
          </w:p>
        </w:tc>
        <w:tc>
          <w:tcPr>
            <w:tcW w:w="7712" w:type="dxa"/>
            <w:gridSpan w:val="1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1216"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主管部门</w:t>
            </w:r>
          </w:p>
        </w:tc>
        <w:tc>
          <w:tcPr>
            <w:tcW w:w="3535" w:type="dxa"/>
            <w:gridSpan w:val="5"/>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95"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实施单位</w:t>
            </w:r>
          </w:p>
        </w:tc>
        <w:tc>
          <w:tcPr>
            <w:tcW w:w="2782" w:type="dxa"/>
            <w:gridSpan w:val="5"/>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1216" w:type="dxa"/>
            <w:gridSpan w:val="2"/>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项目资金</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（万元）</w:t>
            </w:r>
          </w:p>
        </w:tc>
        <w:tc>
          <w:tcPr>
            <w:tcW w:w="1668"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8"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年初预算</w:t>
            </w:r>
          </w:p>
        </w:tc>
        <w:tc>
          <w:tcPr>
            <w:tcW w:w="1189"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全年预算数</w:t>
            </w:r>
          </w:p>
        </w:tc>
        <w:tc>
          <w:tcPr>
            <w:tcW w:w="1395"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全年执行数</w:t>
            </w: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分值</w:t>
            </w:r>
          </w:p>
        </w:tc>
        <w:tc>
          <w:tcPr>
            <w:tcW w:w="113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执行率</w:t>
            </w: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得分</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both"/>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年度资金总额</w:t>
            </w:r>
          </w:p>
        </w:tc>
        <w:tc>
          <w:tcPr>
            <w:tcW w:w="678"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10分</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0</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其中：当年财政拨款</w:t>
            </w:r>
          </w:p>
        </w:tc>
        <w:tc>
          <w:tcPr>
            <w:tcW w:w="678"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72"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 xml:space="preserve">          上年结转资金</w:t>
            </w:r>
          </w:p>
        </w:tc>
        <w:tc>
          <w:tcPr>
            <w:tcW w:w="678"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Style w:val="20"/>
                <w:highlight w:val="none"/>
                <w:lang w:val="en-US" w:eastAsia="zh-CN" w:bidi="ar"/>
              </w:rPr>
              <w:t xml:space="preserve">  其他资金</w:t>
            </w:r>
          </w:p>
        </w:tc>
        <w:tc>
          <w:tcPr>
            <w:tcW w:w="678"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1216" w:type="dxa"/>
            <w:gridSpan w:val="2"/>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668"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Style w:val="20"/>
                <w:highlight w:val="none"/>
                <w:lang w:val="en-US" w:eastAsia="zh-CN" w:bidi="ar"/>
              </w:rPr>
              <w:t xml:space="preserve">        中央直达资金</w:t>
            </w:r>
            <w:r>
              <w:rPr>
                <w:rStyle w:val="21"/>
                <w:highlight w:val="none"/>
                <w:lang w:val="en-US" w:eastAsia="zh-CN" w:bidi="ar"/>
              </w:rPr>
              <w:t xml:space="preserve"> </w:t>
            </w:r>
          </w:p>
        </w:tc>
        <w:tc>
          <w:tcPr>
            <w:tcW w:w="678"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189"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1395"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71"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1131"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80"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r>
      <w:tr>
        <w:tblPrEx>
          <w:tblLayout w:type="fixed"/>
          <w:tblCellMar>
            <w:top w:w="0" w:type="dxa"/>
            <w:left w:w="108" w:type="dxa"/>
            <w:bottom w:w="0" w:type="dxa"/>
            <w:right w:w="108" w:type="dxa"/>
          </w:tblCellMar>
        </w:tblPrEx>
        <w:trPr>
          <w:trHeight w:val="291" w:hRule="exact"/>
          <w:jc w:val="center"/>
        </w:trPr>
        <w:tc>
          <w:tcPr>
            <w:tcW w:w="537"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年度总体目标</w:t>
            </w:r>
          </w:p>
        </w:tc>
        <w:tc>
          <w:tcPr>
            <w:tcW w:w="4214" w:type="dxa"/>
            <w:gridSpan w:val="6"/>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预期目标</w:t>
            </w:r>
          </w:p>
        </w:tc>
        <w:tc>
          <w:tcPr>
            <w:tcW w:w="4177" w:type="dxa"/>
            <w:gridSpan w:val="7"/>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实际完成情况</w:t>
            </w:r>
          </w:p>
        </w:tc>
      </w:tr>
      <w:tr>
        <w:tblPrEx>
          <w:tblLayout w:type="fixed"/>
          <w:tblCellMar>
            <w:top w:w="0" w:type="dxa"/>
            <w:left w:w="108" w:type="dxa"/>
            <w:bottom w:w="0" w:type="dxa"/>
            <w:right w:w="108" w:type="dxa"/>
          </w:tblCellMar>
        </w:tblPrEx>
        <w:trPr>
          <w:trHeight w:val="1636" w:hRule="exact"/>
          <w:jc w:val="center"/>
        </w:trPr>
        <w:tc>
          <w:tcPr>
            <w:tcW w:w="537"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4214" w:type="dxa"/>
            <w:gridSpan w:val="6"/>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4177" w:type="dxa"/>
            <w:gridSpan w:val="7"/>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517" w:hRule="exact"/>
          <w:jc w:val="center"/>
        </w:trPr>
        <w:tc>
          <w:tcPr>
            <w:tcW w:w="537" w:type="dxa"/>
            <w:vMerge w:val="restart"/>
            <w:tcBorders>
              <w:top w:val="nil"/>
              <w:left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绩</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效</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指</w:t>
            </w:r>
            <w:r>
              <w:rPr>
                <w:rFonts w:hint="eastAsia" w:ascii="宋体" w:hAnsi="宋体" w:eastAsia="宋体" w:cs="宋体"/>
                <w:i w:val="0"/>
                <w:iCs w:val="0"/>
                <w:color w:val="000000"/>
                <w:kern w:val="0"/>
                <w:sz w:val="18"/>
                <w:szCs w:val="18"/>
                <w:highlight w:val="none"/>
                <w:u w:val="none"/>
                <w:lang w:val="en-US" w:eastAsia="zh-CN" w:bidi="ar"/>
              </w:rPr>
              <w:br w:type="textWrapping"/>
            </w:r>
            <w:r>
              <w:rPr>
                <w:rFonts w:hint="eastAsia" w:ascii="宋体" w:hAnsi="宋体" w:eastAsia="宋体" w:cs="宋体"/>
                <w:i w:val="0"/>
                <w:iCs w:val="0"/>
                <w:color w:val="000000"/>
                <w:kern w:val="0"/>
                <w:sz w:val="18"/>
                <w:szCs w:val="18"/>
                <w:highlight w:val="none"/>
                <w:u w:val="none"/>
                <w:lang w:val="en-US" w:eastAsia="zh-CN" w:bidi="ar"/>
              </w:rPr>
              <w:t>标</w:t>
            </w:r>
          </w:p>
        </w:tc>
        <w:tc>
          <w:tcPr>
            <w:tcW w:w="67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一级指标</w:t>
            </w:r>
          </w:p>
        </w:tc>
        <w:tc>
          <w:tcPr>
            <w:tcW w:w="989" w:type="dxa"/>
            <w:tcBorders>
              <w:top w:val="nil"/>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二级指标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三级指标</w:t>
            </w:r>
          </w:p>
        </w:tc>
        <w:tc>
          <w:tcPr>
            <w:tcW w:w="982"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年度指标值</w:t>
            </w:r>
          </w:p>
        </w:tc>
        <w:tc>
          <w:tcPr>
            <w:tcW w:w="895" w:type="dxa"/>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实际完成值</w:t>
            </w:r>
          </w:p>
        </w:tc>
        <w:tc>
          <w:tcPr>
            <w:tcW w:w="943"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分值</w:t>
            </w:r>
          </w:p>
        </w:tc>
        <w:tc>
          <w:tcPr>
            <w:tcW w:w="980"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得分</w:t>
            </w:r>
          </w:p>
        </w:tc>
        <w:tc>
          <w:tcPr>
            <w:tcW w:w="1359" w:type="dxa"/>
            <w:gridSpan w:val="2"/>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偏差原因分析及改进措施</w:t>
            </w: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产出指标（40分）</w:t>
            </w: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数量指标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质量指标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时效指标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成本指标（10分）</w:t>
            </w:r>
          </w:p>
        </w:tc>
        <w:tc>
          <w:tcPr>
            <w:tcW w:w="98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经济成本指标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社会成本指标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45"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生态环境成本指标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效益指标（30分）</w:t>
            </w: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经济效益指标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社会效益指标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生态效益指标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3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restart"/>
            <w:tcBorders>
              <w:top w:val="nil"/>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可持续影响指标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满意度指标（10分）</w:t>
            </w:r>
          </w:p>
        </w:tc>
        <w:tc>
          <w:tcPr>
            <w:tcW w:w="989"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服务对象满意度指标</w:t>
            </w: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指标1：</w:t>
            </w:r>
          </w:p>
        </w:tc>
        <w:tc>
          <w:tcPr>
            <w:tcW w:w="982"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single" w:color="auto" w:sz="4" w:space="0"/>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37"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left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指标2：</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613" w:hRule="exact"/>
          <w:jc w:val="center"/>
        </w:trPr>
        <w:tc>
          <w:tcPr>
            <w:tcW w:w="537" w:type="dxa"/>
            <w:vMerge w:val="continue"/>
            <w:tcBorders>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679" w:type="dxa"/>
            <w:vMerge w:val="continue"/>
            <w:tcBorders>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89" w:type="dxa"/>
            <w:vMerge w:val="continue"/>
            <w:tcBorders>
              <w:top w:val="nil"/>
              <w:left w:val="single" w:color="auto" w:sz="4" w:space="0"/>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564" w:type="dxa"/>
            <w:gridSpan w:val="3"/>
            <w:tcBorders>
              <w:top w:val="single" w:color="auto" w:sz="4" w:space="0"/>
              <w:left w:val="nil"/>
              <w:bottom w:val="single" w:color="auto" w:sz="4" w:space="0"/>
              <w:right w:val="single" w:color="auto" w:sz="4" w:space="0"/>
            </w:tcBorders>
            <w:noWrap w:val="0"/>
            <w:vAlign w:val="center"/>
          </w:tcPr>
          <w:p>
            <w:pPr>
              <w:keepNext w:val="0"/>
              <w:keepLines w:val="0"/>
              <w:widowControl/>
              <w:suppressLineNumbers w:val="0"/>
              <w:jc w:val="left"/>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w:t>
            </w:r>
          </w:p>
        </w:tc>
        <w:tc>
          <w:tcPr>
            <w:tcW w:w="982"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895" w:type="dxa"/>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943" w:type="dxa"/>
            <w:gridSpan w:val="2"/>
            <w:tcBorders>
              <w:top w:val="nil"/>
              <w:left w:val="nil"/>
              <w:bottom w:val="single" w:color="auto" w:sz="4" w:space="0"/>
              <w:right w:val="single" w:color="auto" w:sz="4" w:space="0"/>
            </w:tcBorders>
            <w:noWrap w:val="0"/>
            <w:vAlign w:val="center"/>
          </w:tcPr>
          <w:p>
            <w:pPr>
              <w:jc w:val="center"/>
              <w:rPr>
                <w:highlight w:val="none"/>
              </w:rPr>
            </w:pPr>
          </w:p>
        </w:tc>
        <w:tc>
          <w:tcPr>
            <w:tcW w:w="980" w:type="dxa"/>
            <w:gridSpan w:val="2"/>
            <w:tcBorders>
              <w:top w:val="nil"/>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c>
          <w:tcPr>
            <w:tcW w:w="1359" w:type="dxa"/>
            <w:gridSpan w:val="2"/>
            <w:tcBorders>
              <w:top w:val="single" w:color="auto" w:sz="4" w:space="0"/>
              <w:left w:val="nil"/>
              <w:bottom w:val="single" w:color="auto" w:sz="4" w:space="0"/>
              <w:right w:val="single" w:color="auto" w:sz="4" w:space="0"/>
            </w:tcBorders>
            <w:noWrap w:val="0"/>
            <w:vAlign w:val="center"/>
          </w:tcPr>
          <w:p>
            <w:pPr>
              <w:jc w:val="center"/>
              <w:rPr>
                <w:rFonts w:ascii="宋体" w:hAnsi="宋体" w:cs="宋体"/>
                <w:kern w:val="0"/>
                <w:sz w:val="18"/>
                <w:szCs w:val="18"/>
                <w:highlight w:val="none"/>
              </w:rPr>
            </w:pPr>
          </w:p>
        </w:tc>
      </w:tr>
      <w:tr>
        <w:tblPrEx>
          <w:tblLayout w:type="fixed"/>
          <w:tblCellMar>
            <w:top w:w="0" w:type="dxa"/>
            <w:left w:w="108" w:type="dxa"/>
            <w:bottom w:w="0" w:type="dxa"/>
            <w:right w:w="108" w:type="dxa"/>
          </w:tblCellMar>
        </w:tblPrEx>
        <w:trPr>
          <w:trHeight w:val="291" w:hRule="exact"/>
          <w:jc w:val="center"/>
        </w:trPr>
        <w:tc>
          <w:tcPr>
            <w:tcW w:w="5646" w:type="dxa"/>
            <w:gridSpan w:val="8"/>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总分</w:t>
            </w:r>
          </w:p>
        </w:tc>
        <w:tc>
          <w:tcPr>
            <w:tcW w:w="943"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center"/>
              <w:rPr>
                <w:highlight w:val="none"/>
              </w:rPr>
            </w:pPr>
            <w:r>
              <w:rPr>
                <w:rFonts w:hint="eastAsia" w:ascii="宋体" w:hAnsi="宋体" w:eastAsia="宋体" w:cs="宋体"/>
                <w:i w:val="0"/>
                <w:iCs w:val="0"/>
                <w:color w:val="000000"/>
                <w:kern w:val="0"/>
                <w:sz w:val="18"/>
                <w:szCs w:val="18"/>
                <w:highlight w:val="none"/>
                <w:u w:val="none"/>
                <w:lang w:val="en-US" w:eastAsia="zh-CN" w:bidi="ar"/>
              </w:rPr>
              <w:t>100</w:t>
            </w:r>
          </w:p>
        </w:tc>
        <w:tc>
          <w:tcPr>
            <w:tcW w:w="980" w:type="dxa"/>
            <w:gridSpan w:val="2"/>
            <w:tcBorders>
              <w:top w:val="nil"/>
              <w:left w:val="nil"/>
              <w:bottom w:val="single" w:color="auto" w:sz="4" w:space="0"/>
              <w:right w:val="single" w:color="auto" w:sz="4" w:space="0"/>
            </w:tcBorders>
            <w:noWrap w:val="0"/>
            <w:vAlign w:val="center"/>
          </w:tcPr>
          <w:p>
            <w:pPr>
              <w:keepNext w:val="0"/>
              <w:keepLines w:val="0"/>
              <w:widowControl/>
              <w:suppressLineNumbers w:val="0"/>
              <w:jc w:val="center"/>
              <w:textAlignment w:val="center"/>
              <w:rPr>
                <w:rFonts w:ascii="宋体" w:hAnsi="宋体" w:cs="宋体"/>
                <w:color w:val="000000"/>
                <w:kern w:val="0"/>
                <w:sz w:val="18"/>
                <w:szCs w:val="18"/>
                <w:highlight w:val="none"/>
              </w:rPr>
            </w:pPr>
            <w:r>
              <w:rPr>
                <w:rFonts w:hint="eastAsia" w:ascii="宋体" w:hAnsi="宋体" w:eastAsia="宋体" w:cs="宋体"/>
                <w:i w:val="0"/>
                <w:iCs w:val="0"/>
                <w:color w:val="000000"/>
                <w:kern w:val="0"/>
                <w:sz w:val="18"/>
                <w:szCs w:val="18"/>
                <w:highlight w:val="none"/>
                <w:u w:val="none"/>
                <w:lang w:val="en-US" w:eastAsia="zh-CN" w:bidi="ar"/>
              </w:rPr>
              <w:t>0</w:t>
            </w:r>
          </w:p>
        </w:tc>
        <w:tc>
          <w:tcPr>
            <w:tcW w:w="1359" w:type="dxa"/>
            <w:gridSpan w:val="2"/>
            <w:tcBorders>
              <w:top w:val="single" w:color="auto" w:sz="4" w:space="0"/>
              <w:left w:val="nil"/>
              <w:bottom w:val="single" w:color="auto" w:sz="4" w:space="0"/>
              <w:right w:val="single" w:color="auto" w:sz="4" w:space="0"/>
            </w:tcBorders>
            <w:noWrap w:val="0"/>
            <w:vAlign w:val="center"/>
          </w:tcPr>
          <w:p>
            <w:pPr>
              <w:rPr>
                <w:rFonts w:ascii="宋体" w:hAnsi="宋体" w:cs="宋体"/>
                <w:kern w:val="0"/>
                <w:sz w:val="18"/>
                <w:szCs w:val="18"/>
                <w:highlight w:val="none"/>
              </w:rPr>
            </w:pPr>
          </w:p>
        </w:tc>
      </w:tr>
    </w:tbl>
    <w:p>
      <w:pPr>
        <w:pStyle w:val="2"/>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3000509000000000000"/>
    <w:charset w:val="86"/>
    <w:family w:val="auto"/>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50E42D0"/>
    <w:rsid w:val="075A456F"/>
    <w:rsid w:val="079004AC"/>
    <w:rsid w:val="0A620DAA"/>
    <w:rsid w:val="0B5A2131"/>
    <w:rsid w:val="0BA148CA"/>
    <w:rsid w:val="0C1165C4"/>
    <w:rsid w:val="0D6D544B"/>
    <w:rsid w:val="0DD136FE"/>
    <w:rsid w:val="0F542F2C"/>
    <w:rsid w:val="0F8E2C57"/>
    <w:rsid w:val="1059665E"/>
    <w:rsid w:val="10AC13BA"/>
    <w:rsid w:val="11897B79"/>
    <w:rsid w:val="145A6C1B"/>
    <w:rsid w:val="14B73493"/>
    <w:rsid w:val="15EF78AD"/>
    <w:rsid w:val="160929D9"/>
    <w:rsid w:val="167A2FF9"/>
    <w:rsid w:val="1764587C"/>
    <w:rsid w:val="182550F4"/>
    <w:rsid w:val="18581C69"/>
    <w:rsid w:val="1AEC0734"/>
    <w:rsid w:val="1D1D62D3"/>
    <w:rsid w:val="1DEF20B0"/>
    <w:rsid w:val="1F401C34"/>
    <w:rsid w:val="1FF7AB17"/>
    <w:rsid w:val="214243FA"/>
    <w:rsid w:val="21A84A87"/>
    <w:rsid w:val="21AD613C"/>
    <w:rsid w:val="22467189"/>
    <w:rsid w:val="257A14F5"/>
    <w:rsid w:val="265C4BA0"/>
    <w:rsid w:val="267E3391"/>
    <w:rsid w:val="2680155C"/>
    <w:rsid w:val="2689587F"/>
    <w:rsid w:val="26E904C8"/>
    <w:rsid w:val="27196C26"/>
    <w:rsid w:val="284C4F78"/>
    <w:rsid w:val="29EF086F"/>
    <w:rsid w:val="2A972200"/>
    <w:rsid w:val="2BC34C59"/>
    <w:rsid w:val="2EFFE297"/>
    <w:rsid w:val="301437CA"/>
    <w:rsid w:val="31DB0233"/>
    <w:rsid w:val="33646340"/>
    <w:rsid w:val="339C1AE2"/>
    <w:rsid w:val="349D1F0A"/>
    <w:rsid w:val="34AC4E90"/>
    <w:rsid w:val="34DD0473"/>
    <w:rsid w:val="357814E3"/>
    <w:rsid w:val="3A7266D0"/>
    <w:rsid w:val="3A8E35DC"/>
    <w:rsid w:val="3C147BC5"/>
    <w:rsid w:val="3C684897"/>
    <w:rsid w:val="407637FA"/>
    <w:rsid w:val="40E46E9B"/>
    <w:rsid w:val="433E495C"/>
    <w:rsid w:val="437E5272"/>
    <w:rsid w:val="441A2EE3"/>
    <w:rsid w:val="446541F6"/>
    <w:rsid w:val="4507446D"/>
    <w:rsid w:val="489F2FD7"/>
    <w:rsid w:val="4AC27CB3"/>
    <w:rsid w:val="4BC43B40"/>
    <w:rsid w:val="4BF72BEF"/>
    <w:rsid w:val="4F3075EA"/>
    <w:rsid w:val="4FA90297"/>
    <w:rsid w:val="4FC41A43"/>
    <w:rsid w:val="51DB3C59"/>
    <w:rsid w:val="54B17AE8"/>
    <w:rsid w:val="550C0952"/>
    <w:rsid w:val="55762E42"/>
    <w:rsid w:val="57A7B272"/>
    <w:rsid w:val="57AF6A1A"/>
    <w:rsid w:val="58470068"/>
    <w:rsid w:val="58747CAC"/>
    <w:rsid w:val="5A1720F9"/>
    <w:rsid w:val="5B9C37C2"/>
    <w:rsid w:val="5BA7C654"/>
    <w:rsid w:val="5DF716AE"/>
    <w:rsid w:val="5F9F507E"/>
    <w:rsid w:val="60A54109"/>
    <w:rsid w:val="610E243A"/>
    <w:rsid w:val="61D01CDF"/>
    <w:rsid w:val="62AC0AA9"/>
    <w:rsid w:val="6387728A"/>
    <w:rsid w:val="641E76EA"/>
    <w:rsid w:val="64C0607C"/>
    <w:rsid w:val="65756C86"/>
    <w:rsid w:val="674D385B"/>
    <w:rsid w:val="676F09E1"/>
    <w:rsid w:val="68AD67BE"/>
    <w:rsid w:val="68F41537"/>
    <w:rsid w:val="6E7958AB"/>
    <w:rsid w:val="71691990"/>
    <w:rsid w:val="71793A80"/>
    <w:rsid w:val="73290510"/>
    <w:rsid w:val="7357290B"/>
    <w:rsid w:val="756E3DEA"/>
    <w:rsid w:val="76FB1693"/>
    <w:rsid w:val="779B7073"/>
    <w:rsid w:val="798524E4"/>
    <w:rsid w:val="7A7F1C49"/>
    <w:rsid w:val="7B5B7AE6"/>
    <w:rsid w:val="7B7B6628"/>
    <w:rsid w:val="7BA7071E"/>
    <w:rsid w:val="7BDF6DA8"/>
    <w:rsid w:val="7BE7193C"/>
    <w:rsid w:val="7C7EDC1A"/>
    <w:rsid w:val="7CCED98D"/>
    <w:rsid w:val="7D08410F"/>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21"/>
    <w:basedOn w:val="11"/>
    <w:qFormat/>
    <w:uiPriority w:val="0"/>
    <w:rPr>
      <w:rFonts w:hint="eastAsia" w:ascii="宋体" w:hAnsi="宋体" w:eastAsia="宋体" w:cs="宋体"/>
      <w:color w:val="000000"/>
      <w:sz w:val="18"/>
      <w:szCs w:val="18"/>
      <w:u w:val="none"/>
    </w:rPr>
  </w:style>
  <w:style w:type="character" w:customStyle="1" w:styleId="21">
    <w:name w:val="font0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321.48</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345.77</c:v>
                </c:pt>
                <c:pt idx="1">
                  <c:v>0</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0</TotalTime>
  <ScaleCrop>false</ScaleCrop>
  <LinksUpToDate>false</LinksUpToDate>
  <CharactersWithSpaces>298</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2020-08-09T03:39:00Z</cp:lastPrinted>
  <dcterms:modified xsi:type="dcterms:W3CDTF">2025-09-24T01:49:00Z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