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2F67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</w:p>
    <w:tbl>
      <w:tblPr>
        <w:tblStyle w:val="10"/>
        <w:tblW w:w="10035" w:type="dxa"/>
        <w:tblInd w:w="-38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1573"/>
        <w:gridCol w:w="2027"/>
        <w:gridCol w:w="136"/>
        <w:gridCol w:w="4973"/>
      </w:tblGrid>
      <w:tr w14:paraId="7EED47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035" w:type="dxa"/>
            <w:gridSpan w:val="5"/>
            <w:vAlign w:val="center"/>
          </w:tcPr>
          <w:p w14:paraId="1C7BE62F">
            <w:pPr>
              <w:pStyle w:val="2"/>
              <w:rPr>
                <w:kern w:val="0"/>
                <w:sz w:val="28"/>
                <w:szCs w:val="28"/>
              </w:rPr>
            </w:pPr>
            <w:bookmarkStart w:id="0" w:name="_Toc381790386"/>
            <w:bookmarkStart w:id="1" w:name="_Toc410210417"/>
            <w:r>
              <w:rPr>
                <w:rFonts w:hint="eastAsia"/>
                <w:kern w:val="0"/>
                <w:sz w:val="28"/>
                <w:szCs w:val="28"/>
              </w:rPr>
              <w:t>部门整体支出绩效目标申报表</w:t>
            </w:r>
            <w:bookmarkEnd w:id="0"/>
            <w:bookmarkEnd w:id="1"/>
          </w:p>
        </w:tc>
      </w:tr>
      <w:tr w14:paraId="0624A6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035" w:type="dxa"/>
            <w:gridSpan w:val="5"/>
            <w:tcBorders>
              <w:bottom w:val="single" w:color="auto" w:sz="4" w:space="0"/>
            </w:tcBorders>
            <w:vAlign w:val="center"/>
          </w:tcPr>
          <w:p w14:paraId="736DC75C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（</w:t>
            </w:r>
            <w:r>
              <w:rPr>
                <w:rFonts w:ascii="宋体" w:hAnsi="宋体"/>
                <w:kern w:val="0"/>
              </w:rPr>
              <w:t xml:space="preserve"> 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2025</w:t>
            </w:r>
            <w:r>
              <w:rPr>
                <w:rFonts w:hint="eastAsia" w:ascii="宋体" w:hAnsi="宋体" w:cs="宋体"/>
                <w:kern w:val="0"/>
              </w:rPr>
              <w:t>年度）</w:t>
            </w:r>
          </w:p>
        </w:tc>
      </w:tr>
      <w:tr w14:paraId="7C2F23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exact"/>
        </w:trPr>
        <w:tc>
          <w:tcPr>
            <w:tcW w:w="13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D8819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部门（单位）名称</w:t>
            </w:r>
          </w:p>
        </w:tc>
        <w:tc>
          <w:tcPr>
            <w:tcW w:w="870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38F421">
            <w:pPr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北京市大兴区科学技术委员会</w:t>
            </w:r>
          </w:p>
        </w:tc>
      </w:tr>
      <w:tr w14:paraId="17DCB2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55C25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部门（单位）总体资金情况（万元）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B7CBA8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资金总额：</w:t>
            </w:r>
          </w:p>
        </w:tc>
        <w:tc>
          <w:tcPr>
            <w:tcW w:w="5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9C0A2">
            <w:pPr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3479.95</w:t>
            </w:r>
          </w:p>
        </w:tc>
      </w:tr>
      <w:tr w14:paraId="1D19AB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143F7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C38DBB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基本支出：</w:t>
            </w:r>
          </w:p>
        </w:tc>
        <w:tc>
          <w:tcPr>
            <w:tcW w:w="5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D996D">
            <w:pPr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1241.44</w:t>
            </w:r>
          </w:p>
        </w:tc>
      </w:tr>
      <w:tr w14:paraId="100CA0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3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18721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67B4C179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项目支出：</w:t>
            </w:r>
          </w:p>
        </w:tc>
        <w:tc>
          <w:tcPr>
            <w:tcW w:w="510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7EF5B87">
            <w:pPr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2238.51</w:t>
            </w:r>
          </w:p>
        </w:tc>
      </w:tr>
      <w:tr w14:paraId="01690C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exact"/>
        </w:trPr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F2ABB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部门（单位）绩效目标</w:t>
            </w:r>
          </w:p>
        </w:tc>
        <w:tc>
          <w:tcPr>
            <w:tcW w:w="87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BC7C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在区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委区政府的坚强领导下，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区科委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紧紧围绕中心工作，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聚焦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科技创新和“产业强区”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发展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集聚创新资源和要素，加大主导产业关键技术攻关和未来产业布局，加快科技创新培育新</w:t>
            </w:r>
            <w:bookmarkStart w:id="2" w:name="_GoBack"/>
            <w:bookmarkEnd w:id="2"/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质生产力，进一步提升全区科技创新能力，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更好支撑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服务全区经济和社会高质量发展。</w:t>
            </w:r>
          </w:p>
        </w:tc>
      </w:tr>
      <w:tr w14:paraId="05ACAB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3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C9C0B">
            <w:pPr>
              <w:ind w:left="-107" w:leftChars="-51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C6114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任务</w:t>
            </w:r>
          </w:p>
        </w:tc>
        <w:tc>
          <w:tcPr>
            <w:tcW w:w="2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A361C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名称</w:t>
            </w:r>
          </w:p>
        </w:tc>
        <w:tc>
          <w:tcPr>
            <w:tcW w:w="4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E1FA7B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指标内容和指标值</w:t>
            </w:r>
          </w:p>
        </w:tc>
      </w:tr>
      <w:tr w14:paraId="499818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9" w:hRule="atLeast"/>
        </w:trPr>
        <w:tc>
          <w:tcPr>
            <w:tcW w:w="13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A6688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AEE3C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任务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一</w:t>
            </w:r>
          </w:p>
        </w:tc>
        <w:tc>
          <w:tcPr>
            <w:tcW w:w="21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0BD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0"/>
                <w:szCs w:val="20"/>
                <w:shd w:val="clear" w:color="auto" w:fill="auto"/>
                <w:lang w:val="en-US" w:eastAsia="zh-CN" w:bidi="ar-SA"/>
              </w:rPr>
              <w:t>编制创新规划布局谋篇。</w:t>
            </w:r>
          </w:p>
        </w:tc>
        <w:tc>
          <w:tcPr>
            <w:tcW w:w="4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6D3AF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00" w:firstLineChars="200"/>
              <w:textAlignment w:val="auto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牵头编制《大兴区“十五五”时期科技创新发展规划》，全面总结大兴区“十四五”科技创新发展取得显著成就和经验，谋划好“十五五”时期科技创新发展的时间表、优先序、路线图，研判“十五五”时期科技创新面临的新趋势新要求，围绕大兴区科技创新发展的总体思路、基本原则、发展目标（指标）、科技创新主要任务、规划实施保障等内容开展分析研究。聚焦制约大兴区科技创新发展的突出短板，合理确定5年内的科技创新发展的重点任务，同时加强对未来 10 年甚至更长远发展进行深入的思考，积极服务大兴区科技创新引领区建设，为科学决策提供有力支撑。</w:t>
            </w:r>
          </w:p>
        </w:tc>
      </w:tr>
      <w:tr w14:paraId="1A0D0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3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603B0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92CEB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任务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</w:t>
            </w:r>
          </w:p>
        </w:tc>
        <w:tc>
          <w:tcPr>
            <w:tcW w:w="2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C6B3E">
            <w:pPr>
              <w:jc w:val="both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0"/>
                <w:szCs w:val="20"/>
                <w:lang w:val="en-US" w:eastAsia="zh-CN" w:bidi="ar-SA"/>
              </w:rPr>
              <w:t>加强对接国家市级资源。</w:t>
            </w:r>
          </w:p>
        </w:tc>
        <w:tc>
          <w:tcPr>
            <w:tcW w:w="4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BF26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与科技部、市科委中关村管委会等市级部门各相关处室中心紧密对接，聚焦生物医药、电子信息、新材料、新能源、智能装备等领域，用好市级政策及资源，承接好市级重点项目，主动布局，在重大成果专项、孵化载体支持等多个方面，不断争取更多国家、市级资金支持。全力争取市级产业基金、生物医药细分领域重点项目、超长期国债、标厂等政策资金，实现资金争取和项目谋划最大化。持续推进北京自然基金-大兴创新联合基金，用好市级创新资源，加快企业技术攻关和研发效能，增强区域创新能力。以实施北京国际科技创新中心重点任务和重大项目为抓手，在北京国际科技创新中心建设工作中做出大兴贡献。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加快推动首医大创新中心、天坛医院国家医学中心等项目落地，市区合力推动武田制药等外企研发中心及产业项目，加快形成新质生产力。</w:t>
            </w:r>
          </w:p>
        </w:tc>
      </w:tr>
      <w:tr w14:paraId="63F43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3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B1B7F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42CB4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任务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三</w:t>
            </w:r>
          </w:p>
        </w:tc>
        <w:tc>
          <w:tcPr>
            <w:tcW w:w="2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A78DC"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0"/>
                <w:szCs w:val="20"/>
                <w:lang w:val="en-US" w:eastAsia="zh-CN" w:bidi="ar-SA"/>
              </w:rPr>
              <w:t>强力推进指标调度。</w:t>
            </w:r>
          </w:p>
          <w:p w14:paraId="516864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CF3B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 w:firstLine="400" w:firstLineChars="200"/>
              <w:textAlignment w:val="auto"/>
              <w:outlineLvl w:val="9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0"/>
                <w:szCs w:val="20"/>
                <w:lang w:val="en-US" w:eastAsia="zh-CN" w:bidi="ar-SA"/>
              </w:rPr>
              <w:t>紧盯市级考核指标，着力强化科学调度，全力以赴抓落实、全市排名争进位。及时总结各属地指标推进工作中共性、难点问题，梳理典型案例，邀请财务专家进行培训指导，加大数据归集、提升增量；强化属地与统计部门沟通联系，跟进每月企业数据，做好风险把控，掌握各企业研发运营情况以及财务要求，抓大不放小，稳存量找增量，切实增强工作针对性。</w:t>
            </w: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spacing w:val="1"/>
                <w:kern w:val="0"/>
                <w:sz w:val="20"/>
                <w:szCs w:val="20"/>
                <w:highlight w:val="none"/>
                <w:lang w:val="en-US" w:eastAsia="zh-CN" w:bidi="ar-SA"/>
              </w:rPr>
              <w:t>针对指标企业，分行业组织服务对接活动，帮助企业对接资源，拓展市场，促进营收。</w:t>
            </w:r>
          </w:p>
        </w:tc>
      </w:tr>
      <w:tr w14:paraId="0B0010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3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BEA16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6C3F2"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任务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四</w:t>
            </w:r>
          </w:p>
        </w:tc>
        <w:tc>
          <w:tcPr>
            <w:tcW w:w="2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6FFA6">
            <w:pPr>
              <w:jc w:val="both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  <w:t>探索生物医药产业发展新思路。</w:t>
            </w:r>
          </w:p>
        </w:tc>
        <w:tc>
          <w:tcPr>
            <w:tcW w:w="4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95E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00" w:firstLineChars="200"/>
              <w:jc w:val="both"/>
              <w:textAlignment w:val="auto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一是用好国家六大中心、市级调度机制和产业基金，主动承接市级任务，更好融入全市谋篇布局、落地更多项目。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  <w:t>二是加强与市医药中心临床部、区卫健委等部门沟通交流，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" w:bidi="ar-SA"/>
              </w:rPr>
              <w:t>促进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  <w:t>医药企业、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" w:bidi="ar-SA"/>
              </w:rPr>
              <w:t>CXO平台与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  <w:t>市区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" w:bidi="ar-SA"/>
              </w:rPr>
              <w:t>医疗资源相结合，增强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  <w:t>企业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" w:bidi="ar-SA"/>
              </w:rPr>
              <w:t>与医院交流，形成常态化的交流机制。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  <w:t>继续组织好大兴区院企优质项目对接会，整合区内外优质资源，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" w:bidi="ar-SA"/>
              </w:rPr>
              <w:t>形成创新成果的产业放大效应。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  <w:t>三是发挥中国国际经济交流中心资源优势，对国内外促进生物医药产业发展的先进政策经验进行研究，分析先进政策在大兴落地实施的可行性，探索促进大兴生物医药产业高质量发展的药品监管新机制和新试点，为大兴区生物医药产业发展提供系统性思路和切实可行的建议。</w:t>
            </w:r>
          </w:p>
        </w:tc>
      </w:tr>
      <w:tr w14:paraId="1235AB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3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0A170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4B467"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任务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五</w:t>
            </w:r>
          </w:p>
        </w:tc>
        <w:tc>
          <w:tcPr>
            <w:tcW w:w="2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5BE1E">
            <w:pPr>
              <w:jc w:val="both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0"/>
                <w:szCs w:val="20"/>
                <w:lang w:val="en-US" w:eastAsia="zh-CN" w:bidi="ar-SA"/>
              </w:rPr>
              <w:t>培育壮大创新主体。</w:t>
            </w:r>
          </w:p>
        </w:tc>
        <w:tc>
          <w:tcPr>
            <w:tcW w:w="4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F4DD6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400" w:firstLineChars="200"/>
              <w:textAlignment w:val="auto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0"/>
                <w:szCs w:val="20"/>
                <w:lang w:val="en-US" w:eastAsia="zh-CN" w:bidi="ar-SA"/>
              </w:rPr>
              <w:t>落地国高新“三大工程”要求，完善科技型中小企业和国高新技术企业等创新主体培育发展体系，引导企业从知识产权、研发创新、成果转化等方面提前谋划布局，提升国高新技术企业保有量和高新“小升规”企业占比。完善事中事后监管制度，服务国高新技术企业扩容提质。构建国家实验室、全国重点实验室和各类研发中心组成的实验室体系；围绕氢能、商业航天等新兴产业，布局研究院、创新中心、技术中心等研究机构；规范孵化器认定管理，建设共性技术服务平台和成果转化平台，支持申报国家级、市级孵化器、北京市标杆孵化器。</w:t>
            </w:r>
          </w:p>
        </w:tc>
      </w:tr>
      <w:tr w14:paraId="3EB19B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3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8E365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4FC3C">
            <w:pPr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任务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六</w:t>
            </w:r>
          </w:p>
        </w:tc>
        <w:tc>
          <w:tcPr>
            <w:tcW w:w="2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5027C">
            <w:pPr>
              <w:jc w:val="both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  <w:t>探索科技金融服务新模式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  <w:t>。</w:t>
            </w:r>
          </w:p>
        </w:tc>
        <w:tc>
          <w:tcPr>
            <w:tcW w:w="4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6A4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00" w:firstLineChars="200"/>
              <w:jc w:val="both"/>
              <w:textAlignment w:val="auto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是建立科技金融对接服务平台。重点收集市科委中关村管委会支持科技型企业的金融政策，整理企业融资需求，筛选金融机构金融产品，构建集科技金融服务机构、科技金融政策、金融产品、企业融资需求于一体的工作体系。二是开办科技金融大讲堂。举办讲座、投融资对接交流会等活动，加快建立多元化、常态化的服务体系，有效解决企业融资需求，为推动科技型企业高质量发展注入活力。</w:t>
            </w:r>
          </w:p>
        </w:tc>
      </w:tr>
      <w:tr w14:paraId="09431F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3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C411A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63FE2">
            <w:pPr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任务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七</w:t>
            </w:r>
          </w:p>
        </w:tc>
        <w:tc>
          <w:tcPr>
            <w:tcW w:w="2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30BA2">
            <w:pPr>
              <w:jc w:val="both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着力建设科技服务业。</w:t>
            </w:r>
          </w:p>
        </w:tc>
        <w:tc>
          <w:tcPr>
            <w:tcW w:w="4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1399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00" w:firstLineChars="200"/>
              <w:textAlignment w:val="auto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按照科技服务业发展特点，结合大兴区产业发展基础，全区统筹布局，聚焦重点，重点围绕生物医药基地、清源街道、新城核心区等打造科技创新集聚发展区。聚焦医药健康、氢能及商业航天等产业发</w:t>
            </w: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spacing w:val="1"/>
                <w:kern w:val="0"/>
                <w:sz w:val="20"/>
                <w:szCs w:val="20"/>
                <w:highlight w:val="none"/>
                <w:lang w:val="en-US" w:eastAsia="zh-CN" w:bidi="ar-SA"/>
              </w:rPr>
              <w:t>展，分阶段、分区域、分类别开展细分行业引育布局。</w:t>
            </w:r>
          </w:p>
        </w:tc>
      </w:tr>
      <w:tr w14:paraId="663C0F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3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45649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79EC2">
            <w:pPr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任务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八</w:t>
            </w:r>
          </w:p>
        </w:tc>
        <w:tc>
          <w:tcPr>
            <w:tcW w:w="2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E40E9">
            <w:pPr>
              <w:jc w:val="both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全力做好科技招商工作。</w:t>
            </w:r>
          </w:p>
        </w:tc>
        <w:tc>
          <w:tcPr>
            <w:tcW w:w="4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4A87F">
            <w:pPr>
              <w:pStyle w:val="9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400" w:firstLineChars="200"/>
              <w:jc w:val="both"/>
              <w:textAlignment w:val="baseline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一是瞄准重点领域，聚集“隐形冠军”。全力用好市级资金，围绕生命健康、新材料、人工智能等相关业态，引入优质科技型企业。二是瞄准重点项目，用好以商招商。发挥区内龙头企业作用，着力挖掘产业链上下游关键企业，进一步增强招商引资的针对性、精准性，不断提高招商工作质量和水平。</w:t>
            </w:r>
          </w:p>
        </w:tc>
      </w:tr>
      <w:tr w14:paraId="77ECE4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3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74D24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67944">
            <w:pPr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任务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九</w:t>
            </w:r>
          </w:p>
        </w:tc>
        <w:tc>
          <w:tcPr>
            <w:tcW w:w="2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DA162">
            <w:pPr>
              <w:jc w:val="both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创新产学研工作新模式。</w:t>
            </w:r>
          </w:p>
        </w:tc>
        <w:tc>
          <w:tcPr>
            <w:tcW w:w="4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35DF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 w:firstLine="400" w:firstLineChars="200"/>
              <w:textAlignment w:val="auto"/>
              <w:outlineLvl w:val="9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组织产学研供需常态化对接活动，与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  <w:t>北京电子科技职业学院继续加强深入合作。同时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梳理科研成果，组织相关高校、院所、企业面对面进行深度沟通交流，项目合作围绕联合攻关、加强转化等内容展开，构建产学研战略合作和协同发展新模式，推进科研创新、人才培养、资源要素共享，打造校企联合协同创新平台。</w:t>
            </w:r>
          </w:p>
        </w:tc>
      </w:tr>
      <w:tr w14:paraId="3E0E89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3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4A11F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0F15B">
            <w:pPr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任务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十</w:t>
            </w:r>
          </w:p>
        </w:tc>
        <w:tc>
          <w:tcPr>
            <w:tcW w:w="2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16250">
            <w:pPr>
              <w:pStyle w:val="9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加强科普能力建设，促进科普高质量发展。</w:t>
            </w:r>
          </w:p>
          <w:p w14:paraId="51028F9D">
            <w:pPr>
              <w:jc w:val="both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047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 w:firstLine="400" w:firstLineChars="200"/>
              <w:textAlignment w:val="auto"/>
              <w:outlineLvl w:val="9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一是</w:t>
            </w:r>
            <w:r>
              <w:rPr>
                <w:rFonts w:hint="eastAsia" w:ascii="宋体" w:hAnsi="宋体" w:eastAsia="宋体" w:cs="宋体"/>
                <w:kern w:val="32"/>
                <w:sz w:val="20"/>
                <w:szCs w:val="20"/>
              </w:rPr>
              <w:t>进一步发挥区级科普工作联席会议作用，推动区域科普工作统筹发展，推动各成员单位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建设应急、健康、气象、交通等行业科普阵地，联动生物医药、氢能等各园区，开展主题科普，形成产业科普的发力点。二是</w:t>
            </w:r>
            <w:r>
              <w:rPr>
                <w:rFonts w:hint="eastAsia" w:ascii="宋体" w:hAnsi="宋体" w:eastAsia="宋体" w:cs="宋体"/>
                <w:kern w:val="32"/>
                <w:sz w:val="20"/>
                <w:szCs w:val="20"/>
              </w:rPr>
              <w:t>持续推动市、区级科普基地建设，打造我区科普基地亮点。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完善科普工作政策体系，积极帮助科普基地申报国家、市级相关科普项目，争取国家和市级相关政策和资金支持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。三是推动科教融合工作开展。加强青少年科普活动联动，依托市级活动资源导入、科技创新评比竞赛等方式，搭建多个平台促进科教融合。建立院校和科普基地、科技类校外培训机构对接长效机制。</w:t>
            </w:r>
          </w:p>
        </w:tc>
      </w:tr>
      <w:tr w14:paraId="3817D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exact"/>
        </w:trPr>
        <w:tc>
          <w:tcPr>
            <w:tcW w:w="13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71051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87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8402B4">
            <w:pPr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 w14:paraId="42866842">
      <w:pPr>
        <w:spacing w:line="300" w:lineRule="exact"/>
        <w:ind w:left="-424" w:leftChars="-202" w:firstLine="0"/>
      </w:pPr>
      <w:r>
        <w:rPr>
          <w:rFonts w:hint="eastAsia"/>
        </w:rPr>
        <w:t>填制</w:t>
      </w:r>
      <w:r>
        <w:t>说明：</w:t>
      </w:r>
      <w:r>
        <w:rPr>
          <w:rFonts w:hint="eastAsia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部门（单位）绩效目标：概括部门年度</w:t>
      </w:r>
      <w:r>
        <w:t>总体绩效目标</w:t>
      </w:r>
      <w:r>
        <w:rPr>
          <w:rFonts w:hint="eastAsia"/>
        </w:rPr>
        <w:t>。</w:t>
      </w:r>
    </w:p>
    <w:p w14:paraId="551DCEC0">
      <w:pPr>
        <w:spacing w:line="300" w:lineRule="exact"/>
        <w:ind w:firstLine="630" w:firstLineChars="300"/>
      </w:pPr>
      <w:r>
        <w:t>2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绩效</w:t>
      </w:r>
      <w:r>
        <w:t>指标：是对总体目标的分解和细化。</w:t>
      </w:r>
      <w:r>
        <w:rPr>
          <w:rFonts w:hint="eastAsia"/>
        </w:rPr>
        <w:t>按照</w:t>
      </w:r>
      <w:r>
        <w:t>部门职能</w:t>
      </w:r>
      <w:r>
        <w:rPr>
          <w:rFonts w:hint="eastAsia"/>
        </w:rPr>
        <w:t>、</w:t>
      </w:r>
      <w:r>
        <w:t>年度重点任务</w:t>
      </w:r>
      <w:r>
        <w:rPr>
          <w:rFonts w:hint="eastAsia"/>
        </w:rPr>
        <w:t>和</w:t>
      </w:r>
      <w:r>
        <w:t>年度重点项目分条填写。</w:t>
      </w:r>
    </w:p>
    <w:p w14:paraId="4BA43EE0">
      <w:pPr>
        <w:spacing w:line="300" w:lineRule="exact"/>
        <w:ind w:firstLine="630" w:firstLineChars="300"/>
      </w:pPr>
      <w:r>
        <w:rPr>
          <w:rFonts w:hint="eastAsia"/>
        </w:rPr>
        <w:t>3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指标</w:t>
      </w:r>
      <w:r>
        <w:t>内容和指标值</w:t>
      </w:r>
      <w:r>
        <w:rPr>
          <w:rFonts w:hint="eastAsia"/>
        </w:rPr>
        <w:t>：</w:t>
      </w:r>
      <w:r>
        <w:t>应</w:t>
      </w:r>
      <w:r>
        <w:rPr>
          <w:rFonts w:hint="eastAsia"/>
        </w:rPr>
        <w:t>包括</w:t>
      </w:r>
      <w:r>
        <w:t>年度产出</w:t>
      </w:r>
      <w:r>
        <w:rPr>
          <w:rFonts w:hint="eastAsia"/>
        </w:rPr>
        <w:t>目标</w:t>
      </w:r>
      <w:r>
        <w:t>，以及</w:t>
      </w:r>
      <w:r>
        <w:rPr>
          <w:rFonts w:hint="eastAsia"/>
        </w:rPr>
        <w:t>相应产出</w:t>
      </w:r>
      <w:r>
        <w:t>所带来的效果</w:t>
      </w:r>
      <w:r>
        <w:rPr>
          <w:rFonts w:hint="eastAsia"/>
        </w:rPr>
        <w:t>目标</w:t>
      </w:r>
      <w:r>
        <w:t>。</w:t>
      </w:r>
      <w:r>
        <w:rPr>
          <w:rFonts w:hint="eastAsia"/>
        </w:rPr>
        <w:t>其中</w:t>
      </w:r>
      <w:r>
        <w:t>，</w:t>
      </w:r>
      <w:r>
        <w:rPr>
          <w:rFonts w:hint="eastAsia"/>
        </w:rPr>
        <w:t>产出目标应</w:t>
      </w:r>
      <w:r>
        <w:t>量化</w:t>
      </w:r>
      <w:r>
        <w:rPr>
          <w:rFonts w:hint="eastAsia"/>
        </w:rPr>
        <w:t>，预期</w:t>
      </w:r>
      <w:r>
        <w:t>效果标应明确</w:t>
      </w:r>
      <w:r>
        <w:rPr>
          <w:rFonts w:hint="eastAsia"/>
        </w:rPr>
        <w:t>。</w:t>
      </w:r>
    </w:p>
    <w:p w14:paraId="162D2F9F">
      <w:pPr>
        <w:spacing w:line="300" w:lineRule="exact"/>
        <w:ind w:firstLine="630" w:firstLineChars="300"/>
      </w:pPr>
      <w:r>
        <w:t>4</w:t>
      </w:r>
      <w:r>
        <w:rPr>
          <w:rFonts w:hint="eastAsia"/>
          <w:lang w:val="en-US" w:eastAsia="zh-CN"/>
        </w:rPr>
        <w:t>.</w:t>
      </w:r>
      <w:r>
        <w:t>指标内容</w:t>
      </w:r>
      <w:r>
        <w:rPr>
          <w:rFonts w:hint="eastAsia"/>
        </w:rPr>
        <w:t>：</w:t>
      </w:r>
      <w:r>
        <w:t>是对</w:t>
      </w:r>
      <w:r>
        <w:rPr>
          <w:rFonts w:hint="eastAsia"/>
        </w:rPr>
        <w:t>分解</w:t>
      </w:r>
      <w:r>
        <w:t>细化绩效目标的</w:t>
      </w:r>
      <w:r>
        <w:rPr>
          <w:rFonts w:hint="eastAsia"/>
        </w:rPr>
        <w:t>具体</w:t>
      </w:r>
      <w:r>
        <w:t>描述。</w:t>
      </w:r>
    </w:p>
    <w:p w14:paraId="7A5E206A">
      <w:pPr>
        <w:spacing w:line="300" w:lineRule="exact"/>
        <w:ind w:firstLine="630" w:firstLineChars="300"/>
      </w:pPr>
      <w:r>
        <w:t>5</w:t>
      </w:r>
      <w:r>
        <w:rPr>
          <w:rFonts w:hint="eastAsia"/>
          <w:lang w:val="en-US" w:eastAsia="zh-CN"/>
        </w:rPr>
        <w:t>.</w:t>
      </w:r>
      <w:r>
        <w:t>指标值</w:t>
      </w:r>
      <w:r>
        <w:rPr>
          <w:rFonts w:hint="eastAsia"/>
        </w:rPr>
        <w:t>：是</w:t>
      </w:r>
      <w:r>
        <w:t>绩效目标</w:t>
      </w:r>
      <w:r>
        <w:rPr>
          <w:rFonts w:hint="eastAsia"/>
        </w:rPr>
        <w:t>要</w:t>
      </w:r>
      <w:r>
        <w:t>达到</w:t>
      </w:r>
      <w:r>
        <w:rPr>
          <w:rFonts w:hint="eastAsia"/>
        </w:rPr>
        <w:t>的</w:t>
      </w:r>
      <w:r>
        <w:t>量化</w:t>
      </w:r>
      <w:r>
        <w:rPr>
          <w:rFonts w:hint="eastAsia"/>
        </w:rPr>
        <w:t>的</w:t>
      </w:r>
      <w:r>
        <w:t>或</w:t>
      </w:r>
      <w:r>
        <w:rPr>
          <w:rFonts w:hint="eastAsia"/>
        </w:rPr>
        <w:t>其他</w:t>
      </w:r>
      <w:r>
        <w:t>可衡量的</w:t>
      </w:r>
      <w:r>
        <w:rPr>
          <w:rFonts w:hint="eastAsia"/>
        </w:rPr>
        <w:t>值。</w:t>
      </w:r>
    </w:p>
    <w:sectPr>
      <w:footerReference r:id="rId3" w:type="default"/>
      <w:footerReference r:id="rId4" w:type="even"/>
      <w:pgSz w:w="11906" w:h="16838"/>
      <w:pgMar w:top="2098" w:right="1474" w:bottom="2098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27214F">
    <w:pPr>
      <w:pStyle w:val="6"/>
      <w:framePr w:wrap="around" w:vAnchor="text" w:hAnchor="page" w:x="4004" w:y="-443"/>
      <w:ind w:left="5250"/>
      <w:jc w:val="right"/>
      <w:rPr>
        <w:rStyle w:val="12"/>
        <w:rFonts w:ascii="宋体"/>
        <w:sz w:val="28"/>
        <w:szCs w:val="28"/>
      </w:rPr>
    </w:pPr>
    <w:r>
      <w:rPr>
        <w:rStyle w:val="12"/>
        <w:rFonts w:hint="eastAsia" w:ascii="宋体" w:hAnsi="宋体"/>
        <w:sz w:val="28"/>
        <w:szCs w:val="28"/>
      </w:rPr>
      <w:t>―</w:t>
    </w:r>
    <w:r>
      <w:rPr>
        <w:rStyle w:val="12"/>
        <w:rFonts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Style w:val="12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12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12"/>
        <w:rFonts w:ascii="宋体" w:hAnsi="宋体"/>
        <w:sz w:val="28"/>
        <w:szCs w:val="28"/>
      </w:rPr>
      <w:t xml:space="preserve"> </w:t>
    </w:r>
    <w:r>
      <w:rPr>
        <w:rStyle w:val="12"/>
        <w:rFonts w:hint="eastAsia" w:ascii="宋体" w:hAnsi="宋体"/>
        <w:sz w:val="28"/>
        <w:szCs w:val="28"/>
      </w:rPr>
      <w:t>―</w:t>
    </w:r>
    <w:r>
      <w:rPr>
        <w:rStyle w:val="12"/>
        <w:rFonts w:ascii="宋体" w:hAnsi="宋体"/>
        <w:sz w:val="28"/>
        <w:szCs w:val="28"/>
      </w:rPr>
      <w:t xml:space="preserve">   </w:t>
    </w:r>
  </w:p>
  <w:p w14:paraId="6CE2BE6F"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D1094">
    <w:pPr>
      <w:pStyle w:val="6"/>
      <w:framePr w:wrap="around" w:vAnchor="text" w:hAnchor="page" w:x="1694" w:y="-743"/>
      <w:ind w:right="420"/>
      <w:jc w:val="both"/>
      <w:rPr>
        <w:rStyle w:val="12"/>
        <w:rFonts w:ascii="宋体"/>
        <w:sz w:val="28"/>
        <w:szCs w:val="28"/>
      </w:rPr>
    </w:pPr>
    <w:r>
      <w:rPr>
        <w:rStyle w:val="12"/>
        <w:rFonts w:hint="eastAsia" w:ascii="宋体" w:hAnsi="宋体"/>
        <w:sz w:val="28"/>
        <w:szCs w:val="28"/>
      </w:rPr>
      <w:t>―</w:t>
    </w:r>
    <w:r>
      <w:rPr>
        <w:rStyle w:val="12"/>
        <w:rFonts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Style w:val="12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12"/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12"/>
        <w:rFonts w:ascii="宋体" w:hAnsi="宋体"/>
        <w:sz w:val="28"/>
        <w:szCs w:val="28"/>
      </w:rPr>
      <w:t xml:space="preserve"> </w:t>
    </w:r>
    <w:r>
      <w:rPr>
        <w:rStyle w:val="12"/>
        <w:rFonts w:hint="eastAsia" w:ascii="宋体" w:hAnsi="宋体"/>
        <w:sz w:val="28"/>
        <w:szCs w:val="28"/>
      </w:rPr>
      <w:t>―</w:t>
    </w:r>
  </w:p>
  <w:p w14:paraId="572F876D">
    <w:pPr>
      <w:pStyle w:val="6"/>
      <w:ind w:right="360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EB325B"/>
    <w:rsid w:val="263B6B9E"/>
    <w:rsid w:val="2F884E8E"/>
    <w:rsid w:val="30B163E0"/>
    <w:rsid w:val="392318A1"/>
    <w:rsid w:val="4457416F"/>
    <w:rsid w:val="4DE33231"/>
    <w:rsid w:val="58404E99"/>
    <w:rsid w:val="5A077E6A"/>
    <w:rsid w:val="6E24424E"/>
    <w:rsid w:val="7A0B098A"/>
    <w:rsid w:val="DCF3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  <w:rPr>
      <w:szCs w:val="24"/>
    </w:rPr>
  </w:style>
  <w:style w:type="paragraph" w:styleId="4">
    <w:name w:val="Body Text"/>
    <w:basedOn w:val="1"/>
    <w:next w:val="1"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5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index heading"/>
    <w:basedOn w:val="1"/>
    <w:next w:val="8"/>
    <w:qFormat/>
    <w:uiPriority w:val="0"/>
    <w:rPr>
      <w:rFonts w:ascii="Arial" w:hAnsi="Arial"/>
      <w:b/>
      <w:sz w:val="21"/>
    </w:rPr>
  </w:style>
  <w:style w:type="paragraph" w:styleId="8">
    <w:name w:val="index 1"/>
    <w:basedOn w:val="1"/>
    <w:next w:val="1"/>
    <w:qFormat/>
    <w:uiPriority w:val="0"/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ascii="Calibri" w:hAnsi="Calibri" w:eastAsia="宋体" w:cs="Times New Roman"/>
      <w:kern w:val="0"/>
      <w:sz w:val="24"/>
      <w:lang w:val="en-US" w:eastAsia="zh-CN" w:bidi="ar"/>
    </w:rPr>
  </w:style>
  <w:style w:type="character" w:styleId="12">
    <w:name w:val="page number"/>
    <w:basedOn w:val="1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1339</Words>
  <Characters>1365</Characters>
  <Lines>0</Lines>
  <Paragraphs>0</Paragraphs>
  <TotalTime>3</TotalTime>
  <ScaleCrop>false</ScaleCrop>
  <LinksUpToDate>false</LinksUpToDate>
  <CharactersWithSpaces>1369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pc</dc:creator>
  <cp:lastModifiedBy>旅游</cp:lastModifiedBy>
  <dcterms:modified xsi:type="dcterms:W3CDTF">2025-02-02T09:23:51Z</dcterms:modified>
  <dc:title>部门整体支出绩效目标申报表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eyJoZGlkIjoiNzdhYzhkYjM4MGJhM2Y3YTUwMGM4MmQyNTYxNGU0N2UiLCJ1c2VySWQiOiI1MTE4OTI2MzAifQ==</vt:lpwstr>
  </property>
  <property fmtid="{D5CDD505-2E9C-101B-9397-08002B2CF9AE}" pid="4" name="ICV">
    <vt:lpwstr>34C49B11EA484EFB896015005683368A_12</vt:lpwstr>
  </property>
</Properties>
</file>