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60D" w:rsidRDefault="0028160D" w:rsidP="0028160D">
      <w:pPr>
        <w:ind w:right="1200"/>
        <w:rPr>
          <w:rStyle w:val="font11"/>
          <w:rFonts w:hint="default"/>
        </w:rPr>
      </w:pPr>
    </w:p>
    <w:tbl>
      <w:tblPr>
        <w:tblW w:w="0" w:type="auto"/>
        <w:tblInd w:w="4915" w:type="dxa"/>
        <w:tblLook w:val="04A0" w:firstRow="1" w:lastRow="0" w:firstColumn="1" w:lastColumn="0" w:noHBand="0" w:noVBand="1"/>
      </w:tblPr>
      <w:tblGrid>
        <w:gridCol w:w="222"/>
        <w:gridCol w:w="2967"/>
        <w:gridCol w:w="222"/>
      </w:tblGrid>
      <w:tr w:rsidR="0028160D" w:rsidTr="00624DFE">
        <w:tc>
          <w:tcPr>
            <w:tcW w:w="222" w:type="dxa"/>
            <w:hideMark/>
          </w:tcPr>
          <w:p w:rsidR="0028160D" w:rsidRDefault="0028160D" w:rsidP="00EC219D">
            <w:pPr>
              <w:widowControl/>
              <w:jc w:val="left"/>
              <w:rPr>
                <w:kern w:val="0"/>
                <w:sz w:val="20"/>
                <w:szCs w:val="20"/>
              </w:rPr>
            </w:pPr>
          </w:p>
        </w:tc>
        <w:tc>
          <w:tcPr>
            <w:tcW w:w="2967" w:type="dxa"/>
            <w:hideMark/>
          </w:tcPr>
          <w:p w:rsidR="0028160D" w:rsidRDefault="0028160D" w:rsidP="00624DFE">
            <w:pPr>
              <w:ind w:firstLineChars="100" w:firstLine="301"/>
            </w:pPr>
            <w:r>
              <w:rPr>
                <w:rStyle w:val="font21"/>
                <w:rFonts w:hint="eastAsia"/>
                <w:b/>
                <w:bCs/>
              </w:rPr>
              <w:t>统一社会信用代码</w:t>
            </w:r>
          </w:p>
        </w:tc>
        <w:tc>
          <w:tcPr>
            <w:tcW w:w="222" w:type="dxa"/>
            <w:hideMark/>
          </w:tcPr>
          <w:p w:rsidR="0028160D" w:rsidRDefault="0028160D" w:rsidP="0028160D">
            <w:pPr>
              <w:widowControl/>
              <w:rPr>
                <w:kern w:val="0"/>
                <w:sz w:val="20"/>
                <w:szCs w:val="20"/>
              </w:rPr>
            </w:pPr>
          </w:p>
        </w:tc>
      </w:tr>
      <w:tr w:rsidR="0028160D" w:rsidTr="00624DFE">
        <w:tc>
          <w:tcPr>
            <w:tcW w:w="222" w:type="dxa"/>
            <w:hideMark/>
          </w:tcPr>
          <w:p w:rsidR="0028160D" w:rsidRDefault="0028160D" w:rsidP="00EC219D">
            <w:pPr>
              <w:widowControl/>
              <w:jc w:val="left"/>
              <w:rPr>
                <w:kern w:val="0"/>
                <w:sz w:val="20"/>
                <w:szCs w:val="20"/>
              </w:rPr>
            </w:pPr>
          </w:p>
        </w:tc>
        <w:tc>
          <w:tcPr>
            <w:tcW w:w="2967" w:type="dxa"/>
            <w:hideMark/>
          </w:tcPr>
          <w:p w:rsidR="0028160D" w:rsidRDefault="0028160D" w:rsidP="00EC219D">
            <w:pPr>
              <w:jc w:val="center"/>
            </w:pPr>
            <w:r>
              <w:rPr>
                <w:rStyle w:val="font21"/>
                <w:b/>
                <w:bCs/>
              </w:rPr>
              <w:t>1211022440096428X4</w:t>
            </w:r>
          </w:p>
        </w:tc>
        <w:tc>
          <w:tcPr>
            <w:tcW w:w="222" w:type="dxa"/>
            <w:hideMark/>
          </w:tcPr>
          <w:p w:rsidR="0028160D" w:rsidRDefault="0028160D" w:rsidP="00EC219D">
            <w:pPr>
              <w:widowControl/>
              <w:jc w:val="left"/>
              <w:rPr>
                <w:kern w:val="0"/>
                <w:sz w:val="20"/>
                <w:szCs w:val="20"/>
              </w:rPr>
            </w:pPr>
          </w:p>
        </w:tc>
      </w:tr>
    </w:tbl>
    <w:p w:rsidR="0028160D" w:rsidRDefault="0028160D" w:rsidP="0028160D">
      <w:pPr>
        <w:jc w:val="right"/>
      </w:pPr>
    </w:p>
    <w:p w:rsidR="0028160D" w:rsidRDefault="0028160D" w:rsidP="0028160D">
      <w:pPr>
        <w:jc w:val="right"/>
      </w:pPr>
    </w:p>
    <w:p w:rsidR="0028160D" w:rsidRPr="000D5E80" w:rsidRDefault="0028160D" w:rsidP="0028160D">
      <w:pPr>
        <w:jc w:val="right"/>
        <w:rPr>
          <w:rFonts w:ascii="仿宋" w:eastAsia="仿宋" w:hAnsi="仿宋"/>
        </w:rPr>
      </w:pPr>
    </w:p>
    <w:p w:rsidR="0028160D" w:rsidRDefault="0028160D" w:rsidP="0028160D">
      <w:pPr>
        <w:jc w:val="right"/>
      </w:pPr>
    </w:p>
    <w:p w:rsidR="0028160D" w:rsidRDefault="0028160D" w:rsidP="0028160D">
      <w:pPr>
        <w:jc w:val="center"/>
      </w:pPr>
      <w:r>
        <w:rPr>
          <w:rStyle w:val="font31"/>
          <w:rFonts w:hint="eastAsia"/>
          <w:b/>
          <w:bCs/>
        </w:rPr>
        <w:t>单位预算公开信息</w:t>
      </w:r>
    </w:p>
    <w:p w:rsidR="0028160D" w:rsidRDefault="0028160D" w:rsidP="0028160D">
      <w:pPr>
        <w:jc w:val="center"/>
        <w:rPr>
          <w:rFonts w:eastAsia="黑体"/>
          <w:b/>
          <w:bCs/>
          <w:spacing w:val="30"/>
        </w:rPr>
      </w:pPr>
    </w:p>
    <w:tbl>
      <w:tblPr>
        <w:tblW w:w="0" w:type="auto"/>
        <w:jc w:val="center"/>
        <w:tblInd w:w="5508" w:type="dxa"/>
        <w:tblLook w:val="04A0" w:firstRow="1" w:lastRow="0" w:firstColumn="1" w:lastColumn="0" w:noHBand="0" w:noVBand="1"/>
      </w:tblPr>
      <w:tblGrid>
        <w:gridCol w:w="562"/>
        <w:gridCol w:w="1397"/>
        <w:gridCol w:w="1055"/>
      </w:tblGrid>
      <w:tr w:rsidR="0028160D" w:rsidTr="00EC219D">
        <w:trPr>
          <w:jc w:val="center"/>
        </w:trPr>
        <w:tc>
          <w:tcPr>
            <w:tcW w:w="594" w:type="dxa"/>
            <w:hideMark/>
          </w:tcPr>
          <w:p w:rsidR="0028160D" w:rsidRDefault="0028160D" w:rsidP="00EC219D">
            <w:pPr>
              <w:jc w:val="center"/>
            </w:pPr>
            <w:r>
              <w:rPr>
                <w:rStyle w:val="font21"/>
                <w:rFonts w:hint="eastAsia"/>
                <w:b/>
                <w:bCs/>
              </w:rPr>
              <w:t>（</w:t>
            </w:r>
          </w:p>
        </w:tc>
        <w:tc>
          <w:tcPr>
            <w:tcW w:w="1814" w:type="dxa"/>
            <w:hideMark/>
          </w:tcPr>
          <w:p w:rsidR="0028160D" w:rsidRDefault="0028160D" w:rsidP="009A2143">
            <w:pPr>
              <w:jc w:val="center"/>
            </w:pPr>
            <w:r>
              <w:rPr>
                <w:rStyle w:val="font21"/>
                <w:b/>
                <w:bCs/>
              </w:rPr>
              <w:t>202</w:t>
            </w:r>
            <w:r w:rsidR="00A44C42">
              <w:rPr>
                <w:rStyle w:val="font21"/>
                <w:rFonts w:hint="eastAsia"/>
                <w:b/>
                <w:bCs/>
              </w:rPr>
              <w:t>5</w:t>
            </w:r>
          </w:p>
        </w:tc>
        <w:tc>
          <w:tcPr>
            <w:tcW w:w="1440" w:type="dxa"/>
            <w:hideMark/>
          </w:tcPr>
          <w:p w:rsidR="0028160D" w:rsidRDefault="0028160D" w:rsidP="00EC219D">
            <w:pPr>
              <w:jc w:val="center"/>
            </w:pPr>
            <w:r>
              <w:rPr>
                <w:rStyle w:val="font21"/>
                <w:rFonts w:hint="eastAsia"/>
                <w:b/>
                <w:bCs/>
              </w:rPr>
              <w:t>）年度</w:t>
            </w:r>
          </w:p>
        </w:tc>
      </w:tr>
    </w:tbl>
    <w:p w:rsidR="0028160D" w:rsidRDefault="0028160D" w:rsidP="0028160D">
      <w:pPr>
        <w:jc w:val="center"/>
        <w:rPr>
          <w:rStyle w:val="font41"/>
          <w:rFonts w:hint="default"/>
          <w:b/>
          <w:bCs/>
        </w:rPr>
      </w:pPr>
    </w:p>
    <w:p w:rsidR="0028160D" w:rsidRDefault="0028160D" w:rsidP="0028160D">
      <w:pPr>
        <w:jc w:val="center"/>
        <w:rPr>
          <w:rStyle w:val="font41"/>
          <w:rFonts w:hint="default"/>
        </w:rPr>
      </w:pPr>
    </w:p>
    <w:p w:rsidR="0028160D" w:rsidRDefault="0028160D" w:rsidP="0028160D">
      <w:pPr>
        <w:jc w:val="center"/>
        <w:rPr>
          <w:rStyle w:val="font41"/>
          <w:rFonts w:hint="default"/>
        </w:rPr>
      </w:pPr>
    </w:p>
    <w:p w:rsidR="0028160D" w:rsidRDefault="0028160D" w:rsidP="0028160D">
      <w:pPr>
        <w:jc w:val="center"/>
        <w:rPr>
          <w:rStyle w:val="font41"/>
          <w:rFonts w:hint="default"/>
        </w:rPr>
      </w:pPr>
    </w:p>
    <w:p w:rsidR="00D74CC0" w:rsidRDefault="00D74CC0" w:rsidP="0028160D">
      <w:pPr>
        <w:jc w:val="center"/>
        <w:rPr>
          <w:rStyle w:val="font41"/>
          <w:rFonts w:hint="default"/>
        </w:rPr>
      </w:pPr>
    </w:p>
    <w:p w:rsidR="00D74CC0" w:rsidRDefault="00D74CC0" w:rsidP="0028160D">
      <w:pPr>
        <w:jc w:val="center"/>
        <w:rPr>
          <w:rStyle w:val="font41"/>
          <w:rFonts w:hint="default"/>
        </w:rPr>
      </w:pPr>
    </w:p>
    <w:p w:rsidR="00D74CC0" w:rsidRDefault="00D74CC0" w:rsidP="0028160D">
      <w:pPr>
        <w:jc w:val="center"/>
        <w:rPr>
          <w:rStyle w:val="font41"/>
          <w:rFonts w:hint="default"/>
        </w:rPr>
      </w:pPr>
    </w:p>
    <w:p w:rsidR="0028160D" w:rsidRDefault="0028160D" w:rsidP="0028160D">
      <w:pPr>
        <w:jc w:val="center"/>
        <w:rPr>
          <w:rStyle w:val="font41"/>
          <w:rFonts w:hint="default"/>
        </w:rPr>
      </w:pPr>
    </w:p>
    <w:tbl>
      <w:tblPr>
        <w:tblW w:w="0" w:type="auto"/>
        <w:jc w:val="center"/>
        <w:tblInd w:w="-139" w:type="dxa"/>
        <w:tblLook w:val="04A0" w:firstRow="1" w:lastRow="0" w:firstColumn="1" w:lastColumn="0" w:noHBand="0" w:noVBand="1"/>
      </w:tblPr>
      <w:tblGrid>
        <w:gridCol w:w="2405"/>
        <w:gridCol w:w="5294"/>
      </w:tblGrid>
      <w:tr w:rsidR="0028160D" w:rsidTr="00EC219D">
        <w:trPr>
          <w:trHeight w:val="615"/>
          <w:jc w:val="center"/>
        </w:trPr>
        <w:tc>
          <w:tcPr>
            <w:tcW w:w="2405" w:type="dxa"/>
            <w:vAlign w:val="bottom"/>
            <w:hideMark/>
          </w:tcPr>
          <w:p w:rsidR="0028160D" w:rsidRDefault="0028160D" w:rsidP="00EC219D">
            <w:pPr>
              <w:jc w:val="distribute"/>
            </w:pPr>
            <w:r>
              <w:rPr>
                <w:rStyle w:val="font51"/>
                <w:rFonts w:hint="default"/>
                <w:b/>
                <w:bCs/>
              </w:rPr>
              <w:t>单 位 名 称</w:t>
            </w:r>
          </w:p>
        </w:tc>
        <w:tc>
          <w:tcPr>
            <w:tcW w:w="5294" w:type="dxa"/>
            <w:tcBorders>
              <w:top w:val="nil"/>
              <w:left w:val="nil"/>
              <w:bottom w:val="single" w:sz="12" w:space="0" w:color="auto"/>
              <w:right w:val="nil"/>
            </w:tcBorders>
            <w:vAlign w:val="bottom"/>
            <w:hideMark/>
          </w:tcPr>
          <w:p w:rsidR="0028160D" w:rsidRDefault="0028160D" w:rsidP="00EC219D">
            <w:pPr>
              <w:jc w:val="center"/>
            </w:pPr>
            <w:r>
              <w:rPr>
                <w:rStyle w:val="font61"/>
                <w:rFonts w:hint="eastAsia"/>
              </w:rPr>
              <w:t>北京市</w:t>
            </w:r>
            <w:proofErr w:type="gramStart"/>
            <w:r>
              <w:rPr>
                <w:rStyle w:val="font61"/>
                <w:rFonts w:hint="eastAsia"/>
              </w:rPr>
              <w:t>大兴区</w:t>
            </w:r>
            <w:proofErr w:type="gramEnd"/>
            <w:r>
              <w:rPr>
                <w:rStyle w:val="font61"/>
                <w:rFonts w:hint="eastAsia"/>
              </w:rPr>
              <w:t>文化馆</w:t>
            </w:r>
          </w:p>
        </w:tc>
      </w:tr>
    </w:tbl>
    <w:p w:rsidR="0028160D" w:rsidRDefault="0028160D" w:rsidP="0028160D">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28160D" w:rsidTr="00EC219D">
        <w:trPr>
          <w:trHeight w:val="615"/>
          <w:jc w:val="center"/>
        </w:trPr>
        <w:tc>
          <w:tcPr>
            <w:tcW w:w="2365" w:type="dxa"/>
            <w:vAlign w:val="bottom"/>
            <w:hideMark/>
          </w:tcPr>
          <w:p w:rsidR="0028160D" w:rsidRDefault="0028160D" w:rsidP="00EC219D">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hideMark/>
          </w:tcPr>
          <w:p w:rsidR="0028160D" w:rsidRDefault="009A2143" w:rsidP="00607893">
            <w:pPr>
              <w:widowControl/>
              <w:ind w:firstLineChars="600" w:firstLine="1920"/>
              <w:jc w:val="left"/>
              <w:rPr>
                <w:kern w:val="0"/>
                <w:sz w:val="20"/>
                <w:szCs w:val="20"/>
              </w:rPr>
            </w:pPr>
            <w:r>
              <w:rPr>
                <w:rStyle w:val="font61"/>
                <w:rFonts w:hint="eastAsia"/>
              </w:rPr>
              <w:t>尹水</w:t>
            </w:r>
            <w:r w:rsidR="00607893">
              <w:rPr>
                <w:rStyle w:val="font61"/>
                <w:rFonts w:hint="eastAsia"/>
              </w:rPr>
              <w:t xml:space="preserve"> </w:t>
            </w:r>
          </w:p>
        </w:tc>
      </w:tr>
    </w:tbl>
    <w:p w:rsidR="00003499" w:rsidRDefault="00003499" w:rsidP="0028160D"/>
    <w:p w:rsid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Pr="00FB7D24" w:rsidRDefault="00FB7D24" w:rsidP="00FB7D24">
      <w:pPr>
        <w:spacing w:line="620" w:lineRule="exact"/>
        <w:jc w:val="center"/>
        <w:rPr>
          <w:rFonts w:ascii="仿宋_GB2312" w:eastAsia="仿宋_GB2312" w:hAnsi="宋体" w:cs="宋体"/>
          <w:b/>
          <w:bCs/>
          <w:color w:val="000000"/>
          <w:kern w:val="0"/>
          <w:sz w:val="44"/>
          <w:szCs w:val="44"/>
        </w:rPr>
      </w:pPr>
      <w:r w:rsidRPr="00FB7D24">
        <w:rPr>
          <w:rFonts w:ascii="仿宋_GB2312" w:eastAsia="仿宋_GB2312" w:hAnsi="宋体" w:cs="宋体" w:hint="eastAsia"/>
          <w:b/>
          <w:bCs/>
          <w:color w:val="000000"/>
          <w:kern w:val="0"/>
          <w:sz w:val="44"/>
          <w:szCs w:val="44"/>
        </w:rPr>
        <w:lastRenderedPageBreak/>
        <w:t>目 录</w:t>
      </w:r>
    </w:p>
    <w:p w:rsidR="00FB7D24" w:rsidRPr="00FB7D24" w:rsidRDefault="00FB7D24" w:rsidP="00FB7D24">
      <w:pPr>
        <w:spacing w:line="620" w:lineRule="exact"/>
        <w:rPr>
          <w:rFonts w:ascii="仿宋_GB2312" w:eastAsia="仿宋_GB2312" w:hAnsi="宋体" w:cs="宋体"/>
          <w:b/>
          <w:bCs/>
          <w:color w:val="000000"/>
          <w:kern w:val="0"/>
          <w:sz w:val="32"/>
          <w:szCs w:val="32"/>
        </w:rPr>
      </w:pPr>
    </w:p>
    <w:p w:rsidR="00FB7D24" w:rsidRPr="00FB7D24" w:rsidRDefault="00FB7D24" w:rsidP="00FB7D24">
      <w:pPr>
        <w:spacing w:line="480" w:lineRule="auto"/>
        <w:rPr>
          <w:rFonts w:ascii="仿宋_GB2312" w:eastAsia="仿宋_GB2312" w:hAnsi="宋体" w:cs="宋体"/>
          <w:b/>
          <w:bCs/>
          <w:color w:val="000000"/>
          <w:spacing w:val="20"/>
          <w:kern w:val="0"/>
          <w:sz w:val="32"/>
          <w:szCs w:val="32"/>
        </w:rPr>
      </w:pPr>
      <w:r w:rsidRPr="00FB7D24">
        <w:rPr>
          <w:rFonts w:ascii="仿宋_GB2312" w:eastAsia="仿宋_GB2312" w:hAnsi="宋体" w:cs="宋体" w:hint="eastAsia"/>
          <w:b/>
          <w:bCs/>
          <w:color w:val="000000"/>
          <w:spacing w:val="20"/>
          <w:kern w:val="0"/>
          <w:sz w:val="32"/>
          <w:szCs w:val="32"/>
        </w:rPr>
        <w:t>第一部分202</w:t>
      </w:r>
      <w:r>
        <w:rPr>
          <w:rFonts w:ascii="仿宋_GB2312" w:eastAsia="仿宋_GB2312" w:hAnsi="宋体" w:cs="宋体" w:hint="eastAsia"/>
          <w:b/>
          <w:bCs/>
          <w:color w:val="000000"/>
          <w:spacing w:val="20"/>
          <w:kern w:val="0"/>
          <w:sz w:val="32"/>
          <w:szCs w:val="32"/>
        </w:rPr>
        <w:t>5</w:t>
      </w:r>
      <w:r w:rsidRPr="00FB7D24">
        <w:rPr>
          <w:rFonts w:ascii="仿宋_GB2312" w:eastAsia="仿宋_GB2312" w:hAnsi="宋体" w:cs="宋体" w:hint="eastAsia"/>
          <w:b/>
          <w:bCs/>
          <w:color w:val="000000"/>
          <w:spacing w:val="20"/>
          <w:kern w:val="0"/>
          <w:sz w:val="32"/>
          <w:szCs w:val="32"/>
        </w:rPr>
        <w:t>年度单位预算报表</w:t>
      </w:r>
    </w:p>
    <w:p w:rsidR="00FB7D24" w:rsidRPr="00FB7D24" w:rsidRDefault="00FB7D24" w:rsidP="00FB7D24">
      <w:pPr>
        <w:tabs>
          <w:tab w:val="center" w:pos="6979"/>
        </w:tabs>
        <w:spacing w:line="480" w:lineRule="auto"/>
        <w:rPr>
          <w:rFonts w:ascii="仿宋_GB2312" w:eastAsia="仿宋_GB2312" w:hAnsi="仿宋"/>
          <w:spacing w:val="40"/>
          <w:sz w:val="32"/>
          <w:szCs w:val="32"/>
        </w:rPr>
      </w:pPr>
      <w:r w:rsidRPr="00FB7D24">
        <w:rPr>
          <w:rFonts w:ascii="仿宋_GB2312" w:eastAsia="仿宋_GB2312" w:hAnsi="仿宋" w:cs="仿宋_GB2312" w:hint="eastAsia"/>
          <w:spacing w:val="40"/>
          <w:kern w:val="0"/>
          <w:sz w:val="32"/>
          <w:szCs w:val="32"/>
        </w:rPr>
        <w:t>一、收支预算总表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二、收入预算表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三、支出预算表</w:t>
      </w:r>
    </w:p>
    <w:p w:rsidR="00FB7D24" w:rsidRPr="00FB7D24" w:rsidRDefault="00FB7D24" w:rsidP="00FB7D24">
      <w:pPr>
        <w:tabs>
          <w:tab w:val="center" w:pos="6979"/>
        </w:tabs>
        <w:spacing w:line="480" w:lineRule="auto"/>
        <w:rPr>
          <w:rFonts w:ascii="仿宋_GB2312" w:eastAsia="仿宋_GB2312" w:hAnsi="仿宋"/>
          <w:spacing w:val="40"/>
          <w:kern w:val="0"/>
          <w:sz w:val="32"/>
          <w:szCs w:val="32"/>
        </w:rPr>
      </w:pPr>
      <w:r w:rsidRPr="00FB7D24">
        <w:rPr>
          <w:rFonts w:ascii="仿宋_GB2312" w:eastAsia="仿宋_GB2312" w:hAnsi="仿宋" w:cs="仿宋_GB2312" w:hint="eastAsia"/>
          <w:spacing w:val="40"/>
          <w:kern w:val="0"/>
          <w:sz w:val="32"/>
          <w:szCs w:val="32"/>
        </w:rPr>
        <w:t>四、财政拨款收支预算表</w:t>
      </w:r>
    </w:p>
    <w:p w:rsidR="00FB7D24" w:rsidRPr="00FB7D24" w:rsidRDefault="00FB7D24" w:rsidP="00FB7D24">
      <w:pPr>
        <w:tabs>
          <w:tab w:val="center" w:pos="6979"/>
        </w:tabs>
        <w:spacing w:line="480" w:lineRule="auto"/>
        <w:rPr>
          <w:rFonts w:ascii="仿宋_GB2312" w:eastAsia="仿宋_GB2312" w:hAnsi="仿宋"/>
          <w:spacing w:val="40"/>
          <w:kern w:val="0"/>
          <w:sz w:val="32"/>
          <w:szCs w:val="32"/>
        </w:rPr>
      </w:pPr>
      <w:r w:rsidRPr="00FB7D24">
        <w:rPr>
          <w:rFonts w:ascii="仿宋_GB2312" w:eastAsia="仿宋_GB2312" w:hAnsi="仿宋" w:cs="仿宋_GB2312" w:hint="eastAsia"/>
          <w:spacing w:val="40"/>
          <w:kern w:val="0"/>
          <w:sz w:val="32"/>
          <w:szCs w:val="32"/>
        </w:rPr>
        <w:t>五、一般公共预算财政拨款支出预算表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六、一般公共预算财政拨款基本支出预算表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七、政府性基金预算财政拨款支出预算表</w:t>
      </w:r>
    </w:p>
    <w:p w:rsidR="00FB7D24" w:rsidRPr="00FB7D24" w:rsidRDefault="00FB7D24" w:rsidP="00FB7D24">
      <w:pPr>
        <w:autoSpaceDE w:val="0"/>
        <w:autoSpaceDN w:val="0"/>
        <w:adjustRightInd w:val="0"/>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八、国有资本经营预算财政拨款支出表</w:t>
      </w:r>
    </w:p>
    <w:p w:rsidR="00FB7D24" w:rsidRPr="00FB7D24" w:rsidRDefault="00FB7D24" w:rsidP="00FB7D24">
      <w:pPr>
        <w:autoSpaceDE w:val="0"/>
        <w:autoSpaceDN w:val="0"/>
        <w:adjustRightInd w:val="0"/>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九、一般公共预算“三公”经费财政拨款支出预算表</w:t>
      </w:r>
    </w:p>
    <w:p w:rsidR="00FB7D24" w:rsidRPr="00FB7D24" w:rsidRDefault="00FB7D24" w:rsidP="00FB7D24">
      <w:pPr>
        <w:autoSpaceDE w:val="0"/>
        <w:autoSpaceDN w:val="0"/>
        <w:adjustRightInd w:val="0"/>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十、政府采购预算明细表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r w:rsidRPr="00FB7D24">
        <w:rPr>
          <w:rFonts w:ascii="仿宋_GB2312" w:eastAsia="仿宋_GB2312" w:hAnsi="仿宋" w:cs="仿宋_GB2312" w:hint="eastAsia"/>
          <w:spacing w:val="40"/>
          <w:kern w:val="0"/>
          <w:sz w:val="32"/>
          <w:szCs w:val="32"/>
        </w:rPr>
        <w:t>十一、项目支出绩效目标申报表</w:t>
      </w:r>
    </w:p>
    <w:p w:rsidR="00FB7D24" w:rsidRPr="00FB7D24" w:rsidRDefault="00FB7D24" w:rsidP="00FB7D24">
      <w:pPr>
        <w:tabs>
          <w:tab w:val="center" w:pos="6979"/>
        </w:tabs>
        <w:spacing w:line="480" w:lineRule="auto"/>
        <w:rPr>
          <w:rFonts w:ascii="仿宋_GB2312" w:eastAsia="仿宋_GB2312" w:hAnsi="仿宋" w:cs="仿宋_GB2312"/>
          <w:spacing w:val="40"/>
          <w:kern w:val="0"/>
          <w:sz w:val="32"/>
          <w:szCs w:val="32"/>
        </w:rPr>
      </w:pPr>
    </w:p>
    <w:p w:rsidR="00FB7D24" w:rsidRPr="00FB7D24" w:rsidRDefault="00FB7D24" w:rsidP="00FB7D24">
      <w:pPr>
        <w:autoSpaceDE w:val="0"/>
        <w:autoSpaceDN w:val="0"/>
        <w:adjustRightInd w:val="0"/>
        <w:spacing w:line="480" w:lineRule="auto"/>
        <w:rPr>
          <w:rFonts w:ascii="仿宋_GB2312" w:eastAsia="仿宋_GB2312" w:hAnsi="仿宋"/>
          <w:b/>
          <w:spacing w:val="40"/>
          <w:kern w:val="0"/>
          <w:sz w:val="32"/>
          <w:szCs w:val="32"/>
        </w:rPr>
      </w:pPr>
      <w:r w:rsidRPr="00FB7D24">
        <w:rPr>
          <w:rFonts w:ascii="仿宋_GB2312" w:eastAsia="仿宋_GB2312" w:hAnsi="仿宋" w:cs="仿宋_GB2312" w:hint="eastAsia"/>
          <w:b/>
          <w:spacing w:val="40"/>
          <w:kern w:val="0"/>
          <w:sz w:val="32"/>
          <w:szCs w:val="32"/>
        </w:rPr>
        <w:t>第二部分202</w:t>
      </w:r>
      <w:r>
        <w:rPr>
          <w:rFonts w:ascii="仿宋_GB2312" w:eastAsia="仿宋_GB2312" w:hAnsi="仿宋" w:cs="仿宋_GB2312" w:hint="eastAsia"/>
          <w:b/>
          <w:spacing w:val="40"/>
          <w:kern w:val="0"/>
          <w:sz w:val="32"/>
          <w:szCs w:val="32"/>
        </w:rPr>
        <w:t>5</w:t>
      </w:r>
      <w:r w:rsidRPr="00FB7D24">
        <w:rPr>
          <w:rFonts w:ascii="仿宋_GB2312" w:eastAsia="仿宋_GB2312" w:hAnsi="仿宋" w:cs="仿宋_GB2312" w:hint="eastAsia"/>
          <w:b/>
          <w:spacing w:val="40"/>
          <w:kern w:val="0"/>
          <w:sz w:val="32"/>
          <w:szCs w:val="32"/>
        </w:rPr>
        <w:t>年度单位预算报表说明</w:t>
      </w:r>
    </w:p>
    <w:p w:rsidR="00FB7D24" w:rsidRPr="00FB7D24" w:rsidRDefault="00FB7D24" w:rsidP="00FB7D24">
      <w:pPr>
        <w:spacing w:line="620" w:lineRule="exact"/>
        <w:rPr>
          <w:rFonts w:ascii="黑体" w:eastAsia="黑体" w:hAnsi="文星标宋"/>
          <w:sz w:val="32"/>
          <w:szCs w:val="32"/>
        </w:rPr>
      </w:pPr>
    </w:p>
    <w:p w:rsidR="00FB7D24" w:rsidRP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Default="00FB7D24" w:rsidP="0028160D"/>
    <w:p w:rsidR="00FB7D24" w:rsidRPr="00FB7D24" w:rsidRDefault="00FB7D24" w:rsidP="00FB7D24">
      <w:pPr>
        <w:spacing w:line="620" w:lineRule="exact"/>
        <w:jc w:val="center"/>
        <w:rPr>
          <w:rFonts w:ascii="方正小标宋简体" w:eastAsia="方正小标宋简体" w:hAnsi="宋体" w:cs="宋体"/>
          <w:bCs/>
          <w:color w:val="000000"/>
          <w:kern w:val="0"/>
          <w:sz w:val="44"/>
          <w:szCs w:val="44"/>
        </w:rPr>
      </w:pPr>
      <w:r w:rsidRPr="00FB7D24">
        <w:rPr>
          <w:rFonts w:ascii="方正小标宋简体" w:eastAsia="方正小标宋简体" w:hAnsi="宋体" w:cs="宋体" w:hint="eastAsia"/>
          <w:bCs/>
          <w:color w:val="000000"/>
          <w:kern w:val="0"/>
          <w:sz w:val="44"/>
          <w:szCs w:val="44"/>
        </w:rPr>
        <w:t>第一部分</w:t>
      </w:r>
    </w:p>
    <w:p w:rsidR="00FB7D24" w:rsidRPr="00FB7D24" w:rsidRDefault="00FB7D24" w:rsidP="00FB7D24">
      <w:pPr>
        <w:spacing w:line="620" w:lineRule="exact"/>
        <w:jc w:val="center"/>
        <w:rPr>
          <w:rFonts w:ascii="方正小标宋简体" w:eastAsia="方正小标宋简体" w:hAnsi="宋体" w:cs="宋体"/>
          <w:bCs/>
          <w:color w:val="000000"/>
          <w:kern w:val="0"/>
          <w:sz w:val="44"/>
          <w:szCs w:val="44"/>
        </w:rPr>
      </w:pPr>
      <w:proofErr w:type="gramStart"/>
      <w:r w:rsidRPr="00FB7D24">
        <w:rPr>
          <w:rFonts w:ascii="方正小标宋简体" w:eastAsia="方正小标宋简体" w:hAnsi="宋体" w:cs="宋体" w:hint="eastAsia"/>
          <w:bCs/>
          <w:color w:val="000000"/>
          <w:kern w:val="0"/>
          <w:sz w:val="44"/>
          <w:szCs w:val="44"/>
        </w:rPr>
        <w:t>大兴区</w:t>
      </w:r>
      <w:proofErr w:type="gramEnd"/>
      <w:r>
        <w:rPr>
          <w:rFonts w:ascii="方正小标宋简体" w:eastAsia="方正小标宋简体" w:hAnsi="宋体" w:cs="宋体" w:hint="eastAsia"/>
          <w:bCs/>
          <w:color w:val="000000"/>
          <w:kern w:val="0"/>
          <w:sz w:val="44"/>
          <w:szCs w:val="44"/>
        </w:rPr>
        <w:t>文化馆2025年</w:t>
      </w:r>
      <w:r w:rsidRPr="00FB7D24">
        <w:rPr>
          <w:rFonts w:ascii="方正小标宋简体" w:eastAsia="方正小标宋简体" w:hAnsi="宋体" w:cs="宋体" w:hint="eastAsia"/>
          <w:bCs/>
          <w:color w:val="000000"/>
          <w:kern w:val="0"/>
          <w:sz w:val="44"/>
          <w:szCs w:val="44"/>
        </w:rPr>
        <w:t>预算公开套表</w:t>
      </w:r>
    </w:p>
    <w:p w:rsidR="00FB7D24" w:rsidRDefault="00FB7D24" w:rsidP="0028160D"/>
    <w:p w:rsidR="00FB7D24" w:rsidRDefault="00FB7D24" w:rsidP="0028160D"/>
    <w:p w:rsidR="00FB7D24" w:rsidRPr="00BC18B7" w:rsidRDefault="00D2249B" w:rsidP="0028160D">
      <w:pPr>
        <w:rPr>
          <w:rFonts w:ascii="宋体" w:hAnsi="宋体"/>
          <w:sz w:val="32"/>
          <w:szCs w:val="32"/>
        </w:rPr>
      </w:pPr>
      <w:r w:rsidRPr="00BC18B7">
        <w:rPr>
          <w:rFonts w:ascii="宋体" w:hAnsi="宋体" w:cs="黑体" w:hint="eastAsia"/>
          <w:color w:val="000000"/>
          <w:kern w:val="0"/>
          <w:sz w:val="32"/>
          <w:szCs w:val="32"/>
        </w:rPr>
        <w:t>见附件：</w:t>
      </w:r>
      <w:proofErr w:type="gramStart"/>
      <w:r w:rsidRPr="00BC18B7">
        <w:rPr>
          <w:rFonts w:ascii="宋体" w:hAnsi="宋体" w:cs="黑体" w:hint="eastAsia"/>
          <w:color w:val="000000"/>
          <w:kern w:val="0"/>
          <w:sz w:val="32"/>
          <w:szCs w:val="32"/>
        </w:rPr>
        <w:t>大兴区</w:t>
      </w:r>
      <w:proofErr w:type="gramEnd"/>
      <w:r w:rsidRPr="00BC18B7">
        <w:rPr>
          <w:rFonts w:ascii="宋体" w:hAnsi="宋体" w:cs="黑体" w:hint="eastAsia"/>
          <w:color w:val="000000"/>
          <w:kern w:val="0"/>
          <w:sz w:val="32"/>
          <w:szCs w:val="32"/>
        </w:rPr>
        <w:t>文化馆2025预算信息公开套表</w:t>
      </w:r>
    </w:p>
    <w:p w:rsidR="00FB7D24" w:rsidRPr="00BC18B7" w:rsidRDefault="00FB7D24" w:rsidP="0028160D">
      <w:pPr>
        <w:rPr>
          <w:rFonts w:ascii="宋体" w:hAnsi="宋体"/>
          <w:sz w:val="32"/>
          <w:szCs w:val="32"/>
        </w:rPr>
      </w:pPr>
    </w:p>
    <w:p w:rsidR="00FB7D24" w:rsidRDefault="00FB7D24" w:rsidP="0028160D"/>
    <w:p w:rsidR="00BC18B7" w:rsidRDefault="00BC18B7" w:rsidP="0028160D"/>
    <w:p w:rsidR="00BC18B7" w:rsidRDefault="00BC18B7"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pPr>
        <w:rPr>
          <w:rFonts w:hint="eastAsia"/>
        </w:rPr>
      </w:pPr>
    </w:p>
    <w:p w:rsidR="00CE4C5C" w:rsidRDefault="00CE4C5C" w:rsidP="0028160D">
      <w:bookmarkStart w:id="0" w:name="_GoBack"/>
      <w:bookmarkEnd w:id="0"/>
    </w:p>
    <w:p w:rsidR="00BC18B7" w:rsidRPr="00BC18B7" w:rsidRDefault="00BC18B7" w:rsidP="00BC18B7">
      <w:pPr>
        <w:spacing w:line="620" w:lineRule="exact"/>
        <w:jc w:val="center"/>
        <w:rPr>
          <w:rFonts w:ascii="方正小标宋简体" w:eastAsia="方正小标宋简体" w:hAnsi="宋体" w:cs="宋体"/>
          <w:bCs/>
          <w:color w:val="000000"/>
          <w:kern w:val="0"/>
          <w:sz w:val="44"/>
          <w:szCs w:val="44"/>
        </w:rPr>
      </w:pPr>
      <w:r w:rsidRPr="00BC18B7">
        <w:rPr>
          <w:rFonts w:ascii="方正小标宋简体" w:eastAsia="方正小标宋简体" w:hAnsi="宋体" w:cs="宋体" w:hint="eastAsia"/>
          <w:bCs/>
          <w:color w:val="000000"/>
          <w:kern w:val="0"/>
          <w:sz w:val="44"/>
          <w:szCs w:val="44"/>
        </w:rPr>
        <w:t>第二部分</w:t>
      </w:r>
    </w:p>
    <w:p w:rsidR="00BC18B7" w:rsidRPr="00BC18B7" w:rsidRDefault="00BC18B7" w:rsidP="00BC18B7">
      <w:pPr>
        <w:spacing w:line="620" w:lineRule="exact"/>
        <w:jc w:val="center"/>
        <w:rPr>
          <w:rFonts w:ascii="方正小标宋简体" w:eastAsia="方正小标宋简体" w:hAnsi="文星标宋" w:cs="Tahoma"/>
          <w:color w:val="000000"/>
          <w:sz w:val="44"/>
          <w:szCs w:val="44"/>
        </w:rPr>
      </w:pPr>
      <w:r w:rsidRPr="00BC18B7">
        <w:rPr>
          <w:rFonts w:ascii="方正小标宋简体" w:eastAsia="方正小标宋简体" w:hAnsi="文星标宋" w:cs="Tahoma" w:hint="eastAsia"/>
          <w:color w:val="000000"/>
          <w:sz w:val="44"/>
          <w:szCs w:val="44"/>
        </w:rPr>
        <w:t>北京市</w:t>
      </w:r>
      <w:proofErr w:type="gramStart"/>
      <w:r w:rsidRPr="00BC18B7">
        <w:rPr>
          <w:rFonts w:ascii="方正小标宋简体" w:eastAsia="方正小标宋简体" w:hAnsi="文星标宋" w:cs="Tahoma" w:hint="eastAsia"/>
          <w:color w:val="000000"/>
          <w:sz w:val="44"/>
          <w:szCs w:val="44"/>
        </w:rPr>
        <w:t>大兴区</w:t>
      </w:r>
      <w:proofErr w:type="gramEnd"/>
      <w:r w:rsidRPr="00BC18B7">
        <w:rPr>
          <w:rFonts w:ascii="方正小标宋简体" w:eastAsia="方正小标宋简体" w:hAnsi="文星标宋" w:cs="Tahoma" w:hint="eastAsia"/>
          <w:color w:val="000000"/>
          <w:sz w:val="44"/>
          <w:szCs w:val="44"/>
        </w:rPr>
        <w:t>文化馆2025年预算情况说明</w:t>
      </w:r>
    </w:p>
    <w:p w:rsidR="00BC18B7" w:rsidRPr="00BC18B7" w:rsidRDefault="00BC18B7" w:rsidP="00BC18B7">
      <w:pPr>
        <w:spacing w:line="620" w:lineRule="exact"/>
        <w:ind w:leftChars="171" w:left="359" w:firstLineChars="100" w:firstLine="320"/>
        <w:rPr>
          <w:rFonts w:ascii="仿宋_GB2312" w:eastAsia="仿宋_GB2312"/>
          <w:sz w:val="32"/>
          <w:szCs w:val="32"/>
        </w:rPr>
      </w:pPr>
      <w:r w:rsidRPr="00BC18B7">
        <w:rPr>
          <w:rFonts w:ascii="黑体" w:eastAsia="黑体" w:hAnsi="文星标宋" w:cs="Tahoma" w:hint="eastAsia"/>
          <w:sz w:val="32"/>
          <w:szCs w:val="32"/>
        </w:rPr>
        <w:t>一、单位基本情况</w:t>
      </w:r>
      <w:r w:rsidRPr="00BC18B7">
        <w:rPr>
          <w:rFonts w:ascii="仿宋_GB2312" w:eastAsia="仿宋_GB2312" w:hint="eastAsia"/>
          <w:sz w:val="32"/>
          <w:szCs w:val="32"/>
        </w:rPr>
        <w:t>。</w:t>
      </w:r>
    </w:p>
    <w:p w:rsidR="00BC18B7" w:rsidRPr="00BC18B7" w:rsidRDefault="00BC18B7" w:rsidP="00BC18B7">
      <w:pPr>
        <w:snapToGrid w:val="0"/>
        <w:spacing w:line="520" w:lineRule="exact"/>
        <w:ind w:firstLineChars="200" w:firstLine="616"/>
        <w:rPr>
          <w:rFonts w:ascii="仿宋" w:eastAsia="仿宋" w:hAnsi="仿宋"/>
          <w:spacing w:val="-6"/>
          <w:position w:val="-6"/>
          <w:sz w:val="32"/>
          <w:szCs w:val="32"/>
        </w:rPr>
      </w:pPr>
      <w:r w:rsidRPr="00BC18B7">
        <w:rPr>
          <w:rFonts w:ascii="仿宋" w:eastAsia="仿宋" w:hAnsi="仿宋" w:hint="eastAsia"/>
          <w:spacing w:val="-6"/>
          <w:position w:val="-6"/>
          <w:sz w:val="32"/>
          <w:szCs w:val="32"/>
        </w:rPr>
        <w:t>本部门职责：组织群众文化活动，繁荣群众文化事业；文艺活动组织；业余文艺创作组织；镇、街文化馆分馆、村级文化室业务指导；文化相关培训；非物质文化遗产保护；文化志愿者的服务和管理；群众文化理论研究；为群众文化艺术创作、交流、展览、辅导、培训等活动提供场所。</w:t>
      </w:r>
    </w:p>
    <w:p w:rsidR="00BC18B7" w:rsidRPr="00BC18B7" w:rsidRDefault="00BC18B7" w:rsidP="00BC18B7">
      <w:pPr>
        <w:snapToGrid w:val="0"/>
        <w:spacing w:line="520" w:lineRule="exact"/>
        <w:ind w:firstLineChars="200" w:firstLine="616"/>
        <w:rPr>
          <w:rFonts w:ascii="仿宋_GB2312" w:eastAsia="仿宋_GB2312" w:hAnsi="仿宋"/>
          <w:sz w:val="32"/>
          <w:szCs w:val="32"/>
        </w:rPr>
      </w:pPr>
      <w:r w:rsidRPr="00BC18B7">
        <w:rPr>
          <w:rFonts w:ascii="仿宋" w:eastAsia="仿宋" w:hAnsi="仿宋" w:hint="eastAsia"/>
          <w:spacing w:val="-6"/>
          <w:position w:val="-6"/>
          <w:sz w:val="32"/>
          <w:szCs w:val="32"/>
        </w:rPr>
        <w:t>机构设置情况：</w:t>
      </w:r>
      <w:r w:rsidRPr="00BC18B7">
        <w:rPr>
          <w:rFonts w:ascii="仿宋_GB2312" w:eastAsia="仿宋_GB2312" w:hAnsi="仿宋" w:hint="eastAsia"/>
          <w:sz w:val="32"/>
          <w:szCs w:val="32"/>
        </w:rPr>
        <w:t>本单位设置有办公室、非遗部、党宣部、培训部、创作部、活动部</w:t>
      </w:r>
    </w:p>
    <w:p w:rsidR="00BC18B7" w:rsidRPr="00BC18B7" w:rsidRDefault="00BC18B7" w:rsidP="00BC18B7">
      <w:pPr>
        <w:snapToGrid w:val="0"/>
        <w:spacing w:line="520" w:lineRule="exact"/>
        <w:ind w:firstLineChars="200" w:firstLine="616"/>
        <w:rPr>
          <w:rFonts w:ascii="仿宋" w:eastAsia="仿宋" w:hAnsi="仿宋"/>
          <w:spacing w:val="-6"/>
          <w:position w:val="-6"/>
          <w:sz w:val="32"/>
          <w:szCs w:val="32"/>
        </w:rPr>
      </w:pPr>
      <w:r w:rsidRPr="00BC18B7">
        <w:rPr>
          <w:rFonts w:ascii="仿宋" w:eastAsia="仿宋" w:hAnsi="仿宋" w:hint="eastAsia"/>
          <w:spacing w:val="-6"/>
          <w:position w:val="-6"/>
          <w:sz w:val="32"/>
          <w:szCs w:val="32"/>
        </w:rPr>
        <w:t>单位性质：财政补助事业单位。</w:t>
      </w:r>
    </w:p>
    <w:p w:rsidR="00BC18B7" w:rsidRPr="00BC18B7" w:rsidRDefault="00BC18B7" w:rsidP="00BC18B7">
      <w:pPr>
        <w:snapToGrid w:val="0"/>
        <w:spacing w:line="520" w:lineRule="exact"/>
        <w:ind w:firstLineChars="200" w:firstLine="616"/>
        <w:rPr>
          <w:rFonts w:ascii="仿宋" w:eastAsia="仿宋" w:hAnsi="仿宋"/>
          <w:spacing w:val="-6"/>
          <w:position w:val="-6"/>
          <w:sz w:val="32"/>
          <w:szCs w:val="32"/>
        </w:rPr>
      </w:pPr>
      <w:r w:rsidRPr="00BC18B7">
        <w:rPr>
          <w:rFonts w:ascii="仿宋" w:eastAsia="仿宋" w:hAnsi="仿宋" w:hint="eastAsia"/>
          <w:spacing w:val="-6"/>
          <w:position w:val="-6"/>
          <w:sz w:val="32"/>
          <w:szCs w:val="32"/>
        </w:rPr>
        <w:t>人员情况：文化馆人员编制数49人。实有在职在编43人，退休27人，遗属1人。</w:t>
      </w:r>
    </w:p>
    <w:p w:rsidR="00BC18B7" w:rsidRPr="00BC18B7" w:rsidRDefault="00BC18B7" w:rsidP="00BC18B7">
      <w:pPr>
        <w:spacing w:line="620" w:lineRule="exact"/>
        <w:ind w:firstLineChars="200" w:firstLine="640"/>
        <w:rPr>
          <w:rFonts w:ascii="黑体" w:eastAsia="黑体" w:hAnsi="文星标宋" w:cs="Tahoma"/>
          <w:sz w:val="32"/>
          <w:szCs w:val="32"/>
        </w:rPr>
      </w:pPr>
      <w:r w:rsidRPr="00BC18B7">
        <w:rPr>
          <w:rFonts w:ascii="黑体" w:eastAsia="黑体" w:hAnsi="文星标宋" w:cs="Tahoma" w:hint="eastAsia"/>
          <w:sz w:val="32"/>
          <w:szCs w:val="32"/>
        </w:rPr>
        <w:t>二、预算单位构成</w:t>
      </w:r>
    </w:p>
    <w:p w:rsidR="00BC18B7" w:rsidRPr="00BC18B7" w:rsidRDefault="00BC18B7" w:rsidP="00BC18B7">
      <w:pPr>
        <w:spacing w:line="620" w:lineRule="exact"/>
        <w:ind w:firstLineChars="200" w:firstLine="640"/>
        <w:rPr>
          <w:rFonts w:ascii="仿宋_GB2312" w:eastAsia="仿宋_GB2312"/>
          <w:sz w:val="32"/>
          <w:szCs w:val="32"/>
        </w:rPr>
      </w:pPr>
      <w:proofErr w:type="gramStart"/>
      <w:r w:rsidRPr="00BC18B7">
        <w:rPr>
          <w:rFonts w:ascii="仿宋_GB2312" w:eastAsia="仿宋_GB2312" w:hint="eastAsia"/>
          <w:sz w:val="32"/>
          <w:szCs w:val="32"/>
        </w:rPr>
        <w:t>大兴区</w:t>
      </w:r>
      <w:proofErr w:type="gramEnd"/>
      <w:r w:rsidRPr="00BC18B7">
        <w:rPr>
          <w:rFonts w:ascii="仿宋_GB2312" w:eastAsia="仿宋_GB2312" w:hint="eastAsia"/>
          <w:sz w:val="32"/>
          <w:szCs w:val="32"/>
        </w:rPr>
        <w:t>文化馆单位预算仅包含本单位预算。</w:t>
      </w:r>
    </w:p>
    <w:p w:rsidR="00BC18B7" w:rsidRPr="00BC18B7" w:rsidRDefault="00BC18B7" w:rsidP="00BC18B7">
      <w:pPr>
        <w:spacing w:line="620" w:lineRule="exact"/>
        <w:ind w:firstLineChars="200" w:firstLine="640"/>
        <w:jc w:val="left"/>
        <w:rPr>
          <w:rFonts w:ascii="黑体" w:eastAsia="黑体" w:hAnsi="文星标宋" w:cs="宋体"/>
          <w:bCs/>
          <w:kern w:val="0"/>
          <w:sz w:val="32"/>
          <w:szCs w:val="32"/>
        </w:rPr>
      </w:pPr>
      <w:r w:rsidRPr="00BC18B7">
        <w:rPr>
          <w:rFonts w:ascii="黑体" w:eastAsia="黑体" w:hAnsi="文星标宋" w:cs="Tahoma" w:hint="eastAsia"/>
          <w:sz w:val="32"/>
          <w:szCs w:val="32"/>
        </w:rPr>
        <w:t>三、</w:t>
      </w:r>
      <w:proofErr w:type="gramStart"/>
      <w:r w:rsidRPr="00BC18B7">
        <w:rPr>
          <w:rFonts w:ascii="黑体" w:eastAsia="黑体" w:hAnsi="文星标宋" w:cs="宋体" w:hint="eastAsia"/>
          <w:bCs/>
          <w:kern w:val="0"/>
          <w:sz w:val="32"/>
          <w:szCs w:val="32"/>
        </w:rPr>
        <w:t>大兴区</w:t>
      </w:r>
      <w:proofErr w:type="gramEnd"/>
      <w:r w:rsidRPr="00BC18B7">
        <w:rPr>
          <w:rFonts w:ascii="黑体" w:eastAsia="黑体" w:hAnsi="文星标宋" w:cs="宋体" w:hint="eastAsia"/>
          <w:bCs/>
          <w:kern w:val="0"/>
          <w:sz w:val="32"/>
          <w:szCs w:val="32"/>
        </w:rPr>
        <w:t>文化馆2025年收支预算总表的说明</w:t>
      </w:r>
    </w:p>
    <w:p w:rsidR="00BC18B7" w:rsidRPr="00BC18B7" w:rsidRDefault="00BC18B7" w:rsidP="00BC18B7">
      <w:pPr>
        <w:numPr>
          <w:ilvl w:val="0"/>
          <w:numId w:val="3"/>
        </w:numPr>
        <w:spacing w:line="620" w:lineRule="exact"/>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收入构成情况</w:t>
      </w:r>
    </w:p>
    <w:p w:rsidR="00BC18B7" w:rsidRPr="00BC18B7" w:rsidRDefault="00BC18B7" w:rsidP="00BC18B7">
      <w:pPr>
        <w:ind w:firstLineChars="250" w:firstLine="800"/>
        <w:rPr>
          <w:rFonts w:ascii="仿宋_GB2312" w:eastAsia="仿宋_GB2312" w:hAnsi="文星标宋" w:cs="宋体"/>
          <w:bCs/>
          <w:kern w:val="0"/>
          <w:sz w:val="32"/>
          <w:szCs w:val="32"/>
        </w:rPr>
      </w:pPr>
      <w:r w:rsidRPr="00BC18B7">
        <w:rPr>
          <w:rFonts w:ascii="仿宋_GB2312" w:eastAsia="仿宋_GB2312" w:hAnsi="文星标宋" w:cs="宋体" w:hint="eastAsia"/>
          <w:bCs/>
          <w:color w:val="000000"/>
          <w:kern w:val="0"/>
          <w:sz w:val="32"/>
          <w:szCs w:val="32"/>
        </w:rPr>
        <w:t>2025年财政拨款预算总收入</w:t>
      </w:r>
      <w:r w:rsidRPr="00BC18B7">
        <w:rPr>
          <w:rFonts w:ascii="仿宋_GB2312" w:eastAsia="仿宋_GB2312" w:hAnsi="文星标宋" w:cs="宋体"/>
          <w:bCs/>
          <w:color w:val="000000"/>
          <w:kern w:val="0"/>
          <w:sz w:val="32"/>
          <w:szCs w:val="32"/>
        </w:rPr>
        <w:t>2</w:t>
      </w:r>
      <w:r w:rsidRPr="00BC18B7">
        <w:rPr>
          <w:rFonts w:ascii="仿宋_GB2312" w:eastAsia="仿宋_GB2312" w:hAnsi="文星标宋" w:cs="宋体" w:hint="eastAsia"/>
          <w:bCs/>
          <w:color w:val="000000"/>
          <w:kern w:val="0"/>
          <w:sz w:val="32"/>
          <w:szCs w:val="32"/>
        </w:rPr>
        <w:t>388.71万元，全部为一般公共预算财政拨款。其中：2025年本年一般公共预算财政拨款 2388.71万元；</w:t>
      </w:r>
      <w:r w:rsidRPr="00BC18B7">
        <w:rPr>
          <w:rFonts w:ascii="仿宋_GB2312" w:eastAsia="仿宋_GB2312" w:hAnsi="文星标宋" w:cs="宋体" w:hint="eastAsia"/>
          <w:bCs/>
          <w:kern w:val="0"/>
          <w:sz w:val="32"/>
          <w:szCs w:val="32"/>
        </w:rPr>
        <w:t>上年结转0万元。</w:t>
      </w:r>
      <w:r w:rsidRPr="00BC18B7">
        <w:rPr>
          <w:rFonts w:ascii="仿宋_GB2312" w:eastAsia="仿宋_GB2312" w:hAnsi="宋体" w:cs="宋体" w:hint="eastAsia"/>
          <w:color w:val="000000"/>
          <w:kern w:val="0"/>
          <w:sz w:val="32"/>
          <w:szCs w:val="32"/>
        </w:rPr>
        <w:t>与上年预算总收入2278.18万元相比，增</w:t>
      </w:r>
      <w:r w:rsidRPr="00BC18B7">
        <w:rPr>
          <w:rFonts w:ascii="仿宋_GB2312" w:eastAsia="仿宋_GB2312" w:hAnsi="宋体" w:cs="宋体" w:hint="eastAsia"/>
          <w:kern w:val="0"/>
          <w:sz w:val="32"/>
          <w:szCs w:val="32"/>
        </w:rPr>
        <w:t>加110.53万元。主要原因是;由于人员晋升薪级及职务变动增加工资和缴费基数调整导致社会保障及卫生健康等人员支出增加。</w:t>
      </w:r>
    </w:p>
    <w:p w:rsidR="00BC18B7" w:rsidRPr="00BC18B7" w:rsidRDefault="00BC18B7" w:rsidP="00BC18B7">
      <w:pPr>
        <w:ind w:firstLineChars="250" w:firstLine="800"/>
        <w:rPr>
          <w:rFonts w:ascii="仿宋_GB2312" w:eastAsia="仿宋_GB2312" w:hAnsi="文星标宋" w:cs="宋体"/>
          <w:bCs/>
          <w:kern w:val="0"/>
          <w:sz w:val="32"/>
          <w:szCs w:val="32"/>
        </w:rPr>
      </w:pPr>
      <w:r w:rsidRPr="00BC18B7">
        <w:rPr>
          <w:rFonts w:ascii="仿宋_GB2312" w:eastAsia="仿宋_GB2312" w:hAnsi="宋体" w:cs="宋体" w:hint="eastAsia"/>
          <w:kern w:val="0"/>
          <w:sz w:val="32"/>
          <w:szCs w:val="32"/>
        </w:rPr>
        <w:t>2、</w:t>
      </w:r>
      <w:r w:rsidRPr="00BC18B7">
        <w:rPr>
          <w:rFonts w:ascii="仿宋_GB2312" w:eastAsia="仿宋_GB2312" w:hAnsi="文星标宋" w:cs="宋体" w:hint="eastAsia"/>
          <w:bCs/>
          <w:kern w:val="0"/>
          <w:sz w:val="32"/>
          <w:szCs w:val="32"/>
        </w:rPr>
        <w:t>支出构成情况</w:t>
      </w:r>
    </w:p>
    <w:p w:rsidR="00BC18B7" w:rsidRPr="00BC18B7" w:rsidRDefault="00BC18B7" w:rsidP="00BC18B7">
      <w:pPr>
        <w:ind w:firstLineChars="250" w:firstLine="800"/>
        <w:rPr>
          <w:rFonts w:ascii="仿宋_GB2312" w:eastAsia="仿宋_GB2312" w:hAnsi="宋体" w:cs="宋体"/>
          <w:kern w:val="0"/>
          <w:sz w:val="32"/>
          <w:szCs w:val="32"/>
        </w:rPr>
      </w:pPr>
      <w:r w:rsidRPr="00BC18B7">
        <w:rPr>
          <w:rFonts w:ascii="仿宋_GB2312" w:eastAsia="仿宋_GB2312" w:hAnsi="文星标宋" w:cs="宋体" w:hint="eastAsia"/>
          <w:bCs/>
          <w:color w:val="000000"/>
          <w:kern w:val="0"/>
          <w:sz w:val="32"/>
          <w:szCs w:val="32"/>
        </w:rPr>
        <w:t>2025年财政拨款预算总支出2388.71万元，其中用于社会保障和就业支出207.33万元；用于卫生健康支出</w:t>
      </w:r>
      <w:r w:rsidRPr="00BC18B7">
        <w:rPr>
          <w:rFonts w:ascii="仿宋_GB2312" w:eastAsia="仿宋_GB2312" w:hAnsi="文星标宋" w:cs="宋体"/>
          <w:bCs/>
          <w:color w:val="000000"/>
          <w:kern w:val="0"/>
          <w:sz w:val="32"/>
          <w:szCs w:val="32"/>
        </w:rPr>
        <w:t>135.7</w:t>
      </w:r>
      <w:r w:rsidRPr="00BC18B7">
        <w:rPr>
          <w:rFonts w:ascii="仿宋_GB2312" w:eastAsia="仿宋_GB2312" w:hAnsi="文星标宋" w:cs="宋体" w:hint="eastAsia"/>
          <w:bCs/>
          <w:color w:val="000000"/>
          <w:kern w:val="0"/>
          <w:sz w:val="32"/>
          <w:szCs w:val="32"/>
        </w:rPr>
        <w:t>9万元；用于文化和旅游支出2045.59万元。</w:t>
      </w:r>
      <w:r w:rsidRPr="00BC18B7">
        <w:rPr>
          <w:rFonts w:ascii="仿宋_GB2312" w:eastAsia="仿宋_GB2312" w:hint="eastAsia"/>
          <w:sz w:val="32"/>
          <w:szCs w:val="32"/>
        </w:rPr>
        <w:t>与上年预算总支出</w:t>
      </w:r>
      <w:r w:rsidRPr="00BC18B7">
        <w:rPr>
          <w:rFonts w:ascii="仿宋_GB2312" w:eastAsia="仿宋_GB2312" w:hAnsi="宋体" w:cs="宋体" w:hint="eastAsia"/>
          <w:color w:val="000000"/>
          <w:kern w:val="0"/>
          <w:sz w:val="32"/>
          <w:szCs w:val="32"/>
        </w:rPr>
        <w:t>2278.18万元相比</w:t>
      </w:r>
      <w:r w:rsidRPr="00BC18B7">
        <w:rPr>
          <w:rFonts w:ascii="仿宋_GB2312" w:eastAsia="仿宋_GB2312" w:hint="eastAsia"/>
          <w:sz w:val="32"/>
          <w:szCs w:val="32"/>
        </w:rPr>
        <w:t>，</w:t>
      </w:r>
      <w:r w:rsidRPr="00BC18B7">
        <w:rPr>
          <w:rFonts w:ascii="仿宋_GB2312" w:eastAsia="仿宋_GB2312" w:hAnsi="宋体" w:cs="宋体" w:hint="eastAsia"/>
          <w:color w:val="000000"/>
          <w:kern w:val="0"/>
          <w:sz w:val="32"/>
          <w:szCs w:val="32"/>
        </w:rPr>
        <w:t>增</w:t>
      </w:r>
      <w:r w:rsidRPr="00BC18B7">
        <w:rPr>
          <w:rFonts w:ascii="仿宋_GB2312" w:eastAsia="仿宋_GB2312" w:hAnsi="宋体" w:cs="宋体" w:hint="eastAsia"/>
          <w:kern w:val="0"/>
          <w:sz w:val="32"/>
          <w:szCs w:val="32"/>
        </w:rPr>
        <w:t>加110.53万元。主要原因是;由于人员晋升薪级及职务变动增加工资和缴费基数调整导致社会保障及卫生健康等人员支出增加。</w:t>
      </w:r>
    </w:p>
    <w:p w:rsidR="00BC18B7" w:rsidRPr="00BC18B7" w:rsidRDefault="00BC18B7" w:rsidP="00BC18B7">
      <w:pPr>
        <w:ind w:firstLineChars="250" w:firstLine="800"/>
        <w:rPr>
          <w:rFonts w:ascii="黑体" w:eastAsia="黑体" w:hAnsi="文星标宋" w:cs="Tahoma"/>
          <w:color w:val="000000"/>
          <w:sz w:val="32"/>
          <w:szCs w:val="32"/>
        </w:rPr>
      </w:pPr>
      <w:r w:rsidRPr="00BC18B7">
        <w:rPr>
          <w:rFonts w:ascii="黑体" w:eastAsia="黑体" w:hAnsi="文星标宋" w:cs="Tahoma" w:hint="eastAsia"/>
          <w:color w:val="000000"/>
          <w:sz w:val="32"/>
          <w:szCs w:val="32"/>
        </w:rPr>
        <w:t>四、</w:t>
      </w:r>
      <w:proofErr w:type="gramStart"/>
      <w:r w:rsidRPr="00BC18B7">
        <w:rPr>
          <w:rFonts w:ascii="黑体" w:eastAsia="黑体" w:hAnsi="文星标宋" w:cs="宋体" w:hint="eastAsia"/>
          <w:bCs/>
          <w:color w:val="000000"/>
          <w:kern w:val="0"/>
          <w:sz w:val="32"/>
          <w:szCs w:val="32"/>
        </w:rPr>
        <w:t>大兴区</w:t>
      </w:r>
      <w:proofErr w:type="gramEnd"/>
      <w:r w:rsidRPr="00BC18B7">
        <w:rPr>
          <w:rFonts w:ascii="黑体" w:eastAsia="黑体" w:hAnsi="文星标宋" w:cs="宋体" w:hint="eastAsia"/>
          <w:bCs/>
          <w:color w:val="000000"/>
          <w:kern w:val="0"/>
          <w:sz w:val="32"/>
          <w:szCs w:val="32"/>
        </w:rPr>
        <w:t>文化馆2025年收入预算表的</w:t>
      </w:r>
      <w:r w:rsidRPr="00BC18B7">
        <w:rPr>
          <w:rFonts w:ascii="黑体" w:eastAsia="黑体" w:hAnsi="文星标宋" w:cs="Tahoma" w:hint="eastAsia"/>
          <w:color w:val="000000"/>
          <w:sz w:val="32"/>
          <w:szCs w:val="32"/>
        </w:rPr>
        <w:t>说明</w:t>
      </w:r>
    </w:p>
    <w:p w:rsidR="00BC18B7" w:rsidRPr="00BC18B7" w:rsidRDefault="00BC18B7" w:rsidP="00BC18B7">
      <w:pPr>
        <w:numPr>
          <w:ilvl w:val="0"/>
          <w:numId w:val="4"/>
        </w:numPr>
        <w:spacing w:line="620" w:lineRule="exact"/>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收入构成情况</w:t>
      </w:r>
    </w:p>
    <w:p w:rsidR="00BC18B7" w:rsidRPr="00BC18B7" w:rsidRDefault="00BC18B7" w:rsidP="00BC18B7">
      <w:pPr>
        <w:spacing w:line="620" w:lineRule="exact"/>
        <w:ind w:firstLineChars="200" w:firstLine="640"/>
        <w:jc w:val="left"/>
        <w:rPr>
          <w:rFonts w:ascii="仿宋_GB2312" w:eastAsia="仿宋_GB2312" w:hAnsi="文星标宋" w:cs="宋体"/>
          <w:bCs/>
          <w:color w:val="000000"/>
          <w:kern w:val="0"/>
          <w:sz w:val="32"/>
          <w:szCs w:val="32"/>
        </w:rPr>
      </w:pPr>
      <w:r w:rsidRPr="00BC18B7">
        <w:rPr>
          <w:rFonts w:ascii="仿宋_GB2312" w:eastAsia="仿宋_GB2312" w:hAnsi="文星标宋" w:cs="宋体" w:hint="eastAsia"/>
          <w:bCs/>
          <w:color w:val="000000"/>
          <w:kern w:val="0"/>
          <w:sz w:val="32"/>
          <w:szCs w:val="32"/>
        </w:rPr>
        <w:t>2025年财政拨款预算总收入2388.71万元，全部为一般公共预算财政拨款。2025年本年一般公共预算财政拨款2388.71万元；</w:t>
      </w:r>
      <w:r w:rsidRPr="00BC18B7">
        <w:rPr>
          <w:rFonts w:ascii="仿宋_GB2312" w:eastAsia="仿宋_GB2312" w:hAnsi="文星标宋" w:cs="宋体" w:hint="eastAsia"/>
          <w:bCs/>
          <w:kern w:val="0"/>
          <w:sz w:val="32"/>
          <w:szCs w:val="32"/>
        </w:rPr>
        <w:t>上年结转0万元。</w:t>
      </w:r>
      <w:r w:rsidRPr="00BC18B7">
        <w:rPr>
          <w:rFonts w:ascii="仿宋_GB2312" w:eastAsia="仿宋_GB2312" w:hAnsi="文星标宋" w:cs="宋体" w:hint="eastAsia"/>
          <w:bCs/>
          <w:color w:val="000000"/>
          <w:kern w:val="0"/>
          <w:sz w:val="32"/>
          <w:szCs w:val="32"/>
        </w:rPr>
        <w:t>用于社会保障和就业支出207.33万元；用于卫生健康支出</w:t>
      </w:r>
      <w:r w:rsidRPr="00BC18B7">
        <w:rPr>
          <w:rFonts w:ascii="仿宋_GB2312" w:eastAsia="仿宋_GB2312" w:hAnsi="文星标宋" w:cs="宋体"/>
          <w:bCs/>
          <w:color w:val="000000"/>
          <w:kern w:val="0"/>
          <w:sz w:val="32"/>
          <w:szCs w:val="32"/>
        </w:rPr>
        <w:t>135.7</w:t>
      </w:r>
      <w:r w:rsidRPr="00BC18B7">
        <w:rPr>
          <w:rFonts w:ascii="仿宋_GB2312" w:eastAsia="仿宋_GB2312" w:hAnsi="文星标宋" w:cs="宋体" w:hint="eastAsia"/>
          <w:bCs/>
          <w:color w:val="000000"/>
          <w:kern w:val="0"/>
          <w:sz w:val="32"/>
          <w:szCs w:val="32"/>
        </w:rPr>
        <w:t>9万元；用于文化和旅游支出2045.59万元。</w:t>
      </w:r>
    </w:p>
    <w:p w:rsidR="00BC18B7" w:rsidRPr="00BC18B7" w:rsidRDefault="00BC18B7" w:rsidP="00BC18B7">
      <w:pPr>
        <w:numPr>
          <w:ilvl w:val="0"/>
          <w:numId w:val="4"/>
        </w:numPr>
        <w:spacing w:line="620" w:lineRule="exact"/>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支出构成情况</w:t>
      </w:r>
    </w:p>
    <w:p w:rsidR="00BC18B7" w:rsidRPr="00BC18B7" w:rsidRDefault="00BC18B7" w:rsidP="00BC18B7">
      <w:pPr>
        <w:spacing w:line="620" w:lineRule="exact"/>
        <w:ind w:firstLineChars="200" w:firstLine="640"/>
        <w:jc w:val="left"/>
        <w:rPr>
          <w:rFonts w:ascii="仿宋_GB2312" w:eastAsia="仿宋_GB2312" w:hAnsi="文星标宋" w:cs="宋体"/>
          <w:bCs/>
          <w:color w:val="000000"/>
          <w:kern w:val="0"/>
          <w:sz w:val="32"/>
          <w:szCs w:val="32"/>
        </w:rPr>
      </w:pPr>
      <w:r w:rsidRPr="00BC18B7">
        <w:rPr>
          <w:rFonts w:ascii="仿宋_GB2312" w:eastAsia="仿宋_GB2312" w:hAnsi="文星标宋" w:cs="宋体" w:hint="eastAsia"/>
          <w:bCs/>
          <w:color w:val="000000"/>
          <w:kern w:val="0"/>
          <w:sz w:val="32"/>
          <w:szCs w:val="32"/>
        </w:rPr>
        <w:t>2025 年财政拨款预算总支出2388.71万元，其中用于社会保障和就业支出207.33万元；用于卫生健康支出</w:t>
      </w:r>
      <w:r w:rsidRPr="00BC18B7">
        <w:rPr>
          <w:rFonts w:ascii="仿宋_GB2312" w:eastAsia="仿宋_GB2312" w:hAnsi="文星标宋" w:cs="宋体"/>
          <w:bCs/>
          <w:color w:val="000000"/>
          <w:kern w:val="0"/>
          <w:sz w:val="32"/>
          <w:szCs w:val="32"/>
        </w:rPr>
        <w:t>135.7</w:t>
      </w:r>
      <w:r w:rsidRPr="00BC18B7">
        <w:rPr>
          <w:rFonts w:ascii="仿宋_GB2312" w:eastAsia="仿宋_GB2312" w:hAnsi="文星标宋" w:cs="宋体" w:hint="eastAsia"/>
          <w:bCs/>
          <w:color w:val="000000"/>
          <w:kern w:val="0"/>
          <w:sz w:val="32"/>
          <w:szCs w:val="32"/>
        </w:rPr>
        <w:t>9万元；用于文化和旅游支出2045.59万元。</w:t>
      </w:r>
    </w:p>
    <w:p w:rsidR="00BC18B7" w:rsidRPr="00BC18B7" w:rsidRDefault="00BC18B7" w:rsidP="00BC18B7">
      <w:pPr>
        <w:spacing w:line="620" w:lineRule="exact"/>
        <w:ind w:firstLineChars="200" w:firstLine="640"/>
        <w:jc w:val="left"/>
        <w:rPr>
          <w:rFonts w:ascii="黑体" w:eastAsia="黑体" w:hAnsi="文星标宋" w:cs="Tahoma"/>
          <w:color w:val="000000"/>
          <w:sz w:val="32"/>
          <w:szCs w:val="32"/>
        </w:rPr>
      </w:pPr>
      <w:r w:rsidRPr="00BC18B7">
        <w:rPr>
          <w:rFonts w:ascii="黑体" w:eastAsia="黑体" w:hAnsi="文星标宋" w:cs="Tahoma" w:hint="eastAsia"/>
          <w:color w:val="000000"/>
          <w:sz w:val="32"/>
          <w:szCs w:val="32"/>
        </w:rPr>
        <w:t>五、</w:t>
      </w:r>
      <w:proofErr w:type="gramStart"/>
      <w:r w:rsidRPr="00BC18B7">
        <w:rPr>
          <w:rFonts w:ascii="黑体" w:eastAsia="黑体" w:hAnsi="文星标宋" w:cs="宋体" w:hint="eastAsia"/>
          <w:bCs/>
          <w:color w:val="000000"/>
          <w:kern w:val="0"/>
          <w:sz w:val="32"/>
          <w:szCs w:val="32"/>
        </w:rPr>
        <w:t>大兴区</w:t>
      </w:r>
      <w:proofErr w:type="gramEnd"/>
      <w:r w:rsidRPr="00BC18B7">
        <w:rPr>
          <w:rFonts w:ascii="黑体" w:eastAsia="黑体" w:hAnsi="文星标宋" w:cs="宋体" w:hint="eastAsia"/>
          <w:bCs/>
          <w:color w:val="000000"/>
          <w:kern w:val="0"/>
          <w:sz w:val="32"/>
          <w:szCs w:val="32"/>
        </w:rPr>
        <w:t>文化馆2025年支出预算表</w:t>
      </w:r>
      <w:r w:rsidRPr="00BC18B7">
        <w:rPr>
          <w:rFonts w:ascii="黑体" w:eastAsia="黑体" w:hAnsi="文星标宋" w:cs="Tahoma" w:hint="eastAsia"/>
          <w:color w:val="000000"/>
          <w:sz w:val="32"/>
          <w:szCs w:val="32"/>
        </w:rPr>
        <w:t>的说明</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1、</w:t>
      </w:r>
      <w:r w:rsidRPr="00BC18B7">
        <w:rPr>
          <w:rFonts w:ascii="仿宋_GB2312" w:eastAsia="仿宋_GB2312" w:hAnsi="文星标宋" w:cs="宋体" w:hint="eastAsia"/>
          <w:bCs/>
          <w:kern w:val="0"/>
          <w:sz w:val="32"/>
          <w:szCs w:val="32"/>
        </w:rPr>
        <w:tab/>
        <w:t>收入构成情况</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2025年财政拨款预算总收入2388.71万元，全部为一般公共预算财政拨款。2025年本年一般公共预算财政拨款2388.71万元；上年结转0万元。</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2、</w:t>
      </w:r>
      <w:r w:rsidRPr="00BC18B7">
        <w:rPr>
          <w:rFonts w:ascii="仿宋_GB2312" w:eastAsia="仿宋_GB2312" w:hAnsi="文星标宋" w:cs="宋体" w:hint="eastAsia"/>
          <w:bCs/>
          <w:kern w:val="0"/>
          <w:sz w:val="32"/>
          <w:szCs w:val="32"/>
        </w:rPr>
        <w:tab/>
        <w:t>支出构成情况</w:t>
      </w:r>
    </w:p>
    <w:p w:rsidR="00BC18B7" w:rsidRPr="00BC18B7" w:rsidRDefault="00BC18B7" w:rsidP="00BC18B7">
      <w:pPr>
        <w:spacing w:line="620" w:lineRule="exact"/>
        <w:ind w:firstLineChars="200" w:firstLine="640"/>
        <w:jc w:val="left"/>
        <w:rPr>
          <w:rFonts w:ascii="仿宋_GB2312" w:eastAsia="仿宋_GB2312" w:hAnsi="文星标宋" w:cs="宋体"/>
          <w:bCs/>
          <w:color w:val="000000"/>
          <w:kern w:val="0"/>
          <w:sz w:val="32"/>
          <w:szCs w:val="32"/>
        </w:rPr>
      </w:pPr>
      <w:r w:rsidRPr="00BC18B7">
        <w:rPr>
          <w:rFonts w:ascii="仿宋_GB2312" w:eastAsia="仿宋_GB2312" w:hAnsi="文星标宋" w:cs="宋体" w:hint="eastAsia"/>
          <w:bCs/>
          <w:color w:val="000000"/>
          <w:kern w:val="0"/>
          <w:sz w:val="32"/>
          <w:szCs w:val="32"/>
        </w:rPr>
        <w:t>2025 年财政拨款预算总支出2388.71万元，其中用于社会保障和就业支出207.33万元；用于卫生健康支出</w:t>
      </w:r>
      <w:r w:rsidRPr="00BC18B7">
        <w:rPr>
          <w:rFonts w:ascii="仿宋_GB2312" w:eastAsia="仿宋_GB2312" w:hAnsi="文星标宋" w:cs="宋体"/>
          <w:bCs/>
          <w:color w:val="000000"/>
          <w:kern w:val="0"/>
          <w:sz w:val="32"/>
          <w:szCs w:val="32"/>
        </w:rPr>
        <w:t>135.7</w:t>
      </w:r>
      <w:r w:rsidRPr="00BC18B7">
        <w:rPr>
          <w:rFonts w:ascii="仿宋_GB2312" w:eastAsia="仿宋_GB2312" w:hAnsi="文星标宋" w:cs="宋体" w:hint="eastAsia"/>
          <w:bCs/>
          <w:color w:val="000000"/>
          <w:kern w:val="0"/>
          <w:sz w:val="32"/>
          <w:szCs w:val="32"/>
        </w:rPr>
        <w:t>9万元；用于文化和旅游支出2045.59万元。</w:t>
      </w:r>
    </w:p>
    <w:p w:rsidR="00BC18B7" w:rsidRPr="00BC18B7" w:rsidRDefault="00BC18B7" w:rsidP="00BC18B7">
      <w:pPr>
        <w:spacing w:line="620" w:lineRule="exact"/>
        <w:ind w:firstLineChars="200" w:firstLine="640"/>
        <w:jc w:val="left"/>
        <w:rPr>
          <w:rFonts w:ascii="黑体" w:eastAsia="黑体" w:hAnsi="文星标宋" w:cs="Tahoma"/>
          <w:color w:val="000000"/>
          <w:sz w:val="32"/>
          <w:szCs w:val="32"/>
        </w:rPr>
      </w:pPr>
      <w:r w:rsidRPr="00BC18B7">
        <w:rPr>
          <w:rFonts w:ascii="黑体" w:eastAsia="黑体" w:hAnsi="文星标宋" w:cs="Tahoma" w:hint="eastAsia"/>
          <w:color w:val="000000"/>
          <w:sz w:val="32"/>
          <w:szCs w:val="32"/>
        </w:rPr>
        <w:t>六、</w:t>
      </w:r>
      <w:proofErr w:type="gramStart"/>
      <w:r w:rsidRPr="00BC18B7">
        <w:rPr>
          <w:rFonts w:ascii="黑体" w:eastAsia="黑体" w:hAnsi="文星标宋" w:cs="宋体" w:hint="eastAsia"/>
          <w:bCs/>
          <w:color w:val="000000"/>
          <w:kern w:val="0"/>
          <w:sz w:val="32"/>
          <w:szCs w:val="32"/>
        </w:rPr>
        <w:t>大兴区</w:t>
      </w:r>
      <w:proofErr w:type="gramEnd"/>
      <w:r w:rsidRPr="00BC18B7">
        <w:rPr>
          <w:rFonts w:ascii="黑体" w:eastAsia="黑体" w:hAnsi="文星标宋" w:cs="宋体" w:hint="eastAsia"/>
          <w:bCs/>
          <w:color w:val="000000"/>
          <w:kern w:val="0"/>
          <w:sz w:val="32"/>
          <w:szCs w:val="32"/>
        </w:rPr>
        <w:t>文化馆2025年财政拨款收支预算表</w:t>
      </w:r>
      <w:r w:rsidRPr="00BC18B7">
        <w:rPr>
          <w:rFonts w:ascii="黑体" w:eastAsia="黑体" w:hAnsi="文星标宋" w:cs="Tahoma" w:hint="eastAsia"/>
          <w:color w:val="000000"/>
          <w:sz w:val="32"/>
          <w:szCs w:val="32"/>
        </w:rPr>
        <w:t>的说明</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1、</w:t>
      </w:r>
      <w:r w:rsidRPr="00BC18B7">
        <w:rPr>
          <w:rFonts w:ascii="仿宋_GB2312" w:eastAsia="仿宋_GB2312" w:hAnsi="文星标宋" w:cs="宋体" w:hint="eastAsia"/>
          <w:bCs/>
          <w:kern w:val="0"/>
          <w:sz w:val="32"/>
          <w:szCs w:val="32"/>
        </w:rPr>
        <w:tab/>
        <w:t>收入构成情况</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2025年财政拨款预算总收入2388.71万元，全部为一般公共预算财政拨款。2025年本年一般公共预算财政拨款2388.71万元；上年结转0万元。</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2、</w:t>
      </w:r>
      <w:r w:rsidRPr="00BC18B7">
        <w:rPr>
          <w:rFonts w:ascii="仿宋_GB2312" w:eastAsia="仿宋_GB2312" w:hAnsi="文星标宋" w:cs="宋体" w:hint="eastAsia"/>
          <w:bCs/>
          <w:kern w:val="0"/>
          <w:sz w:val="32"/>
          <w:szCs w:val="32"/>
        </w:rPr>
        <w:tab/>
        <w:t>支出构成情况</w:t>
      </w:r>
    </w:p>
    <w:p w:rsidR="00BC18B7" w:rsidRPr="00BC18B7" w:rsidRDefault="00BC18B7" w:rsidP="00BC18B7">
      <w:pPr>
        <w:spacing w:line="620" w:lineRule="exact"/>
        <w:ind w:firstLineChars="200" w:firstLine="640"/>
        <w:jc w:val="left"/>
        <w:rPr>
          <w:rFonts w:ascii="仿宋_GB2312" w:eastAsia="仿宋_GB2312" w:hAnsi="文星标宋" w:cs="宋体"/>
          <w:bCs/>
          <w:color w:val="000000"/>
          <w:kern w:val="0"/>
          <w:sz w:val="32"/>
          <w:szCs w:val="32"/>
        </w:rPr>
      </w:pPr>
      <w:r w:rsidRPr="00BC18B7">
        <w:rPr>
          <w:rFonts w:ascii="仿宋_GB2312" w:eastAsia="仿宋_GB2312" w:hAnsi="文星标宋" w:cs="宋体" w:hint="eastAsia"/>
          <w:bCs/>
          <w:color w:val="000000"/>
          <w:kern w:val="0"/>
          <w:sz w:val="32"/>
          <w:szCs w:val="32"/>
        </w:rPr>
        <w:t>2025 年财政拨款预算总支出2388.71万元，其中用于社会保障和就业支出207.33万元；用于卫生健康支出</w:t>
      </w:r>
      <w:r w:rsidRPr="00BC18B7">
        <w:rPr>
          <w:rFonts w:ascii="仿宋_GB2312" w:eastAsia="仿宋_GB2312" w:hAnsi="文星标宋" w:cs="宋体"/>
          <w:bCs/>
          <w:color w:val="000000"/>
          <w:kern w:val="0"/>
          <w:sz w:val="32"/>
          <w:szCs w:val="32"/>
        </w:rPr>
        <w:t>135.7</w:t>
      </w:r>
      <w:r w:rsidRPr="00BC18B7">
        <w:rPr>
          <w:rFonts w:ascii="仿宋_GB2312" w:eastAsia="仿宋_GB2312" w:hAnsi="文星标宋" w:cs="宋体" w:hint="eastAsia"/>
          <w:bCs/>
          <w:color w:val="000000"/>
          <w:kern w:val="0"/>
          <w:sz w:val="32"/>
          <w:szCs w:val="32"/>
        </w:rPr>
        <w:t>9万元；用于文化和旅游支出2045.59万元。</w:t>
      </w:r>
    </w:p>
    <w:p w:rsidR="00BC18B7" w:rsidRPr="00BC18B7" w:rsidRDefault="00BC18B7" w:rsidP="00BC18B7">
      <w:pPr>
        <w:spacing w:line="620" w:lineRule="exact"/>
        <w:ind w:firstLineChars="300" w:firstLine="960"/>
        <w:jc w:val="left"/>
        <w:rPr>
          <w:rFonts w:ascii="黑体" w:eastAsia="黑体" w:hAnsi="文星标宋" w:cs="Tahoma"/>
          <w:sz w:val="32"/>
          <w:szCs w:val="32"/>
        </w:rPr>
      </w:pPr>
      <w:r w:rsidRPr="00BC18B7">
        <w:rPr>
          <w:rFonts w:ascii="黑体" w:eastAsia="黑体" w:hAnsi="文星标宋" w:cs="Tahoma" w:hint="eastAsia"/>
          <w:sz w:val="32"/>
          <w:szCs w:val="32"/>
        </w:rPr>
        <w:t>七、</w:t>
      </w:r>
      <w:proofErr w:type="gramStart"/>
      <w:r w:rsidRPr="00BC18B7">
        <w:rPr>
          <w:rFonts w:ascii="黑体" w:eastAsia="黑体" w:hAnsi="文星标宋" w:cs="宋体" w:hint="eastAsia"/>
          <w:bCs/>
          <w:kern w:val="0"/>
          <w:sz w:val="32"/>
          <w:szCs w:val="32"/>
        </w:rPr>
        <w:t>大兴区</w:t>
      </w:r>
      <w:proofErr w:type="gramEnd"/>
      <w:r w:rsidRPr="00BC18B7">
        <w:rPr>
          <w:rFonts w:ascii="黑体" w:eastAsia="黑体" w:hAnsi="文星标宋" w:cs="宋体" w:hint="eastAsia"/>
          <w:bCs/>
          <w:kern w:val="0"/>
          <w:sz w:val="32"/>
          <w:szCs w:val="32"/>
        </w:rPr>
        <w:t>文化馆2025年一般公共预算财政拨款支出预算表</w:t>
      </w:r>
      <w:r w:rsidRPr="00BC18B7">
        <w:rPr>
          <w:rFonts w:ascii="黑体" w:eastAsia="黑体" w:hAnsi="文星标宋" w:cs="Tahoma" w:hint="eastAsia"/>
          <w:sz w:val="32"/>
          <w:szCs w:val="32"/>
        </w:rPr>
        <w:t>的说明</w:t>
      </w:r>
    </w:p>
    <w:p w:rsidR="00BC18B7" w:rsidRPr="00BC18B7" w:rsidRDefault="00BC18B7" w:rsidP="00BC18B7">
      <w:pPr>
        <w:spacing w:line="620" w:lineRule="exact"/>
        <w:ind w:firstLineChars="200" w:firstLine="640"/>
        <w:jc w:val="left"/>
        <w:rPr>
          <w:rFonts w:ascii="仿宋_GB2312" w:eastAsia="仿宋_GB2312" w:hAnsi="文星标宋" w:cs="宋体"/>
          <w:bCs/>
          <w:kern w:val="0"/>
          <w:sz w:val="32"/>
          <w:szCs w:val="32"/>
        </w:rPr>
      </w:pPr>
      <w:r w:rsidRPr="00BC18B7">
        <w:rPr>
          <w:rFonts w:ascii="仿宋_GB2312" w:eastAsia="仿宋_GB2312" w:hAnsi="文星标宋" w:cs="宋体" w:hint="eastAsia"/>
          <w:bCs/>
          <w:kern w:val="0"/>
          <w:sz w:val="32"/>
          <w:szCs w:val="32"/>
        </w:rPr>
        <w:t>2025年一般公共预算财政拨款总支出预算2388.71万元，包括：用于文化和旅游支出2045.59万元，比上年预算执行数增加2.21 %，主要原因是晋升薪级和职务变动晋升工资,本年预算比上年执行数</w:t>
      </w:r>
      <w:r w:rsidRPr="00BC18B7">
        <w:rPr>
          <w:rFonts w:ascii="仿宋_GB2312" w:eastAsia="仿宋_GB2312" w:hAnsi="宋体" w:cs="宋体" w:hint="eastAsia"/>
          <w:kern w:val="0"/>
          <w:sz w:val="32"/>
          <w:szCs w:val="32"/>
        </w:rPr>
        <w:t>增加了44.17万元；</w:t>
      </w:r>
      <w:r w:rsidRPr="00BC18B7">
        <w:rPr>
          <w:rFonts w:ascii="仿宋_GB2312" w:eastAsia="仿宋_GB2312" w:hAnsi="文星标宋" w:cs="宋体" w:hint="eastAsia"/>
          <w:bCs/>
          <w:kern w:val="0"/>
          <w:sz w:val="32"/>
          <w:szCs w:val="32"/>
        </w:rPr>
        <w:t>社会保障和就业支出207.33万元，比上年执行数增加10.15%，主要原因是本年退休人员增加及养老保险和职业年金缴费基数增加使得预算增加，增加了19.1万元；卫生健康支出135.79万元，比上年执行数增加了10.99%，主要原因是保险缴存基数调整，单位支出部分增加了13.45万元。</w:t>
      </w:r>
    </w:p>
    <w:p w:rsidR="00BC18B7" w:rsidRPr="00BC18B7" w:rsidRDefault="00BC18B7" w:rsidP="00BC18B7">
      <w:pPr>
        <w:spacing w:line="620" w:lineRule="exact"/>
        <w:ind w:firstLineChars="200" w:firstLine="640"/>
        <w:jc w:val="left"/>
        <w:rPr>
          <w:rFonts w:ascii="黑体" w:eastAsia="黑体" w:hAnsi="文星标宋" w:cs="Tahoma"/>
          <w:sz w:val="32"/>
          <w:szCs w:val="32"/>
        </w:rPr>
      </w:pPr>
      <w:r w:rsidRPr="00BC18B7">
        <w:rPr>
          <w:rFonts w:ascii="黑体" w:eastAsia="黑体" w:hAnsi="文星标宋" w:cs="Tahoma" w:hint="eastAsia"/>
          <w:sz w:val="32"/>
          <w:szCs w:val="32"/>
        </w:rPr>
        <w:t>八、</w:t>
      </w:r>
      <w:proofErr w:type="gramStart"/>
      <w:r w:rsidRPr="00BC18B7">
        <w:rPr>
          <w:rFonts w:ascii="黑体" w:eastAsia="黑体" w:hAnsi="文星标宋" w:cs="Tahoma" w:hint="eastAsia"/>
          <w:sz w:val="32"/>
          <w:szCs w:val="32"/>
        </w:rPr>
        <w:t>大兴区</w:t>
      </w:r>
      <w:proofErr w:type="gramEnd"/>
      <w:r w:rsidRPr="00BC18B7">
        <w:rPr>
          <w:rFonts w:ascii="黑体" w:eastAsia="黑体" w:hAnsi="文星标宋" w:cs="Tahoma" w:hint="eastAsia"/>
          <w:sz w:val="32"/>
          <w:szCs w:val="32"/>
        </w:rPr>
        <w:t>文化馆2025年一般公共预算财政拨款基本支出预算表的说明</w:t>
      </w:r>
    </w:p>
    <w:p w:rsidR="00BC18B7" w:rsidRPr="00BC18B7" w:rsidRDefault="00BC18B7" w:rsidP="00BC18B7">
      <w:pPr>
        <w:spacing w:line="620" w:lineRule="exact"/>
        <w:ind w:firstLineChars="200" w:firstLine="640"/>
        <w:rPr>
          <w:rFonts w:ascii="仿宋_GB2312" w:eastAsia="仿宋_GB2312" w:hAnsi="文星标宋" w:cs="Tahoma"/>
          <w:sz w:val="32"/>
          <w:szCs w:val="32"/>
        </w:rPr>
      </w:pPr>
      <w:r w:rsidRPr="00BC18B7">
        <w:rPr>
          <w:rFonts w:ascii="仿宋_GB2312" w:eastAsia="仿宋_GB2312" w:hAnsi="文星标宋" w:cs="Tahoma" w:hint="eastAsia"/>
          <w:sz w:val="32"/>
          <w:szCs w:val="32"/>
        </w:rPr>
        <w:t>2025年一般公共预算财政拨款基本支出预算共</w:t>
      </w:r>
      <w:r w:rsidRPr="00BC18B7">
        <w:rPr>
          <w:rFonts w:ascii="仿宋_GB2312" w:eastAsia="仿宋_GB2312" w:hAnsi="文星标宋" w:cs="Tahoma"/>
          <w:sz w:val="32"/>
          <w:szCs w:val="32"/>
        </w:rPr>
        <w:t>1,519.94</w:t>
      </w:r>
      <w:r w:rsidRPr="00BC18B7">
        <w:rPr>
          <w:rFonts w:ascii="仿宋_GB2312" w:eastAsia="仿宋_GB2312" w:hAnsi="文星标宋" w:cs="Tahoma" w:hint="eastAsia"/>
          <w:sz w:val="32"/>
          <w:szCs w:val="32"/>
        </w:rPr>
        <w:t>万元，其中人员支出</w:t>
      </w:r>
      <w:r w:rsidRPr="00BC18B7">
        <w:rPr>
          <w:rFonts w:ascii="仿宋_GB2312" w:eastAsia="仿宋_GB2312" w:hAnsi="文星标宋" w:cs="Tahoma"/>
          <w:sz w:val="32"/>
          <w:szCs w:val="32"/>
        </w:rPr>
        <w:t>1,395.50</w:t>
      </w:r>
      <w:r w:rsidRPr="00BC18B7">
        <w:rPr>
          <w:rFonts w:ascii="仿宋_GB2312" w:eastAsia="仿宋_GB2312" w:hAnsi="文星标宋" w:cs="Tahoma" w:hint="eastAsia"/>
          <w:sz w:val="32"/>
          <w:szCs w:val="32"/>
        </w:rPr>
        <w:t>万元，公用支出</w:t>
      </w:r>
      <w:r w:rsidRPr="00BC18B7">
        <w:rPr>
          <w:rFonts w:ascii="仿宋_GB2312" w:eastAsia="仿宋_GB2312" w:hAnsi="文星标宋" w:cs="Tahoma"/>
          <w:sz w:val="32"/>
          <w:szCs w:val="32"/>
        </w:rPr>
        <w:t>124.4</w:t>
      </w:r>
      <w:r w:rsidRPr="00BC18B7">
        <w:rPr>
          <w:rFonts w:ascii="仿宋_GB2312" w:eastAsia="仿宋_GB2312" w:hAnsi="文星标宋" w:cs="Tahoma" w:hint="eastAsia"/>
          <w:sz w:val="32"/>
          <w:szCs w:val="32"/>
        </w:rPr>
        <w:t>4万元。人员支出包括工资福利支出</w:t>
      </w:r>
      <w:r w:rsidRPr="00BC18B7">
        <w:rPr>
          <w:rFonts w:ascii="仿宋_GB2312" w:eastAsia="仿宋_GB2312" w:hAnsi="文星标宋" w:cs="Tahoma"/>
          <w:sz w:val="32"/>
          <w:szCs w:val="32"/>
        </w:rPr>
        <w:t>1,369.6</w:t>
      </w:r>
      <w:r w:rsidRPr="00BC18B7">
        <w:rPr>
          <w:rFonts w:ascii="仿宋_GB2312" w:eastAsia="仿宋_GB2312" w:hAnsi="文星标宋" w:cs="Tahoma" w:hint="eastAsia"/>
          <w:sz w:val="32"/>
          <w:szCs w:val="32"/>
        </w:rPr>
        <w:t>5万元，对个人和家庭补助支</w:t>
      </w:r>
      <w:r w:rsidRPr="00BC18B7">
        <w:rPr>
          <w:rFonts w:ascii="仿宋_GB2312" w:eastAsia="仿宋_GB2312" w:hAnsi="文星标宋" w:cs="Tahoma"/>
          <w:sz w:val="32"/>
          <w:szCs w:val="32"/>
        </w:rPr>
        <w:t>25.85</w:t>
      </w:r>
      <w:r w:rsidRPr="00BC18B7">
        <w:rPr>
          <w:rFonts w:ascii="仿宋_GB2312" w:eastAsia="仿宋_GB2312" w:hAnsi="文星标宋" w:cs="Tahoma" w:hint="eastAsia"/>
          <w:sz w:val="32"/>
          <w:szCs w:val="32"/>
        </w:rPr>
        <w:t>万元。工资福利支出主要为人员基本工资</w:t>
      </w:r>
      <w:r w:rsidRPr="00BC18B7">
        <w:rPr>
          <w:rFonts w:ascii="仿宋_GB2312" w:eastAsia="仿宋_GB2312" w:hAnsi="文星标宋" w:cs="Tahoma"/>
          <w:sz w:val="32"/>
          <w:szCs w:val="32"/>
        </w:rPr>
        <w:t>184.7</w:t>
      </w:r>
      <w:r w:rsidRPr="00BC18B7">
        <w:rPr>
          <w:rFonts w:ascii="仿宋_GB2312" w:eastAsia="仿宋_GB2312" w:hAnsi="文星标宋" w:cs="Tahoma" w:hint="eastAsia"/>
          <w:sz w:val="32"/>
          <w:szCs w:val="32"/>
        </w:rPr>
        <w:t>7万元、津贴补贴</w:t>
      </w:r>
      <w:r w:rsidRPr="00BC18B7">
        <w:rPr>
          <w:rFonts w:ascii="仿宋_GB2312" w:eastAsia="仿宋_GB2312" w:hAnsi="文星标宋" w:cs="Tahoma"/>
          <w:sz w:val="32"/>
          <w:szCs w:val="32"/>
        </w:rPr>
        <w:t>178.91</w:t>
      </w:r>
      <w:r w:rsidRPr="00BC18B7">
        <w:rPr>
          <w:rFonts w:ascii="仿宋_GB2312" w:eastAsia="仿宋_GB2312" w:hAnsi="文星标宋" w:cs="Tahoma" w:hint="eastAsia"/>
          <w:sz w:val="32"/>
          <w:szCs w:val="32"/>
        </w:rPr>
        <w:t>万元、绩效工资</w:t>
      </w:r>
      <w:r w:rsidRPr="00BC18B7">
        <w:rPr>
          <w:rFonts w:ascii="仿宋_GB2312" w:eastAsia="仿宋_GB2312" w:hAnsi="文星标宋" w:cs="Tahoma"/>
          <w:sz w:val="32"/>
          <w:szCs w:val="32"/>
        </w:rPr>
        <w:t>574.1</w:t>
      </w:r>
      <w:r w:rsidRPr="00BC18B7">
        <w:rPr>
          <w:rFonts w:ascii="仿宋_GB2312" w:eastAsia="仿宋_GB2312" w:hAnsi="文星标宋" w:cs="Tahoma" w:hint="eastAsia"/>
          <w:sz w:val="32"/>
          <w:szCs w:val="32"/>
        </w:rPr>
        <w:t>6万元、养老保险</w:t>
      </w:r>
      <w:r w:rsidRPr="00BC18B7">
        <w:rPr>
          <w:rFonts w:ascii="仿宋_GB2312" w:eastAsia="仿宋_GB2312" w:hAnsi="文星标宋" w:cs="Tahoma"/>
          <w:sz w:val="32"/>
          <w:szCs w:val="32"/>
        </w:rPr>
        <w:t>119.5</w:t>
      </w:r>
      <w:r w:rsidRPr="00BC18B7">
        <w:rPr>
          <w:rFonts w:ascii="仿宋_GB2312" w:eastAsia="仿宋_GB2312" w:hAnsi="文星标宋" w:cs="Tahoma" w:hint="eastAsia"/>
          <w:sz w:val="32"/>
          <w:szCs w:val="32"/>
        </w:rPr>
        <w:t>1万元、职业年金59.75万元、基本医疗保险103.96万元、公务员医疗补助31.82万元、其他社会保障缴费7.43、住房公积金109.34万元。对个人和家庭补助支出主要为退休费和独生子女费。其中退休费25.82万元、独生子女费0.03万元。公用支出主要为办公费、水电费、公务用车运行维护费、工会经费和福利费、物业费、取暖费等商品和服务支出。</w:t>
      </w:r>
    </w:p>
    <w:p w:rsidR="00BC18B7" w:rsidRPr="00BC18B7" w:rsidRDefault="00BC18B7" w:rsidP="00BC18B7">
      <w:pPr>
        <w:spacing w:line="620" w:lineRule="exact"/>
        <w:ind w:firstLineChars="200" w:firstLine="640"/>
        <w:jc w:val="left"/>
        <w:rPr>
          <w:rFonts w:ascii="黑体" w:eastAsia="黑体" w:hAnsi="文星标宋" w:cs="Tahoma"/>
          <w:sz w:val="32"/>
          <w:szCs w:val="32"/>
        </w:rPr>
      </w:pPr>
      <w:r w:rsidRPr="00BC18B7">
        <w:rPr>
          <w:rFonts w:ascii="黑体" w:eastAsia="黑体" w:hAnsi="文星标宋" w:cs="Tahoma" w:hint="eastAsia"/>
          <w:sz w:val="32"/>
          <w:szCs w:val="32"/>
        </w:rPr>
        <w:t>九、</w:t>
      </w:r>
      <w:proofErr w:type="gramStart"/>
      <w:r w:rsidRPr="00BC18B7">
        <w:rPr>
          <w:rFonts w:ascii="黑体" w:eastAsia="黑体" w:hAnsi="文星标宋" w:cs="Tahoma" w:hint="eastAsia"/>
          <w:sz w:val="32"/>
          <w:szCs w:val="32"/>
        </w:rPr>
        <w:t>大兴区</w:t>
      </w:r>
      <w:proofErr w:type="gramEnd"/>
      <w:r w:rsidRPr="00BC18B7">
        <w:rPr>
          <w:rFonts w:ascii="黑体" w:eastAsia="黑体" w:hAnsi="文星标宋" w:cs="Tahoma" w:hint="eastAsia"/>
          <w:sz w:val="32"/>
          <w:szCs w:val="32"/>
        </w:rPr>
        <w:t>文化馆2025年政府性基金预算财政拨款支出预算表的说明</w:t>
      </w:r>
    </w:p>
    <w:p w:rsidR="00BC18B7" w:rsidRPr="00BC18B7" w:rsidRDefault="00BC18B7" w:rsidP="00BC18B7">
      <w:pPr>
        <w:spacing w:line="560" w:lineRule="exact"/>
        <w:ind w:firstLine="645"/>
        <w:rPr>
          <w:rFonts w:ascii="仿宋_GB2312" w:eastAsia="仿宋_GB2312"/>
          <w:sz w:val="32"/>
          <w:szCs w:val="32"/>
        </w:rPr>
      </w:pPr>
      <w:r w:rsidRPr="00BC18B7">
        <w:rPr>
          <w:rFonts w:ascii="仿宋_GB2312" w:eastAsia="仿宋_GB2312" w:hint="eastAsia"/>
          <w:sz w:val="32"/>
          <w:szCs w:val="32"/>
        </w:rPr>
        <w:t>本单位2025年无政府性基金预算财政拨款安排的预算。</w:t>
      </w:r>
    </w:p>
    <w:p w:rsidR="00BC18B7" w:rsidRPr="00BC18B7" w:rsidRDefault="00BC18B7" w:rsidP="00BC18B7">
      <w:pPr>
        <w:spacing w:line="560" w:lineRule="exact"/>
        <w:ind w:firstLine="645"/>
        <w:rPr>
          <w:rFonts w:ascii="黑体" w:eastAsia="黑体" w:hAnsi="文星标宋" w:cs="Tahoma"/>
          <w:sz w:val="32"/>
          <w:szCs w:val="32"/>
        </w:rPr>
      </w:pPr>
      <w:r w:rsidRPr="00BC18B7">
        <w:rPr>
          <w:rFonts w:ascii="黑体" w:eastAsia="黑体" w:hAnsi="文星标宋" w:cs="Tahoma" w:hint="eastAsia"/>
          <w:sz w:val="32"/>
          <w:szCs w:val="32"/>
        </w:rPr>
        <w:t>十、</w:t>
      </w:r>
      <w:proofErr w:type="gramStart"/>
      <w:r w:rsidRPr="00BC18B7">
        <w:rPr>
          <w:rFonts w:ascii="黑体" w:eastAsia="黑体" w:hAnsi="文星标宋" w:cs="Tahoma" w:hint="eastAsia"/>
          <w:sz w:val="32"/>
          <w:szCs w:val="32"/>
        </w:rPr>
        <w:t>大兴区</w:t>
      </w:r>
      <w:proofErr w:type="gramEnd"/>
      <w:r w:rsidRPr="00BC18B7">
        <w:rPr>
          <w:rFonts w:ascii="黑体" w:eastAsia="黑体" w:hAnsi="文星标宋" w:cs="Tahoma" w:hint="eastAsia"/>
          <w:sz w:val="32"/>
          <w:szCs w:val="32"/>
        </w:rPr>
        <w:t>文化馆2025年一般公共预算“三公”经费财政拨款支出预算表的说明</w:t>
      </w:r>
    </w:p>
    <w:p w:rsidR="00BC18B7" w:rsidRPr="00BC18B7" w:rsidRDefault="00BC18B7" w:rsidP="00BC18B7">
      <w:pPr>
        <w:pBdr>
          <w:bottom w:val="single" w:sz="4" w:space="31" w:color="FFFFFF"/>
        </w:pBdr>
        <w:spacing w:line="600" w:lineRule="exact"/>
        <w:ind w:firstLineChars="200" w:firstLine="640"/>
        <w:outlineLvl w:val="0"/>
        <w:rPr>
          <w:rFonts w:ascii="仿宋_GB2312" w:eastAsia="仿宋_GB2312" w:hAnsi="文星标宋" w:cs="Tahoma"/>
          <w:sz w:val="32"/>
          <w:szCs w:val="32"/>
        </w:rPr>
      </w:pPr>
      <w:r w:rsidRPr="00BC18B7">
        <w:rPr>
          <w:rFonts w:ascii="仿宋_GB2312" w:eastAsia="仿宋_GB2312" w:hAnsi="文星标宋" w:cs="Tahoma" w:hint="eastAsia"/>
          <w:sz w:val="32"/>
          <w:szCs w:val="32"/>
        </w:rPr>
        <w:t>（一）“</w:t>
      </w:r>
      <w:r w:rsidRPr="00BC18B7">
        <w:rPr>
          <w:rFonts w:ascii="仿宋_GB2312" w:eastAsia="仿宋_GB2312" w:hint="eastAsia"/>
          <w:sz w:val="32"/>
          <w:szCs w:val="32"/>
        </w:rPr>
        <w:t>三公</w:t>
      </w:r>
      <w:r w:rsidRPr="00BC18B7">
        <w:rPr>
          <w:rFonts w:ascii="仿宋_GB2312" w:eastAsia="仿宋_GB2312" w:hAnsi="文星标宋" w:cs="Tahoma" w:hint="eastAsia"/>
          <w:sz w:val="32"/>
          <w:szCs w:val="32"/>
        </w:rPr>
        <w:t>”经费的单位范围</w:t>
      </w:r>
    </w:p>
    <w:p w:rsidR="00BC18B7" w:rsidRPr="00BC18B7" w:rsidRDefault="00BC18B7" w:rsidP="00BC18B7">
      <w:pPr>
        <w:pBdr>
          <w:bottom w:val="single" w:sz="4" w:space="31" w:color="FFFFFF"/>
        </w:pBdr>
        <w:spacing w:line="600" w:lineRule="exact"/>
        <w:ind w:firstLineChars="200" w:firstLine="640"/>
        <w:outlineLvl w:val="0"/>
        <w:rPr>
          <w:rFonts w:ascii="仿宋_GB2312" w:eastAsia="仿宋_GB2312"/>
          <w:sz w:val="32"/>
          <w:szCs w:val="32"/>
        </w:rPr>
      </w:pPr>
      <w:r w:rsidRPr="00BC18B7">
        <w:rPr>
          <w:rFonts w:ascii="仿宋_GB2312" w:eastAsia="仿宋_GB2312" w:hint="eastAsia"/>
          <w:sz w:val="32"/>
          <w:szCs w:val="32"/>
        </w:rPr>
        <w:t>文化馆因公出国（境）费用、公务接待费、公务用车购置和运行维护费开支单位只包括本单位。</w:t>
      </w:r>
    </w:p>
    <w:p w:rsidR="00BC18B7" w:rsidRPr="00BC18B7" w:rsidRDefault="00BC18B7" w:rsidP="00BC18B7">
      <w:pPr>
        <w:pBdr>
          <w:bottom w:val="single" w:sz="4" w:space="31" w:color="FFFFFF"/>
        </w:pBdr>
        <w:spacing w:line="600" w:lineRule="exact"/>
        <w:ind w:firstLineChars="200" w:firstLine="640"/>
        <w:outlineLvl w:val="0"/>
        <w:rPr>
          <w:rFonts w:ascii="仿宋_GB2312" w:eastAsia="仿宋_GB2312" w:hAnsi="文星标宋" w:cs="Tahoma"/>
          <w:sz w:val="32"/>
          <w:szCs w:val="32"/>
        </w:rPr>
      </w:pPr>
      <w:r w:rsidRPr="00BC18B7">
        <w:rPr>
          <w:rFonts w:ascii="仿宋_GB2312" w:eastAsia="仿宋_GB2312" w:hAnsi="文星标宋" w:cs="Tahoma" w:hint="eastAsia"/>
          <w:sz w:val="32"/>
          <w:szCs w:val="32"/>
        </w:rPr>
        <w:t>（二）“三公”经费预算财政拨款情况说明</w:t>
      </w:r>
    </w:p>
    <w:p w:rsidR="00BC18B7" w:rsidRPr="00BC18B7" w:rsidRDefault="00BC18B7" w:rsidP="00BC18B7">
      <w:pPr>
        <w:pBdr>
          <w:bottom w:val="single" w:sz="4" w:space="31" w:color="FFFFFF"/>
        </w:pBdr>
        <w:spacing w:line="600" w:lineRule="exact"/>
        <w:ind w:firstLineChars="200" w:firstLine="640"/>
        <w:outlineLvl w:val="0"/>
        <w:rPr>
          <w:rFonts w:ascii="仿宋_GB2312" w:eastAsia="仿宋_GB2312" w:hAnsi="宋体" w:cs="宋体"/>
          <w:bCs/>
          <w:kern w:val="0"/>
          <w:sz w:val="32"/>
          <w:szCs w:val="32"/>
        </w:rPr>
      </w:pPr>
      <w:r w:rsidRPr="00BC18B7">
        <w:rPr>
          <w:rFonts w:ascii="仿宋_GB2312" w:eastAsia="仿宋_GB2312" w:hAnsi="Tahoma" w:cs="Tahoma" w:hint="eastAsia"/>
          <w:sz w:val="32"/>
          <w:szCs w:val="32"/>
        </w:rPr>
        <w:t>2025年文化馆</w:t>
      </w:r>
      <w:r w:rsidRPr="00BC18B7">
        <w:rPr>
          <w:rFonts w:ascii="仿宋_GB2312" w:eastAsia="仿宋_GB2312" w:hAnsi="文星标宋" w:cs="Tahoma" w:hint="eastAsia"/>
          <w:sz w:val="32"/>
          <w:szCs w:val="32"/>
        </w:rPr>
        <w:t xml:space="preserve"> “三公经费” 财政拨款预算支出2.75万元，与上年预算数3.8</w:t>
      </w:r>
      <w:r w:rsidRPr="00BC18B7">
        <w:rPr>
          <w:rFonts w:ascii="仿宋_GB2312" w:eastAsia="仿宋_GB2312" w:hAnsi="宋体" w:cs="宋体" w:hint="eastAsia"/>
          <w:bCs/>
          <w:kern w:val="0"/>
          <w:sz w:val="32"/>
          <w:szCs w:val="32"/>
        </w:rPr>
        <w:t>万元相比减少0.2万元 。其中：因公出国（境）费用预算为0，与上年预算相同，该项预算一般根据实际审批发生情况予以追加；2025年公务接待费预算</w:t>
      </w:r>
      <w:r w:rsidRPr="00BC18B7">
        <w:rPr>
          <w:rFonts w:ascii="仿宋_GB2312" w:eastAsia="仿宋_GB2312" w:hAnsi="宋体" w:cs="宋体" w:hint="eastAsia"/>
          <w:kern w:val="0"/>
          <w:sz w:val="32"/>
          <w:szCs w:val="32"/>
        </w:rPr>
        <w:t>0.2万元，与上年预算数0.2万元相同</w:t>
      </w:r>
      <w:r w:rsidRPr="00BC18B7">
        <w:rPr>
          <w:rFonts w:ascii="仿宋_GB2312" w:eastAsia="仿宋_GB2312" w:hAnsi="文星标宋" w:cs="Tahoma" w:hint="eastAsia"/>
          <w:sz w:val="32"/>
          <w:szCs w:val="32"/>
        </w:rPr>
        <w:t>，主要原因是按照要求压缩公务接待费；</w:t>
      </w:r>
      <w:r w:rsidRPr="00BC18B7">
        <w:rPr>
          <w:rFonts w:ascii="仿宋_GB2312" w:eastAsia="仿宋_GB2312" w:hAnsi="宋体" w:cs="宋体" w:hint="eastAsia"/>
          <w:kern w:val="0"/>
          <w:sz w:val="32"/>
          <w:szCs w:val="32"/>
        </w:rPr>
        <w:t>2025年公务用车运维费预算2.55万元</w:t>
      </w:r>
      <w:r w:rsidRPr="00BC18B7">
        <w:rPr>
          <w:rFonts w:ascii="仿宋_GB2312" w:eastAsia="仿宋_GB2312" w:hAnsi="宋体" w:cs="宋体" w:hint="eastAsia"/>
          <w:bCs/>
          <w:kern w:val="0"/>
          <w:sz w:val="32"/>
          <w:szCs w:val="32"/>
        </w:rPr>
        <w:t>，与上年</w:t>
      </w:r>
      <w:r w:rsidRPr="00BC18B7">
        <w:rPr>
          <w:rFonts w:ascii="仿宋_GB2312" w:eastAsia="仿宋_GB2312" w:hAnsi="文星标宋" w:cs="Tahoma" w:hint="eastAsia"/>
          <w:sz w:val="32"/>
          <w:szCs w:val="32"/>
        </w:rPr>
        <w:t>预算数</w:t>
      </w:r>
      <w:r w:rsidRPr="00BC18B7">
        <w:rPr>
          <w:rFonts w:ascii="仿宋_GB2312" w:eastAsia="仿宋_GB2312" w:hAnsi="宋体" w:cs="宋体" w:hint="eastAsia"/>
          <w:bCs/>
          <w:kern w:val="0"/>
          <w:sz w:val="32"/>
          <w:szCs w:val="32"/>
        </w:rPr>
        <w:t>3.6万元减少1.05万元，上年预算车辆为两辆燃油车，本年预算车辆为一辆燃油车和一辆新能源电车补贴标准发生变化。2025年公务用车购置预算为零，与上年预算相同。</w:t>
      </w:r>
    </w:p>
    <w:p w:rsidR="00BC18B7" w:rsidRPr="00BC18B7" w:rsidRDefault="00BC18B7" w:rsidP="00BC18B7">
      <w:pPr>
        <w:spacing w:line="620" w:lineRule="exact"/>
        <w:ind w:firstLineChars="200" w:firstLine="640"/>
        <w:jc w:val="left"/>
        <w:rPr>
          <w:rFonts w:ascii="黑体" w:eastAsia="黑体" w:hAnsi="文星标宋" w:cs="Tahoma"/>
          <w:sz w:val="32"/>
          <w:szCs w:val="32"/>
        </w:rPr>
      </w:pPr>
      <w:r w:rsidRPr="00BC18B7">
        <w:rPr>
          <w:rFonts w:ascii="黑体" w:eastAsia="黑体" w:hAnsi="文星标宋" w:cs="Tahoma" w:hint="eastAsia"/>
          <w:sz w:val="32"/>
          <w:szCs w:val="32"/>
        </w:rPr>
        <w:t>十一、其他重要事项的情况说明</w:t>
      </w:r>
    </w:p>
    <w:p w:rsidR="00BC18B7" w:rsidRPr="00BC18B7" w:rsidRDefault="00BC18B7" w:rsidP="00BC18B7">
      <w:pPr>
        <w:numPr>
          <w:ilvl w:val="0"/>
          <w:numId w:val="2"/>
        </w:numPr>
        <w:spacing w:line="620" w:lineRule="exact"/>
        <w:rPr>
          <w:rFonts w:ascii="楷体_GB2312" w:eastAsia="楷体_GB2312" w:hAnsi="Tahoma" w:cs="Tahoma"/>
          <w:sz w:val="32"/>
          <w:szCs w:val="32"/>
        </w:rPr>
      </w:pPr>
      <w:r w:rsidRPr="00BC18B7">
        <w:rPr>
          <w:rFonts w:ascii="楷体_GB2312" w:eastAsia="楷体_GB2312" w:hAnsi="Tahoma" w:cs="Tahoma" w:hint="eastAsia"/>
          <w:sz w:val="32"/>
          <w:szCs w:val="32"/>
        </w:rPr>
        <w:t>机关运行经费 ：本单位不涉及此项内容。</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（二）政府采购情况</w:t>
      </w:r>
    </w:p>
    <w:p w:rsidR="00BC18B7" w:rsidRPr="00BC18B7" w:rsidRDefault="00BC18B7" w:rsidP="00BC18B7">
      <w:pPr>
        <w:spacing w:line="620" w:lineRule="exact"/>
        <w:ind w:firstLineChars="200" w:firstLine="640"/>
        <w:rPr>
          <w:rFonts w:ascii="仿宋_GB2312" w:eastAsia="仿宋_GB2312" w:hAnsi="Tahoma" w:cs="Tahoma"/>
          <w:color w:val="000000"/>
          <w:sz w:val="32"/>
          <w:szCs w:val="32"/>
        </w:rPr>
      </w:pPr>
      <w:r w:rsidRPr="00BC18B7">
        <w:rPr>
          <w:rFonts w:ascii="仿宋_GB2312" w:eastAsia="仿宋_GB2312" w:hAnsi="Tahoma" w:cs="Tahoma" w:hint="eastAsia"/>
          <w:color w:val="000000"/>
          <w:sz w:val="32"/>
          <w:szCs w:val="32"/>
        </w:rPr>
        <w:t>2025年，本单位政府采购预算总额9.83万元，其中：政府采购货物预算1.75万元、政府采购工程预算0万元、政府采购服务预算8.08万元。</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（三）国有资产占用情况</w:t>
      </w:r>
    </w:p>
    <w:p w:rsidR="00BC18B7" w:rsidRPr="00BC18B7" w:rsidRDefault="00BC18B7" w:rsidP="00BC18B7">
      <w:pPr>
        <w:spacing w:line="620" w:lineRule="exact"/>
        <w:ind w:firstLineChars="200" w:firstLine="640"/>
        <w:rPr>
          <w:rFonts w:ascii="仿宋_GB2312" w:eastAsia="仿宋_GB2312"/>
          <w:sz w:val="32"/>
          <w:szCs w:val="32"/>
        </w:rPr>
      </w:pPr>
      <w:r w:rsidRPr="00BC18B7">
        <w:rPr>
          <w:rFonts w:ascii="仿宋_GB2312" w:eastAsia="仿宋_GB2312"/>
          <w:sz w:val="32"/>
          <w:szCs w:val="32"/>
        </w:rPr>
        <w:t>截止</w:t>
      </w:r>
      <w:r w:rsidRPr="00BC18B7">
        <w:rPr>
          <w:rFonts w:ascii="仿宋_GB2312" w:eastAsia="仿宋_GB2312" w:hint="eastAsia"/>
          <w:sz w:val="32"/>
          <w:szCs w:val="32"/>
        </w:rPr>
        <w:t>2024年</w:t>
      </w:r>
      <w:r w:rsidRPr="00BC18B7">
        <w:rPr>
          <w:rFonts w:ascii="仿宋_GB2312" w:eastAsia="仿宋_GB2312"/>
          <w:sz w:val="32"/>
          <w:szCs w:val="32"/>
        </w:rPr>
        <w:t>底，</w:t>
      </w:r>
      <w:r w:rsidRPr="00BC18B7">
        <w:rPr>
          <w:rFonts w:ascii="仿宋_GB2312" w:eastAsia="仿宋_GB2312" w:hint="eastAsia"/>
          <w:sz w:val="32"/>
          <w:szCs w:val="32"/>
        </w:rPr>
        <w:t>本</w:t>
      </w:r>
      <w:r w:rsidRPr="00BC18B7">
        <w:rPr>
          <w:rFonts w:ascii="仿宋_GB2312" w:eastAsia="仿宋_GB2312" w:hAnsi="Tahoma" w:cs="Tahoma" w:hint="eastAsia"/>
          <w:sz w:val="32"/>
          <w:szCs w:val="32"/>
        </w:rPr>
        <w:t>单位</w:t>
      </w:r>
      <w:r w:rsidRPr="00BC18B7">
        <w:rPr>
          <w:rFonts w:ascii="仿宋_GB2312" w:eastAsia="仿宋_GB2312"/>
          <w:sz w:val="32"/>
          <w:szCs w:val="32"/>
        </w:rPr>
        <w:t>固定资产总额</w:t>
      </w:r>
      <w:r w:rsidRPr="00BC18B7">
        <w:rPr>
          <w:rFonts w:ascii="仿宋_GB2312" w:eastAsia="仿宋_GB2312" w:hint="eastAsia"/>
          <w:sz w:val="32"/>
          <w:szCs w:val="32"/>
        </w:rPr>
        <w:t>1997.46万元</w:t>
      </w:r>
      <w:r w:rsidRPr="00BC18B7">
        <w:rPr>
          <w:rFonts w:ascii="仿宋_GB2312" w:eastAsia="仿宋_GB2312"/>
          <w:sz w:val="32"/>
          <w:szCs w:val="32"/>
        </w:rPr>
        <w:t>，其中：</w:t>
      </w:r>
      <w:r w:rsidRPr="00BC18B7">
        <w:rPr>
          <w:rFonts w:ascii="仿宋_GB2312" w:eastAsia="仿宋_GB2312" w:hint="eastAsia"/>
          <w:sz w:val="32"/>
          <w:szCs w:val="32"/>
        </w:rPr>
        <w:t>车辆2台</w:t>
      </w:r>
      <w:r w:rsidRPr="00BC18B7">
        <w:rPr>
          <w:rFonts w:ascii="仿宋_GB2312" w:eastAsia="仿宋_GB2312"/>
          <w:sz w:val="32"/>
          <w:szCs w:val="32"/>
        </w:rPr>
        <w:t>，</w:t>
      </w:r>
      <w:r w:rsidRPr="00BC18B7">
        <w:rPr>
          <w:rFonts w:ascii="仿宋_GB2312" w:eastAsia="仿宋_GB2312" w:hint="eastAsia"/>
          <w:sz w:val="32"/>
          <w:szCs w:val="32"/>
        </w:rPr>
        <w:t>34.66万元；单位</w:t>
      </w:r>
      <w:r w:rsidRPr="00BC18B7">
        <w:rPr>
          <w:rFonts w:ascii="仿宋_GB2312" w:eastAsia="仿宋_GB2312"/>
          <w:sz w:val="32"/>
          <w:szCs w:val="32"/>
        </w:rPr>
        <w:t>价值</w:t>
      </w:r>
      <w:r w:rsidRPr="00BC18B7">
        <w:rPr>
          <w:rFonts w:ascii="仿宋_GB2312" w:eastAsia="仿宋_GB2312" w:hint="eastAsia"/>
          <w:sz w:val="32"/>
          <w:szCs w:val="32"/>
        </w:rPr>
        <w:t>50万元以上</w:t>
      </w:r>
      <w:r w:rsidRPr="00BC18B7">
        <w:rPr>
          <w:rFonts w:ascii="仿宋_GB2312" w:eastAsia="仿宋_GB2312"/>
          <w:sz w:val="32"/>
          <w:szCs w:val="32"/>
        </w:rPr>
        <w:t>的</w:t>
      </w:r>
      <w:r w:rsidRPr="00BC18B7">
        <w:rPr>
          <w:rFonts w:ascii="仿宋_GB2312" w:eastAsia="仿宋_GB2312" w:hint="eastAsia"/>
          <w:sz w:val="32"/>
          <w:szCs w:val="32"/>
        </w:rPr>
        <w:t>通用</w:t>
      </w:r>
      <w:r w:rsidRPr="00BC18B7">
        <w:rPr>
          <w:rFonts w:ascii="仿宋_GB2312" w:eastAsia="仿宋_GB2312"/>
          <w:sz w:val="32"/>
          <w:szCs w:val="32"/>
        </w:rPr>
        <w:t>设备</w:t>
      </w:r>
      <w:r w:rsidRPr="00BC18B7">
        <w:rPr>
          <w:rFonts w:ascii="仿宋_GB2312" w:eastAsia="仿宋_GB2312" w:hint="eastAsia"/>
          <w:sz w:val="32"/>
          <w:szCs w:val="32"/>
        </w:rPr>
        <w:t>3台（套）、268.6万元，单位</w:t>
      </w:r>
      <w:r w:rsidRPr="00BC18B7">
        <w:rPr>
          <w:rFonts w:ascii="仿宋_GB2312" w:eastAsia="仿宋_GB2312"/>
          <w:sz w:val="32"/>
          <w:szCs w:val="32"/>
        </w:rPr>
        <w:t>价值100</w:t>
      </w:r>
      <w:r w:rsidRPr="00BC18B7">
        <w:rPr>
          <w:rFonts w:ascii="仿宋_GB2312" w:eastAsia="仿宋_GB2312" w:hint="eastAsia"/>
          <w:sz w:val="32"/>
          <w:szCs w:val="32"/>
        </w:rPr>
        <w:t>万元以上</w:t>
      </w:r>
      <w:r w:rsidRPr="00BC18B7">
        <w:rPr>
          <w:rFonts w:ascii="仿宋_GB2312" w:eastAsia="仿宋_GB2312"/>
          <w:sz w:val="32"/>
          <w:szCs w:val="32"/>
        </w:rPr>
        <w:t>的</w:t>
      </w:r>
      <w:r w:rsidRPr="00BC18B7">
        <w:rPr>
          <w:rFonts w:ascii="仿宋_GB2312" w:eastAsia="仿宋_GB2312" w:hint="eastAsia"/>
          <w:sz w:val="32"/>
          <w:szCs w:val="32"/>
        </w:rPr>
        <w:t>专用</w:t>
      </w:r>
      <w:r w:rsidRPr="00BC18B7">
        <w:rPr>
          <w:rFonts w:ascii="仿宋_GB2312" w:eastAsia="仿宋_GB2312"/>
          <w:sz w:val="32"/>
          <w:szCs w:val="32"/>
        </w:rPr>
        <w:t>设备</w:t>
      </w:r>
      <w:r w:rsidRPr="00BC18B7">
        <w:rPr>
          <w:rFonts w:ascii="仿宋_GB2312" w:eastAsia="仿宋_GB2312" w:hint="eastAsia"/>
          <w:sz w:val="32"/>
          <w:szCs w:val="32"/>
        </w:rPr>
        <w:t>0台（套）、0万元。</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（四）重点项目预算的绩效目标和绩效评价结果的情况</w:t>
      </w:r>
    </w:p>
    <w:p w:rsidR="00BC18B7" w:rsidRPr="00BC18B7" w:rsidRDefault="00BC18B7" w:rsidP="00BC18B7">
      <w:pPr>
        <w:spacing w:line="560" w:lineRule="exact"/>
        <w:ind w:firstLine="645"/>
        <w:rPr>
          <w:rFonts w:ascii="仿宋_GB2312" w:eastAsia="仿宋_GB2312"/>
          <w:sz w:val="32"/>
          <w:szCs w:val="32"/>
        </w:rPr>
      </w:pPr>
      <w:r w:rsidRPr="00BC18B7">
        <w:rPr>
          <w:rFonts w:ascii="仿宋_GB2312" w:eastAsia="仿宋_GB2312" w:hint="eastAsia"/>
          <w:sz w:val="32"/>
          <w:szCs w:val="32"/>
        </w:rPr>
        <w:t>2025年，填报绩效目标的预算项目21个，占本单位全部预算项目100%，填报绩效目标的项目支出预算868.77万元，占本单位年初全部项目支出预算的100%。具体内容详见绩效目标表。</w:t>
      </w:r>
    </w:p>
    <w:p w:rsidR="00BC18B7" w:rsidRPr="00BC18B7" w:rsidRDefault="00BC18B7" w:rsidP="00BC18B7">
      <w:pPr>
        <w:numPr>
          <w:ilvl w:val="0"/>
          <w:numId w:val="1"/>
        </w:num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 xml:space="preserve">重点行政事业性收费情况说明： </w:t>
      </w:r>
    </w:p>
    <w:p w:rsidR="00BC18B7" w:rsidRPr="00BC18B7" w:rsidRDefault="00BC18B7" w:rsidP="00BC18B7">
      <w:pPr>
        <w:spacing w:line="620" w:lineRule="exact"/>
        <w:ind w:firstLineChars="200" w:firstLine="640"/>
        <w:rPr>
          <w:rFonts w:ascii="仿宋_GB2312" w:eastAsia="仿宋_GB2312"/>
          <w:sz w:val="32"/>
          <w:szCs w:val="32"/>
        </w:rPr>
      </w:pPr>
      <w:r w:rsidRPr="00BC18B7">
        <w:rPr>
          <w:rFonts w:ascii="仿宋_GB2312" w:eastAsia="仿宋_GB2312" w:hint="eastAsia"/>
          <w:sz w:val="32"/>
          <w:szCs w:val="32"/>
        </w:rPr>
        <w:t>本单位不涉及此项内容。</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（六）政府购买服务预算说明：</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本单位不涉及此项内容。</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（七）政府性基金预算财政拨款情况说明</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本单位2025年无政府性基金预算财政拨款安排的预算。</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（八）国有资本经营预算财政拨款情况说明：</w:t>
      </w:r>
    </w:p>
    <w:p w:rsidR="00BC18B7" w:rsidRPr="00BC18B7" w:rsidRDefault="00BC18B7" w:rsidP="00BC18B7">
      <w:pPr>
        <w:spacing w:line="620" w:lineRule="exact"/>
        <w:ind w:firstLineChars="200" w:firstLine="640"/>
        <w:rPr>
          <w:rFonts w:ascii="楷体_GB2312" w:eastAsia="楷体_GB2312" w:hAnsi="Tahoma" w:cs="Tahoma"/>
          <w:sz w:val="32"/>
          <w:szCs w:val="32"/>
        </w:rPr>
      </w:pPr>
      <w:r w:rsidRPr="00BC18B7">
        <w:rPr>
          <w:rFonts w:ascii="楷体_GB2312" w:eastAsia="楷体_GB2312" w:hAnsi="Tahoma" w:cs="Tahoma" w:hint="eastAsia"/>
          <w:sz w:val="32"/>
          <w:szCs w:val="32"/>
        </w:rPr>
        <w:t xml:space="preserve"> 本单位2025年无国有资本经营预算财政拨款安排的预算。</w:t>
      </w:r>
    </w:p>
    <w:p w:rsidR="00BC18B7" w:rsidRPr="00BC18B7" w:rsidRDefault="00BC18B7" w:rsidP="00BC18B7">
      <w:pPr>
        <w:spacing w:line="560" w:lineRule="exact"/>
        <w:ind w:firstLine="645"/>
        <w:rPr>
          <w:rFonts w:ascii="仿宋_GB2312" w:eastAsia="仿宋_GB2312"/>
          <w:sz w:val="32"/>
          <w:szCs w:val="32"/>
        </w:rPr>
      </w:pPr>
      <w:r w:rsidRPr="00BC18B7">
        <w:rPr>
          <w:rFonts w:ascii="黑体" w:eastAsia="黑体" w:hAnsi="文星标宋" w:cs="Tahoma" w:hint="eastAsia"/>
          <w:sz w:val="32"/>
          <w:szCs w:val="32"/>
        </w:rPr>
        <w:t>十二、名词解释</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1.基本支出：指为保障机构正常运转、完成日常工作任务而发生的人员支出和公用支出。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2.项目支出：指在基本支出之外为完成特定行政任务或事业发展目标所发生的支出。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BC18B7">
        <w:rPr>
          <w:rFonts w:ascii="仿宋_GB2312" w:eastAsia="仿宋_GB2312" w:hint="eastAsia"/>
          <w:color w:val="000000"/>
          <w:sz w:val="32"/>
          <w:szCs w:val="32"/>
        </w:rPr>
        <w:t>含车辆</w:t>
      </w:r>
      <w:proofErr w:type="gramEnd"/>
      <w:r w:rsidRPr="00BC18B7">
        <w:rPr>
          <w:rFonts w:ascii="仿宋_GB2312" w:eastAsia="仿宋_GB2312" w:hint="eastAsia"/>
          <w:color w:val="000000"/>
          <w:sz w:val="32"/>
          <w:szCs w:val="32"/>
        </w:rPr>
        <w:t>购置税、牌照费）及单位按规定保留的公务用车燃料费、维修费、过路过桥费、保险费、安全奖励费等支出；公务接待费指单位按规定开支的各类公务接待（含外宾接待）支出。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 xml:space="preserve"> 4</w:t>
      </w:r>
      <w:r w:rsidRPr="00BC18B7">
        <w:rPr>
          <w:rFonts w:ascii="仿宋_GB2312" w:eastAsia="仿宋_GB2312"/>
          <w:color w:val="000000"/>
          <w:sz w:val="32"/>
          <w:szCs w:val="32"/>
        </w:rPr>
        <w:t>.</w:t>
      </w:r>
      <w:r w:rsidRPr="00BC18B7">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5</w:t>
      </w:r>
      <w:r w:rsidRPr="00BC18B7">
        <w:rPr>
          <w:rFonts w:ascii="仿宋_GB2312" w:eastAsia="仿宋_GB2312"/>
          <w:color w:val="000000"/>
          <w:sz w:val="32"/>
          <w:szCs w:val="32"/>
        </w:rPr>
        <w:t>.</w:t>
      </w:r>
      <w:r w:rsidRPr="00BC18B7">
        <w:rPr>
          <w:rFonts w:ascii="仿宋_GB2312" w:eastAsia="仿宋_GB2312" w:hint="eastAsia"/>
          <w:color w:val="000000"/>
          <w:sz w:val="32"/>
          <w:szCs w:val="32"/>
        </w:rPr>
        <w:t>政府采购</w:t>
      </w:r>
      <w:r w:rsidRPr="00BC18B7">
        <w:rPr>
          <w:rFonts w:ascii="仿宋_GB2312" w:eastAsia="仿宋_GB2312"/>
          <w:color w:val="000000"/>
          <w:sz w:val="32"/>
          <w:szCs w:val="32"/>
        </w:rPr>
        <w:t>：</w:t>
      </w:r>
      <w:r w:rsidRPr="00BC18B7">
        <w:rPr>
          <w:rFonts w:ascii="仿宋_GB2312" w:eastAsia="仿宋_GB2312" w:hint="eastAsia"/>
          <w:color w:val="000000"/>
          <w:sz w:val="32"/>
          <w:szCs w:val="32"/>
        </w:rPr>
        <w:t>指</w:t>
      </w:r>
      <w:r w:rsidRPr="00BC18B7">
        <w:rPr>
          <w:rFonts w:ascii="仿宋_GB2312" w:eastAsia="仿宋_GB2312"/>
          <w:color w:val="000000"/>
          <w:sz w:val="32"/>
          <w:szCs w:val="32"/>
        </w:rPr>
        <w:t>各级国家机关、事业单位和团体组织，使用</w:t>
      </w:r>
      <w:r w:rsidRPr="00BC18B7">
        <w:rPr>
          <w:rFonts w:ascii="仿宋_GB2312" w:eastAsia="仿宋_GB2312" w:hint="eastAsia"/>
          <w:color w:val="000000"/>
          <w:sz w:val="32"/>
          <w:szCs w:val="32"/>
        </w:rPr>
        <w:t>财政性</w:t>
      </w:r>
      <w:r w:rsidRPr="00BC18B7">
        <w:rPr>
          <w:rFonts w:ascii="仿宋_GB2312" w:eastAsia="仿宋_GB2312"/>
          <w:color w:val="000000"/>
          <w:sz w:val="32"/>
          <w:szCs w:val="32"/>
        </w:rPr>
        <w:t>资金采购依法制定的集中目录以内的或者采购限额标准以上的货物、工程和服务的行为</w:t>
      </w:r>
      <w:r w:rsidRPr="00BC18B7">
        <w:rPr>
          <w:rFonts w:ascii="仿宋_GB2312" w:eastAsia="仿宋_GB2312" w:hint="eastAsia"/>
          <w:color w:val="000000"/>
          <w:sz w:val="32"/>
          <w:szCs w:val="32"/>
        </w:rPr>
        <w:t>，是规范财政支出管理和强化预算约束的有效措施</w:t>
      </w:r>
      <w:r w:rsidRPr="00BC18B7">
        <w:rPr>
          <w:rFonts w:ascii="仿宋_GB2312" w:eastAsia="仿宋_GB2312"/>
          <w:color w:val="000000"/>
          <w:sz w:val="32"/>
          <w:szCs w:val="32"/>
        </w:rPr>
        <w:t>。</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6</w:t>
      </w:r>
      <w:r w:rsidRPr="00BC18B7">
        <w:rPr>
          <w:rFonts w:ascii="仿宋_GB2312" w:eastAsia="仿宋_GB2312"/>
          <w:color w:val="000000"/>
          <w:sz w:val="32"/>
          <w:szCs w:val="32"/>
        </w:rPr>
        <w:t>.政府购买服务：</w:t>
      </w:r>
      <w:r w:rsidRPr="00BC18B7">
        <w:rPr>
          <w:rFonts w:ascii="仿宋_GB2312" w:eastAsia="仿宋_GB2312" w:hint="eastAsia"/>
          <w:color w:val="000000"/>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7．文化旅游体育与传媒支出（类）文化和旅游（款）群众文化（项）：反映群众文化方面的支出，包括基层文化馆（站）、群众艺术馆支出等。</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8．文化旅游体育与传媒支出（类）文化和旅游（款）文化创作与保护（项）：反映鼓励文学、艺术创作和优秀传统文化保护方面的支出。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9．文化旅游体育与传媒支出（类）文化和旅游（款）其他文化和旅游支出（项）：反映其他用于文化和旅游方面的支出。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10．社会保障和就业支出（类）行政事业单位养老支出（款）事业单位离退休（项）：反映事业单位开支的离退休费。</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11．社会保障和就业支出（类）行政事业单位养老支出（款）机关事业单位基本养老保险缴费支出（项）：反映事业单位实施养老保险制度由单位缴纳的基本养老保险费支出。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12．社会保障和就业支出（类）行政事业单位养老支出（款）机关事业单位职业年金缴费支出（项）：反映事业单位实施养老保险制度由单位缴纳的职业年金支出。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13．社会保障和就业支出（类）行政事业单位养老支出（款）其他行政事业单位养老支出（项）：反映其他用于行政事业单位养老方面的支出。</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14．卫生健康支出（类）行政事业单位医疗（款）事业单位医疗（项）：反映财政部门安排的事业单位基本医疗保险缴费经费，未参加医疗保险的事业单位的公费医疗经费，按国家规定享受离休人员待遇的医疗经费。</w:t>
      </w:r>
    </w:p>
    <w:p w:rsidR="00BC18B7" w:rsidRPr="00BC18B7" w:rsidRDefault="00BC18B7" w:rsidP="00BC18B7">
      <w:pPr>
        <w:spacing w:line="560" w:lineRule="exact"/>
        <w:ind w:firstLine="645"/>
        <w:rPr>
          <w:rFonts w:ascii="仿宋_GB2312" w:eastAsia="仿宋_GB2312"/>
          <w:color w:val="000000"/>
          <w:sz w:val="32"/>
          <w:szCs w:val="32"/>
        </w:rPr>
      </w:pPr>
      <w:r w:rsidRPr="00BC18B7">
        <w:rPr>
          <w:rFonts w:ascii="仿宋_GB2312" w:eastAsia="仿宋_GB2312" w:hint="eastAsia"/>
          <w:color w:val="000000"/>
          <w:sz w:val="32"/>
          <w:szCs w:val="32"/>
        </w:rPr>
        <w:t>15．卫生健康支出（类）行政事业单位医疗（款）公务员医疗补助（项）：反映财政部门安排的公务员医疗补助经费。</w:t>
      </w:r>
    </w:p>
    <w:p w:rsidR="00BC18B7" w:rsidRPr="00BC18B7" w:rsidRDefault="00BC18B7" w:rsidP="00BC18B7">
      <w:pPr>
        <w:spacing w:line="560" w:lineRule="exact"/>
        <w:ind w:firstLine="645"/>
        <w:rPr>
          <w:rFonts w:ascii="仿宋_GB2312" w:eastAsia="仿宋_GB2312"/>
          <w:color w:val="000000"/>
          <w:sz w:val="32"/>
          <w:szCs w:val="32"/>
        </w:rPr>
      </w:pPr>
    </w:p>
    <w:p w:rsidR="00BC18B7" w:rsidRPr="00BC18B7" w:rsidRDefault="00BC18B7" w:rsidP="0028160D"/>
    <w:sectPr w:rsidR="00BC18B7" w:rsidRPr="00BC18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411" w:rsidRDefault="00707411" w:rsidP="0028160D">
      <w:r>
        <w:separator/>
      </w:r>
    </w:p>
  </w:endnote>
  <w:endnote w:type="continuationSeparator" w:id="0">
    <w:p w:rsidR="00707411" w:rsidRDefault="00707411" w:rsidP="0028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文星标宋">
    <w:altName w:val="Arial Unicode MS"/>
    <w:charset w:val="86"/>
    <w:family w:val="auto"/>
    <w:pitch w:val="default"/>
    <w:sig w:usb0="00000000" w:usb1="080E0000" w:usb2="00000000"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411" w:rsidRDefault="00707411" w:rsidP="0028160D">
      <w:r>
        <w:separator/>
      </w:r>
    </w:p>
  </w:footnote>
  <w:footnote w:type="continuationSeparator" w:id="0">
    <w:p w:rsidR="00707411" w:rsidRDefault="00707411" w:rsidP="00281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F2DCA"/>
    <w:multiLevelType w:val="hybridMultilevel"/>
    <w:tmpl w:val="911417DA"/>
    <w:lvl w:ilvl="0" w:tplc="E398E64C">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482321D6"/>
    <w:multiLevelType w:val="hybridMultilevel"/>
    <w:tmpl w:val="338CEC78"/>
    <w:lvl w:ilvl="0" w:tplc="5D3898C8">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C623FE1"/>
    <w:multiLevelType w:val="singleLevel"/>
    <w:tmpl w:val="5C623FE1"/>
    <w:lvl w:ilvl="0">
      <w:start w:val="5"/>
      <w:numFmt w:val="chineseCounting"/>
      <w:suff w:val="nothing"/>
      <w:lvlText w:val="（%1）"/>
      <w:lvlJc w:val="left"/>
    </w:lvl>
  </w:abstractNum>
  <w:abstractNum w:abstractNumId="3">
    <w:nsid w:val="743E3A49"/>
    <w:multiLevelType w:val="hybridMultilevel"/>
    <w:tmpl w:val="96805088"/>
    <w:lvl w:ilvl="0" w:tplc="5D3898C8">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168"/>
    <w:rsid w:val="00003499"/>
    <w:rsid w:val="000A5C98"/>
    <w:rsid w:val="000D5E80"/>
    <w:rsid w:val="001215A2"/>
    <w:rsid w:val="00147168"/>
    <w:rsid w:val="0028160D"/>
    <w:rsid w:val="00370AEF"/>
    <w:rsid w:val="004C6691"/>
    <w:rsid w:val="004F2671"/>
    <w:rsid w:val="00585A7C"/>
    <w:rsid w:val="00607893"/>
    <w:rsid w:val="00624DFE"/>
    <w:rsid w:val="00707411"/>
    <w:rsid w:val="008331FE"/>
    <w:rsid w:val="0087444C"/>
    <w:rsid w:val="00942DD6"/>
    <w:rsid w:val="009712BF"/>
    <w:rsid w:val="009A2143"/>
    <w:rsid w:val="00A44C42"/>
    <w:rsid w:val="00A955E2"/>
    <w:rsid w:val="00BC18B7"/>
    <w:rsid w:val="00C364E9"/>
    <w:rsid w:val="00CE4C5C"/>
    <w:rsid w:val="00D2249B"/>
    <w:rsid w:val="00D74CC0"/>
    <w:rsid w:val="00FB7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6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16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160D"/>
    <w:rPr>
      <w:sz w:val="18"/>
      <w:szCs w:val="18"/>
    </w:rPr>
  </w:style>
  <w:style w:type="paragraph" w:styleId="a4">
    <w:name w:val="footer"/>
    <w:basedOn w:val="a"/>
    <w:link w:val="Char0"/>
    <w:uiPriority w:val="99"/>
    <w:unhideWhenUsed/>
    <w:rsid w:val="002816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160D"/>
    <w:rPr>
      <w:sz w:val="18"/>
      <w:szCs w:val="18"/>
    </w:rPr>
  </w:style>
  <w:style w:type="character" w:customStyle="1" w:styleId="font11">
    <w:name w:val="font11"/>
    <w:basedOn w:val="a0"/>
    <w:rsid w:val="0028160D"/>
    <w:rPr>
      <w:rFonts w:ascii="仿宋_GB2312" w:eastAsia="仿宋_GB2312" w:hint="eastAsia"/>
      <w:sz w:val="30"/>
      <w:szCs w:val="24"/>
    </w:rPr>
  </w:style>
  <w:style w:type="character" w:customStyle="1" w:styleId="font21">
    <w:name w:val="font21"/>
    <w:basedOn w:val="a0"/>
    <w:rsid w:val="0028160D"/>
    <w:rPr>
      <w:rFonts w:ascii="Times New Roman" w:eastAsia="楷体_GB2312" w:hAnsi="Times New Roman" w:cs="Times New Roman" w:hint="default"/>
      <w:sz w:val="30"/>
      <w:szCs w:val="24"/>
    </w:rPr>
  </w:style>
  <w:style w:type="character" w:customStyle="1" w:styleId="font31">
    <w:name w:val="font31"/>
    <w:basedOn w:val="a0"/>
    <w:rsid w:val="0028160D"/>
    <w:rPr>
      <w:rFonts w:ascii="Times New Roman" w:eastAsia="黑体" w:hAnsi="黑体" w:cs="Times New Roman" w:hint="default"/>
      <w:spacing w:val="40"/>
      <w:sz w:val="52"/>
      <w:szCs w:val="24"/>
    </w:rPr>
  </w:style>
  <w:style w:type="character" w:customStyle="1" w:styleId="font41">
    <w:name w:val="font41"/>
    <w:basedOn w:val="a0"/>
    <w:rsid w:val="0028160D"/>
    <w:rPr>
      <w:rFonts w:ascii="楷体_GB2312" w:eastAsia="楷体_GB2312" w:hint="eastAsia"/>
      <w:spacing w:val="30"/>
      <w:sz w:val="36"/>
      <w:szCs w:val="24"/>
    </w:rPr>
  </w:style>
  <w:style w:type="character" w:customStyle="1" w:styleId="font51">
    <w:name w:val="font51"/>
    <w:basedOn w:val="a0"/>
    <w:rsid w:val="0028160D"/>
    <w:rPr>
      <w:rFonts w:ascii="黑体" w:eastAsia="黑体" w:hAnsi="黑体" w:hint="eastAsia"/>
      <w:sz w:val="36"/>
      <w:szCs w:val="24"/>
    </w:rPr>
  </w:style>
  <w:style w:type="character" w:customStyle="1" w:styleId="font61">
    <w:name w:val="font61"/>
    <w:basedOn w:val="a0"/>
    <w:rsid w:val="0028160D"/>
    <w:rPr>
      <w:rFonts w:ascii="Times New Roman" w:eastAsia="楷体_GB2312" w:hAnsi="Times New Roman" w:cs="Times New Roman" w:hint="default"/>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6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16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160D"/>
    <w:rPr>
      <w:sz w:val="18"/>
      <w:szCs w:val="18"/>
    </w:rPr>
  </w:style>
  <w:style w:type="paragraph" w:styleId="a4">
    <w:name w:val="footer"/>
    <w:basedOn w:val="a"/>
    <w:link w:val="Char0"/>
    <w:uiPriority w:val="99"/>
    <w:unhideWhenUsed/>
    <w:rsid w:val="002816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160D"/>
    <w:rPr>
      <w:sz w:val="18"/>
      <w:szCs w:val="18"/>
    </w:rPr>
  </w:style>
  <w:style w:type="character" w:customStyle="1" w:styleId="font11">
    <w:name w:val="font11"/>
    <w:basedOn w:val="a0"/>
    <w:rsid w:val="0028160D"/>
    <w:rPr>
      <w:rFonts w:ascii="仿宋_GB2312" w:eastAsia="仿宋_GB2312" w:hint="eastAsia"/>
      <w:sz w:val="30"/>
      <w:szCs w:val="24"/>
    </w:rPr>
  </w:style>
  <w:style w:type="character" w:customStyle="1" w:styleId="font21">
    <w:name w:val="font21"/>
    <w:basedOn w:val="a0"/>
    <w:rsid w:val="0028160D"/>
    <w:rPr>
      <w:rFonts w:ascii="Times New Roman" w:eastAsia="楷体_GB2312" w:hAnsi="Times New Roman" w:cs="Times New Roman" w:hint="default"/>
      <w:sz w:val="30"/>
      <w:szCs w:val="24"/>
    </w:rPr>
  </w:style>
  <w:style w:type="character" w:customStyle="1" w:styleId="font31">
    <w:name w:val="font31"/>
    <w:basedOn w:val="a0"/>
    <w:rsid w:val="0028160D"/>
    <w:rPr>
      <w:rFonts w:ascii="Times New Roman" w:eastAsia="黑体" w:hAnsi="黑体" w:cs="Times New Roman" w:hint="default"/>
      <w:spacing w:val="40"/>
      <w:sz w:val="52"/>
      <w:szCs w:val="24"/>
    </w:rPr>
  </w:style>
  <w:style w:type="character" w:customStyle="1" w:styleId="font41">
    <w:name w:val="font41"/>
    <w:basedOn w:val="a0"/>
    <w:rsid w:val="0028160D"/>
    <w:rPr>
      <w:rFonts w:ascii="楷体_GB2312" w:eastAsia="楷体_GB2312" w:hint="eastAsia"/>
      <w:spacing w:val="30"/>
      <w:sz w:val="36"/>
      <w:szCs w:val="24"/>
    </w:rPr>
  </w:style>
  <w:style w:type="character" w:customStyle="1" w:styleId="font51">
    <w:name w:val="font51"/>
    <w:basedOn w:val="a0"/>
    <w:rsid w:val="0028160D"/>
    <w:rPr>
      <w:rFonts w:ascii="黑体" w:eastAsia="黑体" w:hAnsi="黑体" w:hint="eastAsia"/>
      <w:sz w:val="36"/>
      <w:szCs w:val="24"/>
    </w:rPr>
  </w:style>
  <w:style w:type="character" w:customStyle="1" w:styleId="font61">
    <w:name w:val="font61"/>
    <w:basedOn w:val="a0"/>
    <w:rsid w:val="0028160D"/>
    <w:rPr>
      <w:rFonts w:ascii="Times New Roman" w:eastAsia="楷体_GB2312" w:hAnsi="Times New Roman" w:cs="Times New Roman" w:hint="default"/>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9511">
      <w:bodyDiv w:val="1"/>
      <w:marLeft w:val="0"/>
      <w:marRight w:val="0"/>
      <w:marTop w:val="0"/>
      <w:marBottom w:val="0"/>
      <w:divBdr>
        <w:top w:val="none" w:sz="0" w:space="0" w:color="auto"/>
        <w:left w:val="none" w:sz="0" w:space="0" w:color="auto"/>
        <w:bottom w:val="none" w:sz="0" w:space="0" w:color="auto"/>
        <w:right w:val="none" w:sz="0" w:space="0" w:color="auto"/>
      </w:divBdr>
    </w:div>
    <w:div w:id="76349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Pages>
  <Words>672</Words>
  <Characters>3833</Characters>
  <Application>Microsoft Office Word</Application>
  <DocSecurity>0</DocSecurity>
  <Lines>31</Lines>
  <Paragraphs>8</Paragraphs>
  <ScaleCrop>false</ScaleCrop>
  <Company>Lenovo</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whg01</dc:creator>
  <cp:keywords/>
  <dc:description/>
  <cp:lastModifiedBy>whg01</cp:lastModifiedBy>
  <cp:revision>26</cp:revision>
  <dcterms:created xsi:type="dcterms:W3CDTF">2021-02-24T01:42:00Z</dcterms:created>
  <dcterms:modified xsi:type="dcterms:W3CDTF">2025-02-11T06:34:00Z</dcterms:modified>
</cp:coreProperties>
</file>