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ascii="仿宋_GB2312" w:hAnsi="宋体" w:eastAsia="仿宋_GB2312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44"/>
          <w:szCs w:val="44"/>
        </w:rPr>
        <w:t>目    录</w:t>
      </w:r>
    </w:p>
    <w:p>
      <w:pPr>
        <w:spacing w:line="480" w:lineRule="auto"/>
        <w:jc w:val="left"/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</w:pPr>
    </w:p>
    <w:p>
      <w:pPr>
        <w:spacing w:line="480" w:lineRule="auto"/>
        <w:ind w:left="1800" w:hanging="1806" w:hangingChars="450"/>
        <w:jc w:val="left"/>
        <w:rPr>
          <w:rFonts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  <w:t>第一部分 大兴区残疾人就业服务中心202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  <w:t>年度预算报表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/>
          <w:spacing w:val="4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一、收支预算总表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二、收入预算表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三、支出预算表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四、财政拨款收支预算表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五、一般公共预算财政拨款支出预算表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六、一般公共预算财政拨款基本支出预算表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七、政府性基金预算财政拨款支出预算表</w:t>
      </w:r>
    </w:p>
    <w:p>
      <w:pPr>
        <w:pStyle w:val="2"/>
        <w:ind w:firstLine="800" w:firstLineChars="200"/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val="en-US" w:eastAsia="zh-CN" w:bidi="ar-SA"/>
        </w:rPr>
        <w:t>八、国有资本经营预算财政拨款支出预算表</w:t>
      </w:r>
    </w:p>
    <w:p>
      <w:pPr>
        <w:autoSpaceDE w:val="0"/>
        <w:autoSpaceDN w:val="0"/>
        <w:adjustRightInd w:val="0"/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、一般公共预算“三公”经费财政拨款支出预算表</w:t>
      </w:r>
    </w:p>
    <w:p>
      <w:pPr>
        <w:autoSpaceDE w:val="0"/>
        <w:autoSpaceDN w:val="0"/>
        <w:adjustRightInd w:val="0"/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、政府采购预算明细表</w:t>
      </w:r>
    </w:p>
    <w:p>
      <w:pPr>
        <w:autoSpaceDE w:val="0"/>
        <w:autoSpaceDN w:val="0"/>
        <w:adjustRightInd w:val="0"/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十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一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、项目绩效目标申报表</w:t>
      </w:r>
    </w:p>
    <w:p>
      <w:pPr>
        <w:tabs>
          <w:tab w:val="center" w:pos="6979"/>
        </w:tabs>
        <w:spacing w:line="480" w:lineRule="auto"/>
        <w:ind w:firstLine="800" w:firstLineChars="200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十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、政府购买服务预算明细表</w:t>
      </w:r>
    </w:p>
    <w:p>
      <w:pPr>
        <w:spacing w:line="480" w:lineRule="auto"/>
        <w:ind w:left="1800" w:hanging="1806" w:hangingChars="450"/>
        <w:jc w:val="left"/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</w:pPr>
    </w:p>
    <w:p>
      <w:pPr>
        <w:spacing w:line="480" w:lineRule="auto"/>
        <w:ind w:left="1800" w:hanging="1806" w:hangingChars="450"/>
        <w:jc w:val="left"/>
        <w:rPr>
          <w:rFonts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  <w:t>第二部分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  <w:lang w:eastAsia="zh-CN"/>
        </w:rPr>
        <w:t>大兴区残疾人就业服务中心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  <w:t>202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  <w:t>年预算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  <w:lang w:eastAsia="zh-CN"/>
        </w:rPr>
        <w:t>公开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6"/>
          <w:szCs w:val="36"/>
        </w:rPr>
        <w:t>情况说明</w:t>
      </w:r>
    </w:p>
    <w:p>
      <w:pPr>
        <w:spacing w:line="600" w:lineRule="exact"/>
        <w:ind w:left="424" w:leftChars="202" w:right="422" w:rightChars="201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</w:p>
    <w:p>
      <w:pPr>
        <w:spacing w:line="600" w:lineRule="exact"/>
        <w:ind w:left="424" w:leftChars="202" w:right="422" w:rightChars="201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</w:p>
    <w:p>
      <w:pPr>
        <w:spacing w:line="600" w:lineRule="exact"/>
        <w:ind w:left="424" w:leftChars="202" w:right="422" w:rightChars="201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第二部分</w:t>
      </w:r>
    </w:p>
    <w:p>
      <w:pPr>
        <w:spacing w:line="600" w:lineRule="exact"/>
        <w:ind w:left="424" w:leftChars="202" w:right="422" w:rightChars="201"/>
        <w:jc w:val="center"/>
        <w:rPr>
          <w:rFonts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大兴区残疾人就业服务中心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202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年预算情况说明</w:t>
      </w:r>
    </w:p>
    <w:p>
      <w:pPr>
        <w:spacing w:line="620" w:lineRule="exact"/>
        <w:ind w:left="424" w:leftChars="202" w:right="422" w:rightChars="201" w:firstLine="640" w:firstLineChars="200"/>
        <w:rPr>
          <w:rFonts w:ascii="黑体" w:hAnsi="文星标宋" w:eastAsia="黑体" w:cs="Tahoma"/>
          <w:color w:val="000000"/>
          <w:sz w:val="32"/>
          <w:szCs w:val="32"/>
        </w:rPr>
      </w:pPr>
    </w:p>
    <w:p>
      <w:pPr>
        <w:spacing w:line="620" w:lineRule="exact"/>
        <w:ind w:right="422" w:rightChars="201" w:firstLine="640" w:firstLineChars="200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一、部门基本情况</w:t>
      </w:r>
    </w:p>
    <w:p>
      <w:pPr>
        <w:spacing w:line="560" w:lineRule="exact"/>
        <w:ind w:right="422" w:rightChars="201" w:firstLine="640" w:firstLineChars="200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（一）主要职能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firstLine="838" w:firstLineChars="262"/>
        <w:jc w:val="both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1、负责指导组织残疾人扶贫解困、职业技能培训工作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2、负责全区残疾人的就业帮助与指导；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3、负责辖区内用人单位安置残疾人就业审核工作；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4、负责协助有关部门开展残疾人社会保障工作；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5、负责指导并组织全区盲人按摩职工作；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leftChars="0" w:right="0" w:firstLine="838" w:firstLineChars="262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6、负责协助区教委搞好残疾人特殊教育工作；</w:t>
      </w:r>
    </w:p>
    <w:p>
      <w:pPr>
        <w:spacing w:line="560" w:lineRule="exact"/>
        <w:ind w:left="0" w:leftChars="0" w:right="422" w:rightChars="201" w:firstLine="838" w:firstLineChars="262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7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我单位没有行政事业性收费项目。</w:t>
      </w:r>
    </w:p>
    <w:p>
      <w:pPr>
        <w:spacing w:line="560" w:lineRule="exact"/>
        <w:ind w:right="422" w:rightChars="201" w:firstLine="640" w:firstLineChars="200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（二）机构设置及人员情况</w:t>
      </w:r>
    </w:p>
    <w:p>
      <w:pPr>
        <w:spacing w:line="620" w:lineRule="exact"/>
        <w:ind w:left="424" w:leftChars="202" w:right="422" w:rightChars="201" w:firstLine="320" w:firstLineChars="100"/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大兴区残疾人就业服务中心为独立核算的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公益一类事业单位，截止202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年12月31日共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11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人。</w:t>
      </w:r>
    </w:p>
    <w:p>
      <w:pPr>
        <w:spacing w:line="620" w:lineRule="exact"/>
        <w:ind w:left="424" w:leftChars="202" w:right="422" w:rightChars="201" w:firstLine="320" w:firstLineChars="100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二、部门预算单位构成</w:t>
      </w:r>
    </w:p>
    <w:p>
      <w:pPr>
        <w:spacing w:line="560" w:lineRule="exact"/>
        <w:ind w:left="424" w:leftChars="202" w:right="422" w:rightChars="201" w:firstLine="480" w:firstLineChars="15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大兴区残疾人就业服务中心为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公益一类事业单位，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无内设部门。</w:t>
      </w:r>
    </w:p>
    <w:p>
      <w:pPr>
        <w:spacing w:line="560" w:lineRule="exact"/>
        <w:ind w:right="422" w:rightChars="201" w:firstLine="800" w:firstLineChars="250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三、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大兴区残疾人就业服务中心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202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年收支预算总表的说明</w:t>
      </w:r>
    </w:p>
    <w:p>
      <w:pPr>
        <w:spacing w:line="560" w:lineRule="exact"/>
        <w:ind w:left="424" w:leftChars="202" w:right="422" w:rightChars="201" w:firstLine="480" w:firstLineChars="15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（一）202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年预算收入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438.59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万元，具体包括：</w:t>
      </w:r>
    </w:p>
    <w:p>
      <w:pPr>
        <w:numPr>
          <w:ilvl w:val="0"/>
          <w:numId w:val="1"/>
        </w:numPr>
        <w:spacing w:line="560" w:lineRule="exact"/>
        <w:ind w:left="424" w:leftChars="202" w:right="422" w:rightChars="201"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一般公共预算财政拨款收入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438.59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万元；</w:t>
      </w:r>
    </w:p>
    <w:p>
      <w:pPr>
        <w:spacing w:line="560" w:lineRule="exact"/>
        <w:ind w:left="424" w:leftChars="202" w:right="422" w:rightChars="201" w:firstLine="480" w:firstLineChars="15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 xml:space="preserve"> 2.政府性基金预算财政拨款收入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</w:t>
      </w:r>
    </w:p>
    <w:p>
      <w:pPr>
        <w:spacing w:line="560" w:lineRule="exact"/>
        <w:ind w:left="424" w:leftChars="202" w:right="422" w:rightChars="201"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3.上年结转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万元。</w:t>
      </w:r>
    </w:p>
    <w:p>
      <w:pPr>
        <w:ind w:left="424" w:leftChars="202" w:right="422" w:rightChars="201" w:firstLine="480" w:firstLineChars="15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与202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年预算收入相比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52.63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万元，原因为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部分社保、公积金基数调整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spacing w:line="560" w:lineRule="exact"/>
        <w:ind w:left="424" w:leftChars="202" w:right="422" w:rightChars="201" w:firstLine="480" w:firstLineChars="15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（二）202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年预算支出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438.59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万元,具体包括：</w:t>
      </w:r>
    </w:p>
    <w:p>
      <w:pPr>
        <w:spacing w:line="560" w:lineRule="exact"/>
        <w:ind w:left="424" w:leftChars="202" w:right="422" w:rightChars="201"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1.社会保障和就业支出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404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</w:t>
      </w:r>
    </w:p>
    <w:p>
      <w:pPr>
        <w:spacing w:line="560" w:lineRule="exact"/>
        <w:ind w:left="424" w:leftChars="202" w:right="422" w:rightChars="201" w:firstLine="640" w:firstLineChars="200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2.卫生健康支出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34.59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</w:t>
      </w:r>
    </w:p>
    <w:p>
      <w:pPr>
        <w:ind w:left="424" w:leftChars="202" w:right="422" w:rightChars="201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与202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年预算支出相比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52.63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万元，原因为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社保、公积金基数调整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ind w:left="424" w:leftChars="202" w:right="422" w:rightChars="201" w:firstLine="640" w:firstLineChars="200"/>
        <w:jc w:val="left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四、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大兴区残疾人就业服务中心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202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年收入预算表的说明</w:t>
      </w:r>
    </w:p>
    <w:p>
      <w:pPr>
        <w:spacing w:line="620" w:lineRule="exact"/>
        <w:ind w:left="424" w:leftChars="202" w:right="422" w:rightChars="201"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年预算收入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438.59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万元，具体包括：</w:t>
      </w:r>
    </w:p>
    <w:p>
      <w:pPr>
        <w:spacing w:line="560" w:lineRule="exact"/>
        <w:ind w:left="424" w:leftChars="202" w:right="422" w:rightChars="201"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1.一般公共预算财政拨款收入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438.59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</w:t>
      </w:r>
    </w:p>
    <w:p>
      <w:pPr>
        <w:spacing w:line="560" w:lineRule="exact"/>
        <w:ind w:left="424" w:leftChars="202" w:right="422" w:rightChars="201"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2.政府性基金财政拨款收入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元</w:t>
      </w:r>
    </w:p>
    <w:p>
      <w:pPr>
        <w:spacing w:line="560" w:lineRule="exact"/>
        <w:ind w:left="424" w:leftChars="202" w:right="422" w:rightChars="201" w:firstLine="480" w:firstLineChars="15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.上年结转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</w:t>
      </w:r>
    </w:p>
    <w:p>
      <w:pPr>
        <w:spacing w:line="620" w:lineRule="exact"/>
        <w:ind w:right="422" w:rightChars="201" w:firstLine="800" w:firstLineChars="250"/>
        <w:jc w:val="left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五、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大兴区残疾人就业服务中心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202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年支出预算表的说明</w:t>
      </w:r>
    </w:p>
    <w:p>
      <w:pPr>
        <w:spacing w:line="560" w:lineRule="exact"/>
        <w:ind w:left="424" w:leftChars="202" w:right="422" w:rightChars="201"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年预算支出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438.59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万元,具体包括：</w:t>
      </w:r>
    </w:p>
    <w:p>
      <w:pPr>
        <w:spacing w:line="560" w:lineRule="exact"/>
        <w:ind w:left="424" w:leftChars="202" w:right="422" w:rightChars="201" w:firstLine="800" w:firstLineChars="25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1.社会保障和就业支出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404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</w:t>
      </w:r>
    </w:p>
    <w:p>
      <w:pPr>
        <w:spacing w:line="560" w:lineRule="exact"/>
        <w:ind w:right="422" w:rightChars="201" w:firstLine="1280" w:firstLineChars="4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.卫生健康支出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34.59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</w:t>
      </w:r>
    </w:p>
    <w:p>
      <w:pPr>
        <w:spacing w:line="560" w:lineRule="exact"/>
        <w:ind w:right="422" w:rightChars="201" w:firstLine="640" w:firstLineChars="200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六、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大兴区残疾人就业服务中心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202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年财政拨款预算收支表的说明</w:t>
      </w:r>
    </w:p>
    <w:p>
      <w:pPr>
        <w:spacing w:line="620" w:lineRule="exact"/>
        <w:ind w:left="424" w:leftChars="202" w:right="422" w:rightChars="201"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（一）202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年预算收入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438.59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万元，具体包括：</w:t>
      </w:r>
    </w:p>
    <w:p>
      <w:pPr>
        <w:spacing w:line="560" w:lineRule="exact"/>
        <w:ind w:right="422" w:rightChars="201" w:firstLine="1280" w:firstLineChars="4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1.一般公共预算财政拨款收入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438.59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</w:t>
      </w:r>
    </w:p>
    <w:p>
      <w:pPr>
        <w:spacing w:line="560" w:lineRule="exact"/>
        <w:ind w:right="422" w:rightChars="201" w:firstLine="1280" w:firstLineChars="4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2.政府性基金拨款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</w:t>
      </w:r>
    </w:p>
    <w:p>
      <w:pPr>
        <w:spacing w:line="560" w:lineRule="exact"/>
        <w:ind w:right="422" w:rightChars="201" w:firstLine="1280" w:firstLineChars="4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3.上年结转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万元。</w:t>
      </w:r>
    </w:p>
    <w:p>
      <w:pPr>
        <w:spacing w:line="560" w:lineRule="exact"/>
        <w:ind w:left="424" w:leftChars="202" w:right="422" w:rightChars="201" w:firstLine="480" w:firstLineChars="15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（二）202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年预算支出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438.59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万元,具体包括：</w:t>
      </w:r>
    </w:p>
    <w:p>
      <w:pPr>
        <w:spacing w:line="560" w:lineRule="exact"/>
        <w:ind w:right="422" w:rightChars="201" w:firstLine="1280" w:firstLineChars="4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1.社会保障和就业支出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404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</w:t>
      </w:r>
    </w:p>
    <w:p>
      <w:pPr>
        <w:spacing w:line="560" w:lineRule="exact"/>
        <w:ind w:right="422" w:rightChars="201" w:firstLine="1280" w:firstLineChars="400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2.卫生健康支出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34.59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</w:t>
      </w:r>
    </w:p>
    <w:p>
      <w:pPr>
        <w:spacing w:line="560" w:lineRule="exact"/>
        <w:ind w:right="422" w:rightChars="201" w:firstLine="1280" w:firstLineChars="400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3.教育支出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</w:t>
      </w:r>
    </w:p>
    <w:p>
      <w:pPr>
        <w:spacing w:line="620" w:lineRule="exact"/>
        <w:ind w:left="424" w:leftChars="202" w:right="422" w:rightChars="201" w:firstLine="480" w:firstLineChars="150"/>
        <w:jc w:val="left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七、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大兴区残疾人就业服务中心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202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年一般公共预算财政拨款预算支出表的说明</w:t>
      </w:r>
    </w:p>
    <w:p>
      <w:pPr>
        <w:spacing w:line="620" w:lineRule="exact"/>
        <w:ind w:left="424" w:leftChars="202" w:right="422" w:rightChars="201"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年预算支出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438.59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万元，具体包括：社会保障和就业支出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404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万元；卫生健康支出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34.59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万元,按细项具体分为：</w:t>
      </w:r>
    </w:p>
    <w:p>
      <w:pPr>
        <w:spacing w:line="620" w:lineRule="exact"/>
        <w:ind w:left="424" w:leftChars="202" w:right="422" w:rightChars="201"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1. 行政事业单位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养老支出48.32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万元，比202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年执行数增加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0.65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万元，原因为机关事业单位养老保险和职业年金基数增加。</w:t>
      </w:r>
    </w:p>
    <w:p>
      <w:pPr>
        <w:spacing w:line="620" w:lineRule="exact"/>
        <w:ind w:left="424" w:leftChars="202" w:right="422" w:rightChars="201" w:firstLine="640" w:firstLineChars="200"/>
        <w:jc w:val="left"/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.其他残疾人事业支出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355.68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万元，比202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年执行数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减少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55.61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万元，原因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部分项目功能科目调整至2081105残疾人就业。</w:t>
      </w:r>
    </w:p>
    <w:p>
      <w:pPr>
        <w:spacing w:line="620" w:lineRule="exact"/>
        <w:ind w:left="424" w:leftChars="202" w:right="422" w:rightChars="201" w:firstLine="640" w:firstLineChars="200"/>
        <w:jc w:val="left"/>
        <w:rPr>
          <w:rFonts w:ascii="仿宋_GB2312" w:hAnsi="文星标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.事业单位医疗、公务员医疗补助支出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34.59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万元，比202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年执行数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1.18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万元，原因为医疗保险缴存基数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eastAsia="zh-CN"/>
        </w:rPr>
        <w:t>调整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</w:rPr>
        <w:t>。</w:t>
      </w:r>
    </w:p>
    <w:p>
      <w:pPr>
        <w:spacing w:line="560" w:lineRule="exact"/>
        <w:ind w:left="424" w:leftChars="202" w:right="422" w:rightChars="201" w:firstLine="640" w:firstLineChars="200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八、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大兴区残疾人就业服务中心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20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2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年一般公共预算财政拨款基本支出表的说明</w:t>
      </w:r>
    </w:p>
    <w:p>
      <w:pPr>
        <w:spacing w:line="620" w:lineRule="exact"/>
        <w:ind w:left="424" w:leftChars="202" w:right="422" w:rightChars="201" w:firstLine="640" w:firstLineChars="200"/>
        <w:rPr>
          <w:rFonts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202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年一般公共预算财政拨款基本支出合计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363.33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万元，其中：</w:t>
      </w:r>
    </w:p>
    <w:p>
      <w:pPr>
        <w:spacing w:line="620" w:lineRule="exact"/>
        <w:ind w:left="424" w:leftChars="202" w:right="422" w:rightChars="201" w:firstLine="640" w:firstLineChars="200"/>
        <w:rPr>
          <w:rFonts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1.人员支出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344.42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万元，包括基本工资、津贴补贴、绩效工资、机关事业单位基本养老保险缴费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、职业年金缴费、职工基本医疗保险缴费、公务员医疗补助缴费、其他社会保障缴费、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住房公积金、离退休费、奖励金等；</w:t>
      </w:r>
    </w:p>
    <w:p>
      <w:pPr>
        <w:spacing w:line="620" w:lineRule="exact"/>
        <w:ind w:left="424" w:leftChars="202" w:right="422" w:rightChars="201" w:firstLine="640" w:firstLineChars="200"/>
        <w:rPr>
          <w:rFonts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2.公用支出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18.91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万元，包括办公费、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电费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、培训费、业务招待费、邮电费、委托业务费、劳务费、工会经费、公车运维费、福利费等。</w:t>
      </w:r>
    </w:p>
    <w:p>
      <w:pPr>
        <w:spacing w:line="560" w:lineRule="exact"/>
        <w:ind w:left="424" w:leftChars="202" w:right="422" w:rightChars="201" w:firstLine="640" w:firstLineChars="200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九、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大兴区残疾人就业服务中心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202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年政府性基金预算财政拨款支出的说明</w:t>
      </w:r>
    </w:p>
    <w:p>
      <w:pPr>
        <w:spacing w:line="560" w:lineRule="exact"/>
        <w:ind w:left="424" w:leftChars="202" w:right="422" w:rightChars="201" w:firstLine="645"/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无政府性基金预算</w:t>
      </w:r>
    </w:p>
    <w:p>
      <w:pPr>
        <w:spacing w:line="560" w:lineRule="exact"/>
        <w:ind w:left="424" w:leftChars="202" w:right="422" w:rightChars="201" w:firstLine="645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十、</w:t>
      </w:r>
      <w:r>
        <w:rPr>
          <w:rFonts w:hint="eastAsia" w:ascii="黑体" w:hAnsi="文星标宋" w:eastAsia="黑体" w:cs="Tahoma"/>
          <w:color w:val="000000"/>
          <w:sz w:val="32"/>
          <w:szCs w:val="32"/>
          <w:lang w:eastAsia="zh-CN"/>
        </w:rPr>
        <w:t>大兴区残疾人就业服务中心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202</w:t>
      </w:r>
      <w:r>
        <w:rPr>
          <w:rFonts w:hint="eastAsia" w:ascii="黑体" w:hAnsi="文星标宋" w:eastAsia="黑体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黑体" w:hAnsi="文星标宋" w:eastAsia="黑体" w:cs="Tahoma"/>
          <w:color w:val="000000"/>
          <w:sz w:val="32"/>
          <w:szCs w:val="32"/>
        </w:rPr>
        <w:t>年一般公共预算“三公”经费财政拨款支出预算表的说明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（一）“三公”经费的单位范围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大兴区残疾人就业服务中心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因公出国（境）费用、公务接待费、公务用车购置和运行维护费开支单位包括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大兴区残疾人就业服务中心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（二）“三公”经费预算财政拨款情况说明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仿宋_GB2312" w:hAnsi="文星标宋" w:eastAsia="仿宋_GB2312" w:cs="Tahoma"/>
          <w:color w:val="000000"/>
          <w:sz w:val="32"/>
          <w:szCs w:val="32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“三公经费”预算合计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1.8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万元，其中：公务接待费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0.00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万元，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与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202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年预算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eastAsia="zh-CN"/>
        </w:rPr>
        <w:t>一致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 xml:space="preserve">。公务用车费中的公车运行费 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1.8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万元，与202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年预算一致，公务用车购置费０元，与202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年预算一致。因公出国（境）费用支出0元,与202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</w:rPr>
        <w:t>年预算一致。</w:t>
      </w:r>
      <w:r>
        <w:rPr>
          <w:rFonts w:hint="eastAsia" w:ascii="宋体" w:hAnsi="宋体" w:cs="仿宋_GB2312"/>
          <w:color w:val="000000"/>
          <w:sz w:val="32"/>
          <w:szCs w:val="32"/>
        </w:rPr>
        <w:t xml:space="preserve">   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</w:rPr>
        <w:t>十一、其他重要事项的情况说明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黑体" w:hAnsi="文星标宋" w:eastAsia="黑体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（一）机关运行经费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大兴区残疾人就业服务中心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为公益一类事业单位，故不涉及机关运行经费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（二）政府采购情况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</w:rPr>
        <w:t>202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年，残联部门政府采购预算总额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2.3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万元，其中：政府采购货物预算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0.8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万元、政府采购工程预算0万元、政府采购服务预算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1.5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万元。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（三）国有资产占有使用情况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  <w:lang w:eastAsia="zh-CN"/>
        </w:rPr>
        <w:t>大兴区残疾人就业服务中心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共有车辆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辆，其中，领导干部用车0辆、一般公务用车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辆单位价值200万元以上大型设备0套。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（四）重点项目预算的绩效目标和绩效评价结果的情况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</w:rPr>
        <w:t>202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年，填报绩效目标的预算项目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个，占全部预算项目的100%。填报绩效目标的项目支出预算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48.98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万元，占全部项目支出预算的100%。具体内容详见绩效目标表。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hint="eastAsia"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</w:rPr>
        <w:t>大兴区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eastAsia="zh-CN"/>
        </w:rPr>
        <w:t>残疾人就业服务中心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纳入事前项目评估0个，涉及一般公共预算拨款0万元、政府性基金预算0万元。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hint="eastAsia"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</w:rPr>
        <w:t>（五）重点行政事业性收费情况说明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hint="eastAsia"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</w:rPr>
        <w:t>本部门无行政事业性收费项目。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（</w:t>
      </w:r>
      <w:r>
        <w:rPr>
          <w:rFonts w:hint="eastAsia" w:ascii="楷体_GB2312" w:hAnsi="Tahoma" w:eastAsia="楷体_GB2312" w:cs="Tahoma"/>
          <w:color w:val="000000"/>
          <w:sz w:val="32"/>
          <w:szCs w:val="32"/>
          <w:lang w:eastAsia="zh-CN"/>
        </w:rPr>
        <w:t>六</w:t>
      </w:r>
      <w:r>
        <w:rPr>
          <w:rFonts w:hint="eastAsia" w:ascii="楷体_GB2312" w:hAnsi="Tahoma" w:eastAsia="楷体_GB2312" w:cs="Tahoma"/>
          <w:color w:val="000000"/>
          <w:sz w:val="32"/>
          <w:szCs w:val="32"/>
        </w:rPr>
        <w:t>）政府购买服务预算说明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</w:rPr>
        <w:t>202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年政府购买服务项目共计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项，预算总金额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万元。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楷体_GB2312" w:hAnsi="Tahoma" w:eastAsia="楷体_GB2312" w:cs="Tahoma"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</w:rPr>
        <w:t>（</w:t>
      </w:r>
      <w:r>
        <w:rPr>
          <w:rFonts w:hint="eastAsia" w:ascii="楷体_GB2312" w:hAnsi="Tahoma" w:eastAsia="楷体_GB2312" w:cs="Tahoma"/>
          <w:color w:val="000000"/>
          <w:sz w:val="32"/>
          <w:szCs w:val="32"/>
          <w:lang w:eastAsia="zh-CN"/>
        </w:rPr>
        <w:t>七</w:t>
      </w:r>
      <w:r>
        <w:rPr>
          <w:rFonts w:hint="eastAsia" w:ascii="楷体_GB2312" w:hAnsi="Tahoma" w:eastAsia="楷体_GB2312" w:cs="Tahoma"/>
          <w:color w:val="000000"/>
          <w:sz w:val="32"/>
          <w:szCs w:val="32"/>
        </w:rPr>
        <w:t>）国有资本经营预算财政拨款情况说明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仿宋_GB2312" w:hAnsi="Tahoma" w:eastAsia="仿宋_GB2312" w:cs="Tahoma"/>
          <w:color w:val="000000"/>
          <w:sz w:val="32"/>
          <w:szCs w:val="32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</w:rPr>
        <w:t>本部门202</w:t>
      </w:r>
      <w:r>
        <w:rPr>
          <w:rFonts w:hint="eastAsia" w:ascii="仿宋_GB2312" w:hAnsi="Tahoma" w:eastAsia="仿宋_GB2312" w:cs="Tahoma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Tahoma" w:eastAsia="仿宋_GB2312" w:cs="Tahoma"/>
          <w:color w:val="000000"/>
          <w:sz w:val="32"/>
          <w:szCs w:val="32"/>
        </w:rPr>
        <w:t>年无国有资本经营预算财政拨款安排的预算。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3" w:firstLineChars="200"/>
        <w:outlineLvl w:val="0"/>
        <w:rPr>
          <w:rFonts w:hint="eastAsia" w:ascii="楷体_GB2312" w:hAnsi="Tahoma" w:eastAsia="楷体_GB2312" w:cs="Tahoma"/>
          <w:b/>
          <w:bCs/>
          <w:color w:val="000000"/>
          <w:sz w:val="32"/>
          <w:szCs w:val="32"/>
        </w:rPr>
      </w:pPr>
      <w:r>
        <w:rPr>
          <w:rFonts w:hint="eastAsia" w:ascii="楷体_GB2312" w:hAnsi="Tahoma" w:eastAsia="楷体_GB2312" w:cs="Tahoma"/>
          <w:b/>
          <w:bCs/>
          <w:color w:val="000000"/>
          <w:sz w:val="32"/>
          <w:szCs w:val="32"/>
        </w:rPr>
        <w:t>十二、名词解释: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“三公”经费：指本部门当年部门预算安排的因公出国（境）费用、公务接待费、公务用车购置和运行维护费。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机关运行经费：指为保障行政单位（含参照公务员法管理事业单位）运行用于购买货物和服务的各项资金，包括办公及印刷费、邮电费、差旅费、会议费、福利费、日常维修费、专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用材料及一般设备购置费、办公用房水电费、办公用房取暖费、办公用房物业管理费、公务用车运行维护费以及其他费用。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bookmarkStart w:id="0" w:name="_GoBack"/>
      <w:bookmarkEnd w:id="0"/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残保金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：残疾人就业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保障金是为保障残疾人权益，由未按规定安排残疾人就业的机关、团体、企业、事业单位和民办非企业单位（以下简称用人单位）缴纳的资金。</w:t>
      </w:r>
    </w:p>
    <w:p>
      <w:pPr>
        <w:pBdr>
          <w:bottom w:val="single" w:color="FFFFFF" w:sz="4" w:space="31"/>
        </w:pBdr>
        <w:spacing w:line="600" w:lineRule="exact"/>
        <w:ind w:left="424" w:leftChars="202" w:right="422" w:rightChars="201" w:firstLine="640" w:firstLineChars="200"/>
        <w:outlineLvl w:val="0"/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pStyle w:val="2"/>
        <w:rPr>
          <w:rFonts w:hint="eastAsia"/>
        </w:rPr>
      </w:pPr>
    </w:p>
    <w:p/>
    <w:sectPr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5814B"/>
    <w:multiLevelType w:val="singleLevel"/>
    <w:tmpl w:val="5C45814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601A49"/>
    <w:rsid w:val="000E76B7"/>
    <w:rsid w:val="00155D1C"/>
    <w:rsid w:val="002105B9"/>
    <w:rsid w:val="0023680F"/>
    <w:rsid w:val="002A0674"/>
    <w:rsid w:val="002B2B9D"/>
    <w:rsid w:val="002F42D4"/>
    <w:rsid w:val="00345F43"/>
    <w:rsid w:val="003A2ED6"/>
    <w:rsid w:val="003E527E"/>
    <w:rsid w:val="004A2C3C"/>
    <w:rsid w:val="005407B8"/>
    <w:rsid w:val="005E2D3C"/>
    <w:rsid w:val="00601A49"/>
    <w:rsid w:val="007C422A"/>
    <w:rsid w:val="00901B8E"/>
    <w:rsid w:val="009B3122"/>
    <w:rsid w:val="00C952E0"/>
    <w:rsid w:val="00D86C1D"/>
    <w:rsid w:val="00EC418C"/>
    <w:rsid w:val="00F1037D"/>
    <w:rsid w:val="00F3245D"/>
    <w:rsid w:val="00F80B36"/>
    <w:rsid w:val="0F1E02EB"/>
    <w:rsid w:val="12710756"/>
    <w:rsid w:val="18E90258"/>
    <w:rsid w:val="27D04A90"/>
    <w:rsid w:val="311272BA"/>
    <w:rsid w:val="50032440"/>
    <w:rsid w:val="5A9959E4"/>
    <w:rsid w:val="5C7C322F"/>
    <w:rsid w:val="67F83D32"/>
    <w:rsid w:val="67FB6CCA"/>
    <w:rsid w:val="737D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460</Words>
  <Characters>2628</Characters>
  <Lines>21</Lines>
  <Paragraphs>6</Paragraphs>
  <TotalTime>2</TotalTime>
  <ScaleCrop>false</ScaleCrop>
  <LinksUpToDate>false</LinksUpToDate>
  <CharactersWithSpaces>3082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2022-01-20T06:28:00Z</dcterms:created>
  <dc:creator>Administrator</dc:creator>
  <cp:lastModifiedBy>Administrator</cp:lastModifiedBy>
  <cp:lastPrinted>2022-01-21T02:23:00Z</cp:lastPrinted>
  <dcterms:modified xsi:type="dcterms:W3CDTF">2025-02-13T02:07:12Z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16517DC07F864AADAB9F782AADD16F9B</vt:lpwstr>
  </property>
</Properties>
</file>