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4AF81E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jc w:val="center"/>
        <w:textAlignment w:val="auto"/>
        <w:rPr>
          <w:rFonts w:ascii="仿宋_GB2312" w:hAnsi="宋体" w:eastAsia="仿宋_GB2312" w:cs="宋体"/>
          <w:b/>
          <w:bCs/>
          <w:color w:val="auto"/>
          <w:kern w:val="0"/>
          <w:sz w:val="44"/>
          <w:szCs w:val="44"/>
          <w:highlight w:val="none"/>
        </w:rPr>
      </w:pPr>
      <w:r>
        <w:rPr>
          <w:rFonts w:hint="eastAsia" w:ascii="仿宋_GB2312" w:hAnsi="宋体" w:eastAsia="仿宋_GB2312" w:cs="宋体"/>
          <w:b/>
          <w:bCs/>
          <w:color w:val="auto"/>
          <w:kern w:val="0"/>
          <w:sz w:val="44"/>
          <w:szCs w:val="44"/>
          <w:highlight w:val="none"/>
        </w:rPr>
        <w:t>目 录</w:t>
      </w:r>
    </w:p>
    <w:p w14:paraId="58FC6753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textAlignment w:val="auto"/>
        <w:rPr>
          <w:rFonts w:ascii="仿宋_GB2312" w:hAnsi="宋体" w:eastAsia="仿宋_GB2312" w:cs="宋体"/>
          <w:b/>
          <w:bCs/>
          <w:color w:val="auto"/>
          <w:kern w:val="0"/>
          <w:sz w:val="32"/>
          <w:szCs w:val="32"/>
          <w:highlight w:val="none"/>
        </w:rPr>
      </w:pPr>
    </w:p>
    <w:p w14:paraId="22C09E03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textAlignment w:val="auto"/>
        <w:rPr>
          <w:rFonts w:ascii="仿宋_GB2312" w:hAnsi="宋体" w:eastAsia="仿宋_GB2312" w:cs="宋体"/>
          <w:b/>
          <w:bCs/>
          <w:color w:val="auto"/>
          <w:spacing w:val="20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b/>
          <w:bCs/>
          <w:color w:val="auto"/>
          <w:spacing w:val="20"/>
          <w:kern w:val="0"/>
          <w:sz w:val="32"/>
          <w:szCs w:val="32"/>
          <w:highlight w:val="none"/>
        </w:rPr>
        <w:t>第一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</w:rPr>
        <w:t>部分</w:t>
      </w:r>
      <w:r>
        <w:rPr>
          <w:rFonts w:hint="eastAsia" w:ascii="仿宋_GB2312" w:hAnsi="宋体" w:eastAsia="仿宋_GB2312" w:cs="宋体"/>
          <w:b/>
          <w:bCs/>
          <w:color w:val="auto"/>
          <w:spacing w:val="20"/>
          <w:kern w:val="0"/>
          <w:sz w:val="32"/>
          <w:szCs w:val="32"/>
          <w:highlight w:val="none"/>
        </w:rPr>
        <w:t xml:space="preserve"> 202</w:t>
      </w:r>
      <w:r>
        <w:rPr>
          <w:rFonts w:hint="eastAsia" w:ascii="仿宋_GB2312" w:hAnsi="宋体" w:eastAsia="仿宋_GB2312" w:cs="宋体"/>
          <w:b/>
          <w:bCs/>
          <w:color w:val="auto"/>
          <w:spacing w:val="20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b/>
          <w:bCs/>
          <w:color w:val="auto"/>
          <w:spacing w:val="20"/>
          <w:kern w:val="0"/>
          <w:sz w:val="32"/>
          <w:szCs w:val="32"/>
          <w:highlight w:val="none"/>
        </w:rPr>
        <w:t>年度部门预算报表</w:t>
      </w:r>
    </w:p>
    <w:p w14:paraId="3563B7E7">
      <w:pPr>
        <w:keepNext w:val="0"/>
        <w:keepLines w:val="0"/>
        <w:pageBreakBefore w:val="0"/>
        <w:tabs>
          <w:tab w:val="left" w:pos="6484"/>
        </w:tabs>
        <w:kinsoku/>
        <w:wordWrap/>
        <w:overflowPunct/>
        <w:topLinePunct w:val="0"/>
        <w:bidi w:val="0"/>
        <w:snapToGrid/>
        <w:spacing w:line="560" w:lineRule="exact"/>
        <w:textAlignment w:val="auto"/>
        <w:rPr>
          <w:rFonts w:ascii="仿宋_GB2312" w:hAnsi="仿宋" w:eastAsia="仿宋_GB2312"/>
          <w:color w:val="auto"/>
          <w:spacing w:val="40"/>
          <w:sz w:val="32"/>
          <w:szCs w:val="32"/>
          <w:highlight w:val="none"/>
        </w:rPr>
      </w:pPr>
      <w:r>
        <w:rPr>
          <w:rFonts w:hint="eastAsia" w:ascii="仿宋_GB2312" w:hAnsi="仿宋" w:eastAsia="仿宋_GB2312" w:cs="仿宋_GB2312"/>
          <w:color w:val="auto"/>
          <w:spacing w:val="40"/>
          <w:kern w:val="0"/>
          <w:sz w:val="32"/>
          <w:szCs w:val="32"/>
          <w:highlight w:val="none"/>
        </w:rPr>
        <w:t>一、收支预算总表</w:t>
      </w:r>
      <w:r>
        <w:rPr>
          <w:rFonts w:hint="eastAsia" w:ascii="仿宋_GB2312" w:hAnsi="仿宋" w:eastAsia="仿宋_GB2312" w:cs="仿宋_GB2312"/>
          <w:color w:val="auto"/>
          <w:spacing w:val="40"/>
          <w:kern w:val="0"/>
          <w:sz w:val="32"/>
          <w:szCs w:val="32"/>
          <w:highlight w:val="none"/>
        </w:rPr>
        <w:tab/>
      </w:r>
    </w:p>
    <w:p w14:paraId="6D78EBF0">
      <w:pPr>
        <w:keepNext w:val="0"/>
        <w:keepLines w:val="0"/>
        <w:pageBreakBefore w:val="0"/>
        <w:tabs>
          <w:tab w:val="center" w:pos="6979"/>
        </w:tabs>
        <w:kinsoku/>
        <w:wordWrap/>
        <w:overflowPunct/>
        <w:topLinePunct w:val="0"/>
        <w:bidi w:val="0"/>
        <w:snapToGrid/>
        <w:spacing w:line="560" w:lineRule="exact"/>
        <w:textAlignment w:val="auto"/>
        <w:rPr>
          <w:rFonts w:ascii="仿宋_GB2312" w:hAnsi="仿宋" w:eastAsia="仿宋_GB2312" w:cs="仿宋_GB2312"/>
          <w:color w:val="auto"/>
          <w:spacing w:val="40"/>
          <w:kern w:val="0"/>
          <w:sz w:val="32"/>
          <w:szCs w:val="32"/>
          <w:highlight w:val="none"/>
        </w:rPr>
      </w:pPr>
      <w:r>
        <w:rPr>
          <w:rFonts w:hint="eastAsia" w:ascii="仿宋_GB2312" w:hAnsi="仿宋" w:eastAsia="仿宋_GB2312" w:cs="仿宋_GB2312"/>
          <w:color w:val="auto"/>
          <w:spacing w:val="40"/>
          <w:kern w:val="0"/>
          <w:sz w:val="32"/>
          <w:szCs w:val="32"/>
          <w:highlight w:val="none"/>
        </w:rPr>
        <w:t>二、收入预算表</w:t>
      </w:r>
    </w:p>
    <w:p w14:paraId="4134897D">
      <w:pPr>
        <w:keepNext w:val="0"/>
        <w:keepLines w:val="0"/>
        <w:pageBreakBefore w:val="0"/>
        <w:tabs>
          <w:tab w:val="center" w:pos="6979"/>
        </w:tabs>
        <w:kinsoku/>
        <w:wordWrap/>
        <w:overflowPunct/>
        <w:topLinePunct w:val="0"/>
        <w:bidi w:val="0"/>
        <w:snapToGrid/>
        <w:spacing w:line="560" w:lineRule="exact"/>
        <w:textAlignment w:val="auto"/>
        <w:rPr>
          <w:rFonts w:ascii="仿宋_GB2312" w:hAnsi="仿宋" w:eastAsia="仿宋_GB2312" w:cs="仿宋_GB2312"/>
          <w:color w:val="auto"/>
          <w:spacing w:val="40"/>
          <w:kern w:val="0"/>
          <w:sz w:val="32"/>
          <w:szCs w:val="32"/>
          <w:highlight w:val="none"/>
        </w:rPr>
      </w:pPr>
      <w:r>
        <w:rPr>
          <w:rFonts w:hint="eastAsia" w:ascii="仿宋_GB2312" w:hAnsi="仿宋" w:eastAsia="仿宋_GB2312" w:cs="仿宋_GB2312"/>
          <w:color w:val="auto"/>
          <w:spacing w:val="40"/>
          <w:kern w:val="0"/>
          <w:sz w:val="32"/>
          <w:szCs w:val="32"/>
          <w:highlight w:val="none"/>
        </w:rPr>
        <w:t>三、支出预算表</w:t>
      </w:r>
    </w:p>
    <w:p w14:paraId="14A22D22">
      <w:pPr>
        <w:keepNext w:val="0"/>
        <w:keepLines w:val="0"/>
        <w:pageBreakBefore w:val="0"/>
        <w:tabs>
          <w:tab w:val="center" w:pos="6979"/>
        </w:tabs>
        <w:kinsoku/>
        <w:wordWrap/>
        <w:overflowPunct/>
        <w:topLinePunct w:val="0"/>
        <w:bidi w:val="0"/>
        <w:snapToGrid/>
        <w:spacing w:line="560" w:lineRule="exact"/>
        <w:textAlignment w:val="auto"/>
        <w:rPr>
          <w:rFonts w:ascii="仿宋_GB2312" w:hAnsi="仿宋" w:eastAsia="仿宋_GB2312"/>
          <w:color w:val="auto"/>
          <w:spacing w:val="40"/>
          <w:kern w:val="0"/>
          <w:sz w:val="32"/>
          <w:szCs w:val="32"/>
          <w:highlight w:val="none"/>
        </w:rPr>
      </w:pPr>
      <w:r>
        <w:rPr>
          <w:rFonts w:hint="eastAsia" w:ascii="仿宋_GB2312" w:hAnsi="仿宋" w:eastAsia="仿宋_GB2312" w:cs="仿宋_GB2312"/>
          <w:color w:val="auto"/>
          <w:spacing w:val="40"/>
          <w:kern w:val="0"/>
          <w:sz w:val="32"/>
          <w:szCs w:val="32"/>
          <w:highlight w:val="none"/>
        </w:rPr>
        <w:t>四、财政拨款收支预算表</w:t>
      </w:r>
    </w:p>
    <w:p w14:paraId="47E472E0">
      <w:pPr>
        <w:keepNext w:val="0"/>
        <w:keepLines w:val="0"/>
        <w:pageBreakBefore w:val="0"/>
        <w:tabs>
          <w:tab w:val="center" w:pos="6979"/>
        </w:tabs>
        <w:kinsoku/>
        <w:wordWrap/>
        <w:overflowPunct/>
        <w:topLinePunct w:val="0"/>
        <w:bidi w:val="0"/>
        <w:snapToGrid/>
        <w:spacing w:line="560" w:lineRule="exact"/>
        <w:textAlignment w:val="auto"/>
        <w:rPr>
          <w:rFonts w:ascii="仿宋_GB2312" w:hAnsi="仿宋" w:eastAsia="仿宋_GB2312"/>
          <w:color w:val="auto"/>
          <w:spacing w:val="40"/>
          <w:kern w:val="0"/>
          <w:sz w:val="32"/>
          <w:szCs w:val="32"/>
          <w:highlight w:val="none"/>
        </w:rPr>
      </w:pPr>
      <w:r>
        <w:rPr>
          <w:rFonts w:hint="eastAsia" w:ascii="仿宋_GB2312" w:hAnsi="仿宋" w:eastAsia="仿宋_GB2312" w:cs="仿宋_GB2312"/>
          <w:color w:val="auto"/>
          <w:spacing w:val="40"/>
          <w:kern w:val="0"/>
          <w:sz w:val="32"/>
          <w:szCs w:val="32"/>
          <w:highlight w:val="none"/>
        </w:rPr>
        <w:t>五、一般公共预算财政拨款支出预算表</w:t>
      </w:r>
    </w:p>
    <w:p w14:paraId="542E15A8">
      <w:pPr>
        <w:keepNext w:val="0"/>
        <w:keepLines w:val="0"/>
        <w:pageBreakBefore w:val="0"/>
        <w:tabs>
          <w:tab w:val="center" w:pos="6979"/>
        </w:tabs>
        <w:kinsoku/>
        <w:wordWrap/>
        <w:overflowPunct/>
        <w:topLinePunct w:val="0"/>
        <w:bidi w:val="0"/>
        <w:snapToGrid/>
        <w:spacing w:line="560" w:lineRule="exact"/>
        <w:textAlignment w:val="auto"/>
        <w:rPr>
          <w:rFonts w:ascii="仿宋_GB2312" w:hAnsi="仿宋" w:eastAsia="仿宋_GB2312" w:cs="仿宋_GB2312"/>
          <w:color w:val="auto"/>
          <w:spacing w:val="40"/>
          <w:kern w:val="0"/>
          <w:sz w:val="32"/>
          <w:szCs w:val="32"/>
          <w:highlight w:val="none"/>
        </w:rPr>
      </w:pPr>
      <w:r>
        <w:rPr>
          <w:rFonts w:hint="eastAsia" w:ascii="仿宋_GB2312" w:hAnsi="仿宋" w:eastAsia="仿宋_GB2312" w:cs="仿宋_GB2312"/>
          <w:color w:val="auto"/>
          <w:spacing w:val="40"/>
          <w:kern w:val="0"/>
          <w:sz w:val="32"/>
          <w:szCs w:val="32"/>
          <w:highlight w:val="none"/>
        </w:rPr>
        <w:t>六、一般公共预算财政拨款基本支出预算表</w:t>
      </w:r>
    </w:p>
    <w:p w14:paraId="6DC4D0E7">
      <w:pPr>
        <w:keepNext w:val="0"/>
        <w:keepLines w:val="0"/>
        <w:pageBreakBefore w:val="0"/>
        <w:tabs>
          <w:tab w:val="center" w:pos="6979"/>
        </w:tabs>
        <w:kinsoku/>
        <w:wordWrap/>
        <w:overflowPunct/>
        <w:topLinePunct w:val="0"/>
        <w:bidi w:val="0"/>
        <w:snapToGrid/>
        <w:spacing w:line="560" w:lineRule="exact"/>
        <w:textAlignment w:val="auto"/>
        <w:rPr>
          <w:rFonts w:ascii="仿宋_GB2312" w:hAnsi="仿宋" w:eastAsia="仿宋_GB2312"/>
          <w:color w:val="auto"/>
          <w:spacing w:val="40"/>
          <w:kern w:val="0"/>
          <w:sz w:val="32"/>
          <w:szCs w:val="32"/>
          <w:highlight w:val="none"/>
        </w:rPr>
      </w:pPr>
      <w:r>
        <w:rPr>
          <w:rFonts w:hint="eastAsia" w:ascii="仿宋_GB2312" w:hAnsi="仿宋" w:eastAsia="仿宋_GB2312" w:cs="仿宋_GB2312"/>
          <w:color w:val="auto"/>
          <w:spacing w:val="40"/>
          <w:kern w:val="0"/>
          <w:sz w:val="32"/>
          <w:szCs w:val="32"/>
          <w:highlight w:val="none"/>
        </w:rPr>
        <w:t>七、政府性基金预算财政拨款支出预算表</w:t>
      </w:r>
    </w:p>
    <w:p w14:paraId="030EE44A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textAlignment w:val="auto"/>
        <w:rPr>
          <w:rFonts w:ascii="仿宋_GB2312" w:hAnsi="仿宋" w:eastAsia="仿宋_GB2312" w:cs="仿宋_GB2312"/>
          <w:color w:val="auto"/>
          <w:spacing w:val="40"/>
          <w:kern w:val="0"/>
          <w:sz w:val="32"/>
          <w:szCs w:val="32"/>
          <w:highlight w:val="none"/>
        </w:rPr>
      </w:pPr>
      <w:r>
        <w:rPr>
          <w:rFonts w:hint="eastAsia" w:ascii="仿宋_GB2312" w:hAnsi="仿宋" w:eastAsia="仿宋_GB2312" w:cs="仿宋_GB2312"/>
          <w:color w:val="auto"/>
          <w:spacing w:val="40"/>
          <w:kern w:val="0"/>
          <w:sz w:val="32"/>
          <w:szCs w:val="32"/>
          <w:highlight w:val="none"/>
        </w:rPr>
        <w:t>八、一般公共预算“三公经费”财政拨款支出预算表</w:t>
      </w:r>
    </w:p>
    <w:p w14:paraId="347AEB20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textAlignment w:val="auto"/>
        <w:rPr>
          <w:rFonts w:ascii="仿宋_GB2312" w:hAnsi="仿宋" w:eastAsia="仿宋_GB2312" w:cs="仿宋_GB2312"/>
          <w:color w:val="auto"/>
          <w:spacing w:val="40"/>
          <w:kern w:val="0"/>
          <w:sz w:val="32"/>
          <w:szCs w:val="32"/>
          <w:highlight w:val="none"/>
        </w:rPr>
      </w:pPr>
      <w:r>
        <w:rPr>
          <w:rFonts w:hint="eastAsia" w:ascii="仿宋_GB2312" w:hAnsi="仿宋" w:eastAsia="仿宋_GB2312" w:cs="仿宋_GB2312"/>
          <w:color w:val="auto"/>
          <w:spacing w:val="40"/>
          <w:kern w:val="0"/>
          <w:sz w:val="32"/>
          <w:szCs w:val="32"/>
          <w:highlight w:val="none"/>
        </w:rPr>
        <w:t>九、政府采购预算明细表</w:t>
      </w:r>
    </w:p>
    <w:p w14:paraId="6F09465D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textAlignment w:val="auto"/>
        <w:rPr>
          <w:rFonts w:ascii="仿宋_GB2312" w:hAnsi="仿宋" w:eastAsia="仿宋_GB2312" w:cs="仿宋_GB2312"/>
          <w:color w:val="auto"/>
          <w:spacing w:val="40"/>
          <w:kern w:val="0"/>
          <w:sz w:val="32"/>
          <w:szCs w:val="32"/>
          <w:highlight w:val="none"/>
        </w:rPr>
      </w:pPr>
      <w:r>
        <w:rPr>
          <w:rFonts w:hint="eastAsia" w:ascii="仿宋_GB2312" w:hAnsi="仿宋" w:eastAsia="仿宋_GB2312" w:cs="仿宋_GB2312"/>
          <w:color w:val="auto"/>
          <w:spacing w:val="40"/>
          <w:kern w:val="0"/>
          <w:sz w:val="32"/>
          <w:szCs w:val="32"/>
          <w:highlight w:val="none"/>
        </w:rPr>
        <w:t>十、项目支出绩效目标申报表</w:t>
      </w:r>
    </w:p>
    <w:p w14:paraId="3107D706"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textAlignment w:val="auto"/>
        <w:rPr>
          <w:rFonts w:ascii="仿宋_GB2312" w:hAnsi="仿宋" w:eastAsia="仿宋_GB2312" w:cs="仿宋_GB2312"/>
          <w:color w:val="auto"/>
          <w:spacing w:val="40"/>
          <w:kern w:val="0"/>
          <w:sz w:val="32"/>
          <w:szCs w:val="32"/>
          <w:highlight w:val="none"/>
        </w:rPr>
      </w:pPr>
      <w:r>
        <w:rPr>
          <w:rFonts w:hint="eastAsia" w:ascii="仿宋_GB2312" w:hAnsi="仿宋" w:eastAsia="仿宋_GB2312" w:cs="仿宋_GB2312"/>
          <w:color w:val="auto"/>
          <w:spacing w:val="40"/>
          <w:kern w:val="0"/>
          <w:sz w:val="32"/>
          <w:szCs w:val="32"/>
          <w:highlight w:val="none"/>
        </w:rPr>
        <w:t>十一、政府购买服务预算财政拨款明细表</w:t>
      </w:r>
    </w:p>
    <w:p w14:paraId="6A82DCA9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textAlignment w:val="auto"/>
        <w:rPr>
          <w:rFonts w:ascii="仿宋_GB2312" w:hAnsi="仿宋" w:eastAsia="仿宋_GB2312"/>
          <w:b/>
          <w:color w:val="auto"/>
          <w:spacing w:val="40"/>
          <w:kern w:val="0"/>
          <w:sz w:val="32"/>
          <w:szCs w:val="32"/>
          <w:highlight w:val="none"/>
        </w:rPr>
      </w:pPr>
      <w:r>
        <w:rPr>
          <w:rFonts w:hint="eastAsia" w:ascii="仿宋_GB2312" w:hAnsi="仿宋" w:eastAsia="仿宋_GB2312" w:cs="仿宋_GB2312"/>
          <w:b/>
          <w:color w:val="auto"/>
          <w:spacing w:val="40"/>
          <w:kern w:val="0"/>
          <w:sz w:val="32"/>
          <w:szCs w:val="32"/>
          <w:highlight w:val="none"/>
        </w:rPr>
        <w:t>第二部分 202</w:t>
      </w:r>
      <w:r>
        <w:rPr>
          <w:rFonts w:hint="eastAsia" w:ascii="仿宋_GB2312" w:hAnsi="仿宋" w:eastAsia="仿宋_GB2312" w:cs="仿宋_GB2312"/>
          <w:b/>
          <w:color w:val="auto"/>
          <w:spacing w:val="40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" w:eastAsia="仿宋_GB2312" w:cs="仿宋_GB2312"/>
          <w:b/>
          <w:color w:val="auto"/>
          <w:spacing w:val="40"/>
          <w:kern w:val="0"/>
          <w:sz w:val="32"/>
          <w:szCs w:val="32"/>
          <w:highlight w:val="none"/>
        </w:rPr>
        <w:t>年度部门预算报表说明</w:t>
      </w:r>
    </w:p>
    <w:p w14:paraId="516FAED0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textAlignment w:val="auto"/>
        <w:rPr>
          <w:color w:val="auto"/>
          <w:highlight w:val="none"/>
        </w:rPr>
      </w:pPr>
    </w:p>
    <w:p w14:paraId="2808A872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textAlignment w:val="auto"/>
        <w:rPr>
          <w:color w:val="auto"/>
          <w:highlight w:val="none"/>
        </w:rPr>
      </w:pPr>
      <w:r>
        <w:rPr>
          <w:color w:val="auto"/>
          <w:highlight w:val="none"/>
        </w:rPr>
        <w:br w:type="page"/>
      </w:r>
    </w:p>
    <w:p w14:paraId="28F4C5CA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jc w:val="center"/>
        <w:textAlignment w:val="auto"/>
        <w:rPr>
          <w:rFonts w:ascii="方正小标宋简体" w:hAnsi="宋体" w:eastAsia="方正小标宋简体" w:cs="宋体"/>
          <w:bCs/>
          <w:color w:val="auto"/>
          <w:kern w:val="0"/>
          <w:sz w:val="44"/>
          <w:szCs w:val="44"/>
          <w:highlight w:val="none"/>
        </w:rPr>
      </w:pPr>
      <w:r>
        <w:rPr>
          <w:rFonts w:hint="eastAsia" w:ascii="方正小标宋简体" w:hAnsi="宋体" w:eastAsia="方正小标宋简体" w:cs="宋体"/>
          <w:bCs/>
          <w:color w:val="auto"/>
          <w:kern w:val="0"/>
          <w:sz w:val="44"/>
          <w:szCs w:val="44"/>
          <w:highlight w:val="none"/>
        </w:rPr>
        <w:t>第一部分</w:t>
      </w:r>
    </w:p>
    <w:p w14:paraId="06A679F3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jc w:val="center"/>
        <w:textAlignment w:val="auto"/>
        <w:rPr>
          <w:rFonts w:ascii="方正小标宋简体" w:hAnsi="文星标宋" w:eastAsia="方正小标宋简体" w:cs="Tahoma"/>
          <w:color w:val="auto"/>
          <w:sz w:val="44"/>
          <w:szCs w:val="44"/>
          <w:highlight w:val="none"/>
        </w:rPr>
      </w:pPr>
      <w:r>
        <w:rPr>
          <w:rFonts w:hint="eastAsia" w:ascii="方正小标宋简体" w:hAnsi="文星标宋" w:eastAsia="方正小标宋简体" w:cs="Tahoma"/>
          <w:color w:val="auto"/>
          <w:sz w:val="44"/>
          <w:szCs w:val="44"/>
          <w:highlight w:val="none"/>
        </w:rPr>
        <w:t>大兴区疾病预防控制中心</w:t>
      </w:r>
    </w:p>
    <w:p w14:paraId="1794EA0B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jc w:val="center"/>
        <w:textAlignment w:val="auto"/>
        <w:rPr>
          <w:rFonts w:ascii="方正小标宋简体" w:hAnsi="宋体" w:eastAsia="方正小标宋简体" w:cs="宋体"/>
          <w:bCs/>
          <w:color w:val="auto"/>
          <w:kern w:val="0"/>
          <w:sz w:val="44"/>
          <w:szCs w:val="44"/>
          <w:highlight w:val="none"/>
        </w:rPr>
      </w:pPr>
      <w:r>
        <w:rPr>
          <w:rFonts w:hint="eastAsia" w:ascii="方正小标宋简体" w:hAnsi="宋体" w:eastAsia="方正小标宋简体" w:cs="宋体"/>
          <w:bCs/>
          <w:color w:val="auto"/>
          <w:kern w:val="0"/>
          <w:sz w:val="44"/>
          <w:szCs w:val="44"/>
          <w:highlight w:val="none"/>
        </w:rPr>
        <w:t>预算公开套表</w:t>
      </w:r>
    </w:p>
    <w:p w14:paraId="13731216">
      <w:pPr>
        <w:keepNext w:val="0"/>
        <w:keepLines w:val="0"/>
        <w:pageBreakBefore w:val="0"/>
        <w:tabs>
          <w:tab w:val="center" w:pos="6979"/>
        </w:tabs>
        <w:kinsoku/>
        <w:wordWrap/>
        <w:overflowPunct/>
        <w:topLinePunct w:val="0"/>
        <w:bidi w:val="0"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 w14:paraId="4729384A">
      <w:pPr>
        <w:keepNext w:val="0"/>
        <w:keepLines w:val="0"/>
        <w:pageBreakBefore w:val="0"/>
        <w:tabs>
          <w:tab w:val="center" w:pos="6979"/>
        </w:tabs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具体内容，详见附件1至附件11。</w:t>
      </w:r>
    </w:p>
    <w:p w14:paraId="23A1155C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jc w:val="both"/>
        <w:textAlignment w:val="auto"/>
        <w:rPr>
          <w:rFonts w:ascii="方正小标宋简体" w:hAnsi="宋体" w:eastAsia="方正小标宋简体" w:cs="宋体"/>
          <w:bCs/>
          <w:color w:val="auto"/>
          <w:kern w:val="0"/>
          <w:sz w:val="44"/>
          <w:szCs w:val="44"/>
          <w:highlight w:val="none"/>
        </w:rPr>
      </w:pPr>
    </w:p>
    <w:p w14:paraId="5EC6AA14">
      <w:pPr>
        <w:pStyle w:val="2"/>
      </w:pPr>
    </w:p>
    <w:p w14:paraId="491F099E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jc w:val="center"/>
        <w:textAlignment w:val="auto"/>
        <w:rPr>
          <w:rFonts w:ascii="方正小标宋简体" w:hAnsi="宋体" w:eastAsia="方正小标宋简体" w:cs="宋体"/>
          <w:bCs/>
          <w:color w:val="auto"/>
          <w:kern w:val="0"/>
          <w:sz w:val="44"/>
          <w:szCs w:val="44"/>
          <w:highlight w:val="none"/>
        </w:rPr>
      </w:pPr>
      <w:r>
        <w:rPr>
          <w:rFonts w:hint="eastAsia" w:ascii="方正小标宋简体" w:hAnsi="宋体" w:eastAsia="方正小标宋简体" w:cs="宋体"/>
          <w:bCs/>
          <w:color w:val="auto"/>
          <w:kern w:val="0"/>
          <w:sz w:val="44"/>
          <w:szCs w:val="44"/>
          <w:highlight w:val="none"/>
        </w:rPr>
        <w:t xml:space="preserve"> 第二部分</w:t>
      </w:r>
    </w:p>
    <w:p w14:paraId="722DD540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jc w:val="center"/>
        <w:textAlignment w:val="auto"/>
        <w:rPr>
          <w:rFonts w:ascii="方正小标宋简体" w:hAnsi="文星标宋" w:eastAsia="方正小标宋简体" w:cs="Tahoma"/>
          <w:color w:val="auto"/>
          <w:sz w:val="44"/>
          <w:szCs w:val="44"/>
          <w:highlight w:val="none"/>
        </w:rPr>
      </w:pPr>
      <w:r>
        <w:rPr>
          <w:rFonts w:hint="eastAsia" w:ascii="方正小标宋简体" w:hAnsi="文星标宋" w:eastAsia="方正小标宋简体" w:cs="Tahoma"/>
          <w:color w:val="auto"/>
          <w:sz w:val="44"/>
          <w:szCs w:val="44"/>
          <w:highlight w:val="none"/>
        </w:rPr>
        <w:t>大兴区疾病预防控制中心</w:t>
      </w:r>
    </w:p>
    <w:p w14:paraId="3F13E312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jc w:val="center"/>
        <w:textAlignment w:val="auto"/>
        <w:rPr>
          <w:rFonts w:ascii="方正小标宋简体" w:hAnsi="文星标宋" w:eastAsia="方正小标宋简体" w:cs="Tahoma"/>
          <w:color w:val="auto"/>
          <w:sz w:val="44"/>
          <w:szCs w:val="44"/>
          <w:highlight w:val="none"/>
        </w:rPr>
      </w:pPr>
      <w:r>
        <w:rPr>
          <w:rFonts w:hint="eastAsia" w:ascii="方正小标宋简体" w:hAnsi="文星标宋" w:eastAsia="方正小标宋简体" w:cs="Tahoma"/>
          <w:color w:val="auto"/>
          <w:sz w:val="44"/>
          <w:szCs w:val="44"/>
          <w:highlight w:val="none"/>
        </w:rPr>
        <w:t>202</w:t>
      </w:r>
      <w:r>
        <w:rPr>
          <w:rFonts w:hint="eastAsia" w:ascii="方正小标宋简体" w:hAnsi="文星标宋" w:eastAsia="方正小标宋简体" w:cs="Tahoma"/>
          <w:color w:val="auto"/>
          <w:sz w:val="44"/>
          <w:szCs w:val="44"/>
          <w:highlight w:val="none"/>
          <w:lang w:val="en-US" w:eastAsia="zh-CN"/>
        </w:rPr>
        <w:t>5</w:t>
      </w:r>
      <w:r>
        <w:rPr>
          <w:rFonts w:hint="eastAsia" w:ascii="方正小标宋简体" w:hAnsi="文星标宋" w:eastAsia="方正小标宋简体" w:cs="Tahoma"/>
          <w:color w:val="auto"/>
          <w:sz w:val="44"/>
          <w:szCs w:val="44"/>
          <w:highlight w:val="none"/>
        </w:rPr>
        <w:t>年预算情况说明</w:t>
      </w:r>
    </w:p>
    <w:p w14:paraId="3B95F31B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textAlignment w:val="auto"/>
        <w:rPr>
          <w:rFonts w:ascii="仿宋_GB2312" w:hAnsi="Tahoma" w:eastAsia="仿宋_GB2312" w:cs="Tahoma"/>
          <w:color w:val="auto"/>
          <w:sz w:val="44"/>
          <w:szCs w:val="44"/>
          <w:highlight w:val="none"/>
        </w:rPr>
      </w:pPr>
    </w:p>
    <w:p w14:paraId="31921C5C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ascii="黑体" w:hAnsi="文星标宋" w:eastAsia="黑体" w:cs="Tahoma"/>
          <w:color w:val="auto"/>
          <w:sz w:val="32"/>
          <w:szCs w:val="32"/>
          <w:highlight w:val="none"/>
        </w:rPr>
      </w:pPr>
      <w:r>
        <w:rPr>
          <w:rFonts w:hint="eastAsia" w:ascii="黑体" w:hAnsi="文星标宋" w:eastAsia="黑体" w:cs="Tahoma"/>
          <w:color w:val="auto"/>
          <w:sz w:val="32"/>
          <w:szCs w:val="32"/>
          <w:highlight w:val="none"/>
        </w:rPr>
        <w:t>一、部门基本情况</w:t>
      </w:r>
    </w:p>
    <w:p w14:paraId="7584FFF0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left="359" w:leftChars="171" w:firstLine="320" w:firstLineChars="100"/>
        <w:textAlignment w:val="auto"/>
        <w:rPr>
          <w:rFonts w:hint="eastAsia" w:ascii="方正楷体_GB2312" w:hAnsi="方正楷体_GB2312" w:eastAsia="方正楷体_GB2312" w:cs="方正楷体_GB2312"/>
          <w:color w:val="auto"/>
          <w:sz w:val="32"/>
          <w:szCs w:val="32"/>
          <w:highlight w:val="none"/>
        </w:rPr>
      </w:pPr>
      <w:r>
        <w:rPr>
          <w:rFonts w:hint="eastAsia" w:ascii="方正楷体_GB2312" w:hAnsi="方正楷体_GB2312" w:eastAsia="方正楷体_GB2312" w:cs="方正楷体_GB2312"/>
          <w:color w:val="auto"/>
          <w:sz w:val="32"/>
          <w:szCs w:val="32"/>
          <w:highlight w:val="none"/>
        </w:rPr>
        <w:t>（一）主要职责</w:t>
      </w:r>
    </w:p>
    <w:p w14:paraId="1BD9DE54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大兴区疾病预防控制中心主要</w:t>
      </w:r>
      <w:r>
        <w:rPr>
          <w:rFonts w:hint="eastAsia" w:ascii="仿宋_GB2312" w:eastAsia="仿宋_GB2312" w:cs="仿宋_GB2312"/>
          <w:color w:val="auto"/>
          <w:sz w:val="32"/>
          <w:szCs w:val="32"/>
          <w:highlight w:val="none"/>
        </w:rPr>
        <w:t>承担辖区内传染病、地方病、寄生虫病、非传染性疾病预防与控制；突发公共卫生事件和灾害疫情应急处置；疫情及健康相关因素信息管理，开展疾病监测，收集、报告、分析和评价疾病与健康危害因素等公共卫生信息；健康危害因素监测与干预，开展食源性、职业性、放射性、环境性等疾病的监测评价和流行病学调查和检测，开展公众健康和营养状况调查与评价，提出干预策略与措施；疾病病原生物检测、鉴定和物理、化学因子检测、评价；健康教育与健康促进，对公众进行健康指导和不良健康行为干预；疾病预防控制技术指导与应用研究等。</w:t>
      </w:r>
    </w:p>
    <w:p w14:paraId="5F9512AB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方正楷体_GB2312" w:hAnsi="方正楷体_GB2312" w:eastAsia="方正楷体_GB2312" w:cs="方正楷体_GB2312"/>
          <w:color w:val="auto"/>
          <w:sz w:val="32"/>
          <w:szCs w:val="32"/>
          <w:highlight w:val="none"/>
        </w:rPr>
      </w:pPr>
      <w:r>
        <w:rPr>
          <w:rFonts w:hint="eastAsia" w:ascii="方正楷体_GB2312" w:hAnsi="方正楷体_GB2312" w:eastAsia="方正楷体_GB2312" w:cs="方正楷体_GB2312"/>
          <w:color w:val="auto"/>
          <w:sz w:val="32"/>
          <w:szCs w:val="32"/>
          <w:highlight w:val="none"/>
        </w:rPr>
        <w:t>机构设置情况</w:t>
      </w:r>
    </w:p>
    <w:p w14:paraId="2E3AF67F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大兴区疾病预防控制中心</w:t>
      </w:r>
      <w:r>
        <w:rPr>
          <w:rFonts w:hint="eastAsia" w:ascii="仿宋_GB2312" w:hAnsi="宋体" w:eastAsia="仿宋_GB2312"/>
          <w:color w:val="auto"/>
          <w:sz w:val="32"/>
          <w:szCs w:val="32"/>
          <w:highlight w:val="none"/>
        </w:rPr>
        <w:t>内设科室共18个。包括综合办公室、质量管理科、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财务科、总务科、传染病地方病防制科、结核病防制科、消毒与有害生物防制科、性病与艾滋病控制科、营养与食品卫生科、环境卫生科、职业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与放射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卫生科、健康教育科、学校卫生科、慢性病防治科、微生物检验科、理化检验科、免疫规划科、信息统计科。</w:t>
      </w:r>
    </w:p>
    <w:p w14:paraId="04055039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eastAsia" w:ascii="方正楷体_GB2312" w:hAnsi="方正楷体_GB2312" w:eastAsia="方正楷体_GB2312" w:cs="方正楷体_GB2312"/>
          <w:color w:val="auto"/>
          <w:sz w:val="32"/>
          <w:szCs w:val="32"/>
          <w:highlight w:val="none"/>
        </w:rPr>
      </w:pPr>
      <w:r>
        <w:rPr>
          <w:rFonts w:hint="eastAsia" w:ascii="方正楷体_GB2312" w:hAnsi="方正楷体_GB2312" w:eastAsia="方正楷体_GB2312" w:cs="方正楷体_GB2312"/>
          <w:color w:val="auto"/>
          <w:sz w:val="32"/>
          <w:szCs w:val="32"/>
          <w:highlight w:val="none"/>
        </w:rPr>
        <w:t>人员情况</w:t>
      </w:r>
    </w:p>
    <w:p w14:paraId="18991214"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auto"/>
          <w:kern w:val="2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以202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年8月3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日时点人数编制202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年预算，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</w:rPr>
        <w:t>中心编制人数305人，实有在编在岗职工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>151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</w:rPr>
        <w:t>人，退休职工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>49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</w:rPr>
        <w:t>人，临时辅助用工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</w:rPr>
        <w:t>人。</w:t>
      </w:r>
    </w:p>
    <w:p w14:paraId="137D4902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left="359" w:leftChars="171" w:firstLine="320" w:firstLineChars="100"/>
        <w:textAlignment w:val="auto"/>
        <w:rPr>
          <w:rFonts w:ascii="黑体" w:hAnsi="文星标宋" w:eastAsia="黑体" w:cs="Tahoma"/>
          <w:color w:val="auto"/>
          <w:sz w:val="32"/>
          <w:szCs w:val="32"/>
          <w:highlight w:val="none"/>
        </w:rPr>
      </w:pPr>
      <w:r>
        <w:rPr>
          <w:rFonts w:hint="eastAsia" w:ascii="黑体" w:hAnsi="文星标宋" w:eastAsia="黑体" w:cs="Tahoma"/>
          <w:color w:val="auto"/>
          <w:sz w:val="32"/>
          <w:szCs w:val="32"/>
          <w:highlight w:val="none"/>
        </w:rPr>
        <w:t>二、部门预算单位构成</w:t>
      </w:r>
    </w:p>
    <w:p w14:paraId="516BE7DD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从预算单位构成看，大兴区疾病预防控制中心部门预算只包含本单位。</w:t>
      </w:r>
    </w:p>
    <w:p w14:paraId="6FDEE048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文星标宋" w:eastAsia="黑体" w:cs="Tahoma"/>
          <w:color w:val="auto"/>
          <w:sz w:val="32"/>
          <w:szCs w:val="32"/>
          <w:highlight w:val="none"/>
        </w:rPr>
        <w:t>三、</w:t>
      </w:r>
      <w:r>
        <w:rPr>
          <w:rFonts w:hint="eastAsia" w:ascii="黑体" w:hAnsi="文星标宋" w:eastAsia="黑体" w:cs="宋体"/>
          <w:bCs/>
          <w:color w:val="auto"/>
          <w:kern w:val="0"/>
          <w:sz w:val="32"/>
          <w:szCs w:val="32"/>
          <w:highlight w:val="none"/>
        </w:rPr>
        <w:t>大兴区疾病预防控制中心202</w:t>
      </w:r>
      <w:r>
        <w:rPr>
          <w:rFonts w:hint="eastAsia" w:ascii="黑体" w:hAnsi="文星标宋" w:eastAsia="黑体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黑体" w:hAnsi="文星标宋" w:eastAsia="黑体" w:cs="宋体"/>
          <w:bCs/>
          <w:color w:val="auto"/>
          <w:kern w:val="0"/>
          <w:sz w:val="32"/>
          <w:szCs w:val="32"/>
          <w:highlight w:val="none"/>
        </w:rPr>
        <w:t>年收支预算总表的说明</w:t>
      </w:r>
    </w:p>
    <w:p w14:paraId="354BF8C2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方正楷体_GB2312" w:hAnsi="方正楷体_GB2312" w:eastAsia="方正楷体_GB2312" w:cs="方正楷体_GB2312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方正楷体_GB2312" w:hAnsi="方正楷体_GB2312" w:eastAsia="方正楷体_GB2312" w:cs="方正楷体_GB2312"/>
          <w:bCs/>
          <w:color w:val="auto"/>
          <w:kern w:val="0"/>
          <w:sz w:val="32"/>
          <w:szCs w:val="32"/>
          <w:highlight w:val="none"/>
        </w:rPr>
        <w:t>收入构成、金额、增减变化及原因</w:t>
      </w:r>
    </w:p>
    <w:p w14:paraId="159C3F10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40"/>
        <w:jc w:val="left"/>
        <w:textAlignment w:val="auto"/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收入总计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25777.01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万元，包括：一般公共预算财政拨款收入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5744.06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万元，事业收入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20000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万元，其他收入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32.95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万元。收入增减变化，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2025年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预算比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2024年预算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31342.23万元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eastAsia="zh-CN"/>
        </w:rPr>
        <w:t>减少了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5565.22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万元，其中：一般公共预算财政拨款收入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eastAsia="zh-CN"/>
        </w:rPr>
        <w:t>减少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407.10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万元，事业收入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eastAsia="zh-CN"/>
        </w:rPr>
        <w:t>减少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5000万元，其他收入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eastAsia="zh-CN"/>
        </w:rPr>
        <w:t>减少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158.12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万元。原因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eastAsia="zh-CN"/>
        </w:rPr>
        <w:t>为中心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人员增减变化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eastAsia="zh-CN"/>
        </w:rPr>
        <w:t>、事业收入减少、项目预算减少等。</w:t>
      </w:r>
    </w:p>
    <w:p w14:paraId="4C262FB8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40"/>
        <w:jc w:val="left"/>
        <w:textAlignment w:val="auto"/>
        <w:rPr>
          <w:rFonts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（</w:t>
      </w:r>
      <w:r>
        <w:rPr>
          <w:rFonts w:hint="eastAsia" w:ascii="方正楷体_GB2312" w:hAnsi="方正楷体_GB2312" w:eastAsia="方正楷体_GB2312" w:cs="方正楷体_GB2312"/>
          <w:bCs/>
          <w:color w:val="auto"/>
          <w:kern w:val="0"/>
          <w:sz w:val="32"/>
          <w:szCs w:val="32"/>
          <w:highlight w:val="none"/>
        </w:rPr>
        <w:t>二）支出构成、金额、增减变化及原因</w:t>
      </w:r>
    </w:p>
    <w:p w14:paraId="2063264E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40"/>
        <w:jc w:val="left"/>
        <w:textAlignment w:val="auto"/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支出总计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25777.01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万元，包括：社会保障和就业支出562.84万元，卫生健康支出25214.16万元。支出增减变化，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2025年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预算比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2024年预算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31342.23万元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eastAsia="zh-CN"/>
        </w:rPr>
        <w:t>减少了</w:t>
      </w:r>
      <w:r>
        <w:rPr>
          <w:rFonts w:hint="eastAsia" w:ascii="仿宋_GB2312" w:hAnsi="文星标宋" w:eastAsia="仿宋_GB2312" w:cs="宋体"/>
          <w:b w:val="0"/>
          <w:bCs/>
          <w:color w:val="auto"/>
          <w:kern w:val="0"/>
          <w:sz w:val="32"/>
          <w:szCs w:val="32"/>
          <w:highlight w:val="none"/>
          <w:lang w:val="en-US" w:eastAsia="zh-CN"/>
        </w:rPr>
        <w:t>5565.22</w:t>
      </w:r>
      <w:r>
        <w:rPr>
          <w:rFonts w:hint="eastAsia" w:ascii="仿宋_GB2312" w:hAnsi="文星标宋" w:eastAsia="仿宋_GB2312" w:cs="宋体"/>
          <w:b w:val="0"/>
          <w:bCs/>
          <w:color w:val="auto"/>
          <w:kern w:val="0"/>
          <w:sz w:val="32"/>
          <w:szCs w:val="32"/>
          <w:highlight w:val="none"/>
        </w:rPr>
        <w:t>万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元。原因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eastAsia="zh-CN"/>
        </w:rPr>
        <w:t>为中心人员增减变化、事业收入减少、项目预算减少等。</w:t>
      </w:r>
    </w:p>
    <w:p w14:paraId="30E70AC6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40"/>
        <w:jc w:val="left"/>
        <w:textAlignment w:val="auto"/>
        <w:rPr>
          <w:rFonts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文星标宋" w:eastAsia="黑体" w:cs="Tahoma"/>
          <w:color w:val="auto"/>
          <w:sz w:val="32"/>
          <w:szCs w:val="32"/>
          <w:highlight w:val="none"/>
        </w:rPr>
        <w:t>四、</w:t>
      </w:r>
      <w:r>
        <w:rPr>
          <w:rFonts w:hint="eastAsia" w:ascii="黑体" w:hAnsi="文星标宋" w:eastAsia="黑体" w:cs="宋体"/>
          <w:bCs/>
          <w:color w:val="auto"/>
          <w:kern w:val="0"/>
          <w:sz w:val="32"/>
          <w:szCs w:val="32"/>
          <w:highlight w:val="none"/>
        </w:rPr>
        <w:t>大兴区疾病预防控制中心202</w:t>
      </w:r>
      <w:r>
        <w:rPr>
          <w:rFonts w:hint="eastAsia" w:ascii="黑体" w:hAnsi="文星标宋" w:eastAsia="黑体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黑体" w:hAnsi="文星标宋" w:eastAsia="黑体" w:cs="宋体"/>
          <w:bCs/>
          <w:color w:val="auto"/>
          <w:kern w:val="0"/>
          <w:sz w:val="32"/>
          <w:szCs w:val="32"/>
          <w:highlight w:val="none"/>
        </w:rPr>
        <w:t>年收入预算表的</w:t>
      </w:r>
      <w:r>
        <w:rPr>
          <w:rFonts w:hint="eastAsia" w:ascii="黑体" w:hAnsi="文星标宋" w:eastAsia="黑体" w:cs="Tahoma"/>
          <w:color w:val="auto"/>
          <w:sz w:val="32"/>
          <w:szCs w:val="32"/>
          <w:highlight w:val="none"/>
        </w:rPr>
        <w:t>说明</w:t>
      </w:r>
    </w:p>
    <w:p w14:paraId="30FFFA28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收入合计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25777.01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万元。其中：</w:t>
      </w:r>
    </w:p>
    <w:p w14:paraId="7881B00A"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一般公共预算财政拨款收入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5744.06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万元。包括：</w:t>
      </w:r>
    </w:p>
    <w:p w14:paraId="1D0FCBEC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1.卫生健康支出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5181.21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万元；</w:t>
      </w:r>
    </w:p>
    <w:p w14:paraId="00DB43EA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jc w:val="left"/>
        <w:textAlignment w:val="auto"/>
        <w:rPr>
          <w:rFonts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 xml:space="preserve">    2.社会保障和就业支出562.84万元。</w:t>
      </w:r>
    </w:p>
    <w:p w14:paraId="19F58981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40"/>
        <w:jc w:val="left"/>
        <w:textAlignment w:val="auto"/>
        <w:rPr>
          <w:rFonts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（二）事业收入2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000万元。均为卫生健康支出。</w:t>
      </w:r>
    </w:p>
    <w:p w14:paraId="16B6AB22"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after="0" w:line="560" w:lineRule="exact"/>
        <w:ind w:firstLine="640"/>
        <w:textAlignment w:val="auto"/>
        <w:rPr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（三）其他收入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32.95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万元。均为卫生健康支出。</w:t>
      </w:r>
    </w:p>
    <w:p w14:paraId="5ABA8532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黑体" w:hAnsi="文星标宋" w:eastAsia="黑体" w:cs="Tahoma"/>
          <w:color w:val="auto"/>
          <w:sz w:val="32"/>
          <w:szCs w:val="32"/>
          <w:highlight w:val="none"/>
        </w:rPr>
      </w:pPr>
      <w:r>
        <w:rPr>
          <w:rFonts w:hint="eastAsia" w:ascii="黑体" w:hAnsi="文星标宋" w:eastAsia="黑体" w:cs="Tahoma"/>
          <w:color w:val="auto"/>
          <w:sz w:val="32"/>
          <w:szCs w:val="32"/>
          <w:highlight w:val="none"/>
        </w:rPr>
        <w:t>五、</w:t>
      </w:r>
      <w:r>
        <w:rPr>
          <w:rFonts w:hint="eastAsia" w:ascii="黑体" w:hAnsi="文星标宋" w:eastAsia="黑体" w:cs="宋体"/>
          <w:bCs/>
          <w:color w:val="auto"/>
          <w:kern w:val="0"/>
          <w:sz w:val="32"/>
          <w:szCs w:val="32"/>
          <w:highlight w:val="none"/>
        </w:rPr>
        <w:t>大兴区疾病预防控制中心202</w:t>
      </w:r>
      <w:r>
        <w:rPr>
          <w:rFonts w:hint="eastAsia" w:ascii="黑体" w:hAnsi="文星标宋" w:eastAsia="黑体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黑体" w:hAnsi="文星标宋" w:eastAsia="黑体" w:cs="宋体"/>
          <w:bCs/>
          <w:color w:val="auto"/>
          <w:kern w:val="0"/>
          <w:sz w:val="32"/>
          <w:szCs w:val="32"/>
          <w:highlight w:val="none"/>
        </w:rPr>
        <w:t>年支出预算表</w:t>
      </w:r>
      <w:r>
        <w:rPr>
          <w:rFonts w:hint="eastAsia" w:ascii="黑体" w:hAnsi="文星标宋" w:eastAsia="黑体" w:cs="Tahoma"/>
          <w:color w:val="auto"/>
          <w:sz w:val="32"/>
          <w:szCs w:val="32"/>
          <w:highlight w:val="none"/>
        </w:rPr>
        <w:t>的说明</w:t>
      </w:r>
    </w:p>
    <w:p w14:paraId="77577A08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支出合计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25777.01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万元。其中：</w:t>
      </w:r>
    </w:p>
    <w:p w14:paraId="126525FD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（一）基本支出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24788.51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万元。包括:</w:t>
      </w:r>
    </w:p>
    <w:p w14:paraId="4D6B35B7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1.社会保障和就业支出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562.26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万元；</w:t>
      </w:r>
    </w:p>
    <w:p w14:paraId="2EE1FCEC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2.卫生健康支出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24226.25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万元。</w:t>
      </w:r>
    </w:p>
    <w:p w14:paraId="7B912206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（二）项目支出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988.50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万元。包括：</w:t>
      </w:r>
    </w:p>
    <w:p w14:paraId="7BB75AE6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1.社会保障和就业支出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0.59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万元；</w:t>
      </w:r>
    </w:p>
    <w:p w14:paraId="780B7D0E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2.卫生健康支出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987.91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万元。</w:t>
      </w:r>
    </w:p>
    <w:p w14:paraId="1AC6153C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文星标宋" w:eastAsia="黑体" w:cs="Tahoma"/>
          <w:color w:val="auto"/>
          <w:sz w:val="32"/>
          <w:szCs w:val="32"/>
          <w:highlight w:val="none"/>
        </w:rPr>
        <w:t>六、</w:t>
      </w:r>
      <w:r>
        <w:rPr>
          <w:rFonts w:hint="eastAsia" w:ascii="黑体" w:hAnsi="文星标宋" w:eastAsia="黑体" w:cs="宋体"/>
          <w:bCs/>
          <w:color w:val="auto"/>
          <w:kern w:val="0"/>
          <w:sz w:val="32"/>
          <w:szCs w:val="32"/>
          <w:highlight w:val="none"/>
        </w:rPr>
        <w:t>大兴区疾病预防控制中心202</w:t>
      </w:r>
      <w:r>
        <w:rPr>
          <w:rFonts w:hint="eastAsia" w:ascii="黑体" w:hAnsi="文星标宋" w:eastAsia="黑体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黑体" w:hAnsi="文星标宋" w:eastAsia="黑体" w:cs="宋体"/>
          <w:bCs/>
          <w:color w:val="auto"/>
          <w:kern w:val="0"/>
          <w:sz w:val="32"/>
          <w:szCs w:val="32"/>
          <w:highlight w:val="none"/>
        </w:rPr>
        <w:t>年财政拨款收支预算表</w:t>
      </w:r>
      <w:r>
        <w:rPr>
          <w:rFonts w:hint="eastAsia" w:ascii="黑体" w:hAnsi="文星标宋" w:eastAsia="黑体" w:cs="Tahoma"/>
          <w:color w:val="auto"/>
          <w:sz w:val="32"/>
          <w:szCs w:val="32"/>
          <w:highlight w:val="none"/>
        </w:rPr>
        <w:t>的说明</w:t>
      </w:r>
    </w:p>
    <w:p w14:paraId="47CF4976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（一）收入总计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5744.06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万元。包括：</w:t>
      </w:r>
    </w:p>
    <w:p w14:paraId="30A67E88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1.本年收入一般公共预算拨款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5744.06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万元；</w:t>
      </w:r>
    </w:p>
    <w:p w14:paraId="65FA9C7A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2.上年结转一般公共预算拨款0万元。</w:t>
      </w:r>
    </w:p>
    <w:p w14:paraId="2FB7CF89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（二）支出总计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5744.06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万元，包括：</w:t>
      </w:r>
    </w:p>
    <w:p w14:paraId="63D4750F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1.社会保障和就业支出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562.84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万元；</w:t>
      </w:r>
    </w:p>
    <w:p w14:paraId="3578DA03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2.卫生健康支出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5181.21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万元；</w:t>
      </w:r>
    </w:p>
    <w:p w14:paraId="34DBB402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黑体" w:hAnsi="文星标宋" w:eastAsia="黑体" w:cs="Tahoma"/>
          <w:color w:val="auto"/>
          <w:sz w:val="32"/>
          <w:szCs w:val="32"/>
          <w:highlight w:val="none"/>
        </w:rPr>
      </w:pPr>
      <w:r>
        <w:rPr>
          <w:rFonts w:hint="eastAsia" w:ascii="黑体" w:hAnsi="文星标宋" w:eastAsia="黑体" w:cs="Tahoma"/>
          <w:color w:val="auto"/>
          <w:sz w:val="32"/>
          <w:szCs w:val="32"/>
          <w:highlight w:val="none"/>
        </w:rPr>
        <w:t>七、</w:t>
      </w:r>
      <w:r>
        <w:rPr>
          <w:rFonts w:hint="eastAsia" w:ascii="黑体" w:hAnsi="文星标宋" w:eastAsia="黑体" w:cs="宋体"/>
          <w:bCs/>
          <w:color w:val="auto"/>
          <w:kern w:val="0"/>
          <w:sz w:val="32"/>
          <w:szCs w:val="32"/>
          <w:highlight w:val="none"/>
        </w:rPr>
        <w:t>大兴区疾病预防控制中心202</w:t>
      </w:r>
      <w:r>
        <w:rPr>
          <w:rFonts w:hint="eastAsia" w:ascii="黑体" w:hAnsi="文星标宋" w:eastAsia="黑体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黑体" w:hAnsi="文星标宋" w:eastAsia="黑体" w:cs="宋体"/>
          <w:bCs/>
          <w:color w:val="auto"/>
          <w:kern w:val="0"/>
          <w:sz w:val="32"/>
          <w:szCs w:val="32"/>
          <w:highlight w:val="none"/>
        </w:rPr>
        <w:t>年一般公共预算财政拨款支出预算表</w:t>
      </w:r>
      <w:r>
        <w:rPr>
          <w:rFonts w:hint="eastAsia" w:ascii="黑体" w:hAnsi="文星标宋" w:eastAsia="黑体" w:cs="Tahoma"/>
          <w:color w:val="auto"/>
          <w:sz w:val="32"/>
          <w:szCs w:val="32"/>
          <w:highlight w:val="none"/>
        </w:rPr>
        <w:t>的说明</w:t>
      </w:r>
    </w:p>
    <w:p w14:paraId="0B98EF28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（一）202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年年初预算支出合计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5744.06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万元 。其中：</w:t>
      </w:r>
    </w:p>
    <w:p w14:paraId="6ACDC28F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1.基本支出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4788.51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万元。包括:</w:t>
      </w:r>
    </w:p>
    <w:p w14:paraId="088850F3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（1）社会保障和就业支出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562.26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万元；</w:t>
      </w:r>
    </w:p>
    <w:p w14:paraId="7E7E646F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（2）卫生健康支出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4226.25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万元。</w:t>
      </w:r>
    </w:p>
    <w:p w14:paraId="4B5B6446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2.项目支出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955.55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万元。包括：</w:t>
      </w:r>
    </w:p>
    <w:p w14:paraId="3732A6E7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（1）社会保障和就业支出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0.59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万元；</w:t>
      </w:r>
    </w:p>
    <w:p w14:paraId="56DD96CA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（2）卫生健康支出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954.96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万元。</w:t>
      </w:r>
    </w:p>
    <w:p w14:paraId="7782A7F8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（二）按照功能分类科目分别逐项与202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年执行数进行对比，并分析增减原因。</w:t>
      </w:r>
    </w:p>
    <w:p w14:paraId="6CD15D51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1.2080502事业单位离退休，202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年执行数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73.53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万元，202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年预算数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56.13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万元，202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年预算数比202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年执行数增减额为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-17.4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万元，增减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-23.66%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，原因是退休人员增减变化，202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年发放去世人员一次性抚恤金。</w:t>
      </w:r>
    </w:p>
    <w:p w14:paraId="17700DB7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3. 2080505机关事业单位基本养老保险缴费支出，202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年执行数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355.14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万元，202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年预算数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337.42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万元，202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年预算数比202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年执行数增减额为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-17.73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万元，增减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-4.99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%，原因是中心人员增减变化、保险基数调整。</w:t>
      </w:r>
    </w:p>
    <w:p w14:paraId="3079769E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4. 2080506机关事业单位职业年金缴费支出，202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年执行数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175.50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万元，202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年预算数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168.71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万元，202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年预算数比202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年执行数增减额为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-6.79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万元，增减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-3.87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%，原因是中心人员增减变化、保险基数调整等。</w:t>
      </w:r>
    </w:p>
    <w:p w14:paraId="20857EA1"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after="0" w:line="560" w:lineRule="exact"/>
        <w:ind w:firstLine="640" w:firstLineChars="200"/>
        <w:textAlignment w:val="auto"/>
        <w:rPr>
          <w:color w:val="auto"/>
          <w:sz w:val="32"/>
          <w:szCs w:val="32"/>
          <w:highlight w:val="none"/>
        </w:rPr>
      </w:pP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5. 2080599其他行政事业单位养老支出，202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年执行数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0.74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万元，202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年预算数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0.59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万元，202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年预算数比202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年执行数增减额为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-0.15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万元，增减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-20.54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%，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eastAsia="zh-CN"/>
        </w:rPr>
        <w:t>原因是遗属人员增减变动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。</w:t>
      </w:r>
    </w:p>
    <w:p w14:paraId="70D7E355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6.2100401疾病预防控制机构，202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年执行数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4995.65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万元，202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年预算数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4628.54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万元，202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年预算数比202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年执行数增减额为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-367.10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万元，增减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-7.35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%，原因是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eastAsia="zh-CN"/>
        </w:rPr>
        <w:t>一般公共预算压缩项目支出、机构人员变化、工作需要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等。</w:t>
      </w:r>
    </w:p>
    <w:p w14:paraId="476928C9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7.2100408基本公共卫生服务，202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年执行数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13.00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万元，202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年预算数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万元，202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年预算数比202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年执行数增减额为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-13.00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万元，增减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-10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0%，原因是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eastAsia="zh-CN"/>
        </w:rPr>
        <w:t>中央基本公共卫生服务补助资金来源于中央、市级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。</w:t>
      </w:r>
    </w:p>
    <w:p w14:paraId="5472EF57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8.2100409重大公共卫生服务，202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年执行数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671.66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万元，202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年预算数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万元，202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年预算数比202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年执行数增减额为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-671.66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万元，增减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-100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%，原因是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eastAsia="zh-CN"/>
        </w:rPr>
        <w:t>中央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重大公共卫生服务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eastAsia="zh-CN"/>
        </w:rPr>
        <w:t>补助资金来源于中央、市级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。</w:t>
      </w:r>
    </w:p>
    <w:p w14:paraId="73615189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9.2100410突发公共卫生事件应急处理，202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年执行数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29.19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万元，202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年预算数0万元，202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年预算数比202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年执行数增减额为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-29.19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万元，增减-100%，原因是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eastAsia="zh-CN"/>
        </w:rPr>
        <w:t>突发公共卫生预算项目支出根据实际需求追加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。</w:t>
      </w:r>
    </w:p>
    <w:p w14:paraId="34DBE80B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10.2101102事业单位医疗，202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年执行数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333.91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万元，202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年预算数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331.50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万元，202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年预算数比202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年执行数增减额为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-2.41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万元，增减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-0.72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%，原因是中心人员增减变化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保险基数调整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eastAsia="zh-CN"/>
        </w:rPr>
        <w:t>。</w:t>
      </w:r>
    </w:p>
    <w:p w14:paraId="453CD7EA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11.2101103公务员医疗补助，202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年执行数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101.82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万元，202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年预算数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101.48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万元，202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年预算数比202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年执行数增减额为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-0.34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万元，增减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-0.34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%，原因是中心人员增减变化、保险基数调整。</w:t>
      </w:r>
    </w:p>
    <w:p w14:paraId="40730447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12.2109999其他卫生健康支出，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年执行数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63.53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万元，202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年预算数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119.69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万元，202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年预算数比202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年执行数增减额为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56.16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万元，增减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88.4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%，原因是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eastAsia="zh-CN"/>
        </w:rPr>
        <w:t>增加中央转移支付结转项目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。</w:t>
      </w:r>
    </w:p>
    <w:p w14:paraId="1FABFF9A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13.2210203购房补贴，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年执行数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347.85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万元，202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年预算数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万元，202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年预算数比202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年执行数增减额为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-347.85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万元，增减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-100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%，原因是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eastAsia="zh-CN"/>
        </w:rPr>
        <w:t>一次性住房补贴根据当年财政安排追加，不在年初安排预算。</w:t>
      </w:r>
    </w:p>
    <w:p w14:paraId="63002ABD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hAnsi="文星标宋" w:eastAsia="仿宋_GB2312" w:cs="Tahoma"/>
          <w:color w:val="auto"/>
          <w:sz w:val="32"/>
          <w:szCs w:val="32"/>
          <w:highlight w:val="none"/>
        </w:rPr>
      </w:pPr>
      <w:r>
        <w:rPr>
          <w:rFonts w:hint="eastAsia" w:ascii="黑体" w:hAnsi="文星标宋" w:eastAsia="黑体" w:cs="Tahoma"/>
          <w:color w:val="auto"/>
          <w:sz w:val="32"/>
          <w:szCs w:val="32"/>
          <w:highlight w:val="none"/>
        </w:rPr>
        <w:t>八、</w:t>
      </w:r>
      <w:r>
        <w:rPr>
          <w:rFonts w:hint="eastAsia" w:ascii="黑体" w:hAnsi="文星标宋" w:eastAsia="黑体" w:cs="宋体"/>
          <w:bCs/>
          <w:color w:val="auto"/>
          <w:kern w:val="0"/>
          <w:sz w:val="32"/>
          <w:szCs w:val="32"/>
          <w:highlight w:val="none"/>
        </w:rPr>
        <w:t>大兴区疾病预防控制中心202</w:t>
      </w:r>
      <w:r>
        <w:rPr>
          <w:rFonts w:hint="eastAsia" w:ascii="黑体" w:hAnsi="文星标宋" w:eastAsia="黑体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黑体" w:hAnsi="文星标宋" w:eastAsia="黑体" w:cs="宋体"/>
          <w:bCs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黑体" w:hAnsi="文星标宋" w:eastAsia="黑体" w:cs="Tahoma"/>
          <w:color w:val="auto"/>
          <w:sz w:val="32"/>
          <w:szCs w:val="32"/>
          <w:highlight w:val="none"/>
        </w:rPr>
        <w:t>一般公共预算财政拨款基本支出预算表的说明</w:t>
      </w:r>
    </w:p>
    <w:p w14:paraId="4FF86271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hAnsi="文星标宋" w:eastAsia="仿宋_GB2312" w:cs="Tahoma"/>
          <w:color w:val="auto"/>
          <w:sz w:val="32"/>
          <w:szCs w:val="32"/>
          <w:highlight w:val="none"/>
        </w:rPr>
      </w:pPr>
      <w:r>
        <w:rPr>
          <w:rFonts w:hint="eastAsia" w:ascii="仿宋_GB2312" w:hAnsi="文星标宋" w:eastAsia="仿宋_GB2312" w:cs="Tahoma"/>
          <w:color w:val="auto"/>
          <w:sz w:val="32"/>
          <w:szCs w:val="32"/>
          <w:highlight w:val="none"/>
        </w:rPr>
        <w:t>202</w:t>
      </w:r>
      <w:r>
        <w:rPr>
          <w:rFonts w:hint="eastAsia" w:ascii="仿宋_GB2312" w:hAnsi="文星标宋" w:eastAsia="仿宋_GB2312" w:cs="Tahoma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文星标宋" w:eastAsia="仿宋_GB2312" w:cs="Tahoma"/>
          <w:color w:val="auto"/>
          <w:sz w:val="32"/>
          <w:szCs w:val="32"/>
          <w:highlight w:val="none"/>
        </w:rPr>
        <w:t>年一般公共预算财政拨款基本支出合计</w:t>
      </w:r>
      <w:r>
        <w:rPr>
          <w:rFonts w:hint="eastAsia" w:ascii="仿宋_GB2312" w:hAnsi="文星标宋" w:eastAsia="仿宋_GB2312" w:cs="Tahoma"/>
          <w:color w:val="auto"/>
          <w:sz w:val="32"/>
          <w:szCs w:val="32"/>
          <w:highlight w:val="none"/>
          <w:lang w:val="en-US" w:eastAsia="zh-CN"/>
        </w:rPr>
        <w:t>4788.51</w:t>
      </w:r>
      <w:r>
        <w:rPr>
          <w:rFonts w:hint="eastAsia" w:ascii="仿宋_GB2312" w:hAnsi="文星标宋" w:eastAsia="仿宋_GB2312" w:cs="Tahoma"/>
          <w:color w:val="auto"/>
          <w:sz w:val="32"/>
          <w:szCs w:val="32"/>
          <w:highlight w:val="none"/>
        </w:rPr>
        <w:t>万元。其中：</w:t>
      </w:r>
    </w:p>
    <w:p w14:paraId="159F4061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hAnsi="文星标宋" w:eastAsia="仿宋_GB2312" w:cs="Tahoma"/>
          <w:color w:val="auto"/>
          <w:sz w:val="32"/>
          <w:szCs w:val="32"/>
          <w:highlight w:val="none"/>
        </w:rPr>
      </w:pPr>
      <w:r>
        <w:rPr>
          <w:rFonts w:hint="eastAsia" w:ascii="仿宋_GB2312" w:hAnsi="文星标宋" w:eastAsia="仿宋_GB2312" w:cs="Tahoma"/>
          <w:color w:val="auto"/>
          <w:sz w:val="32"/>
          <w:szCs w:val="32"/>
          <w:highlight w:val="none"/>
        </w:rPr>
        <w:t>（一）人员支出</w:t>
      </w:r>
      <w:r>
        <w:rPr>
          <w:rFonts w:hint="eastAsia" w:ascii="仿宋_GB2312" w:hAnsi="文星标宋" w:eastAsia="仿宋_GB2312" w:cs="Tahoma"/>
          <w:color w:val="auto"/>
          <w:sz w:val="32"/>
          <w:szCs w:val="32"/>
          <w:highlight w:val="none"/>
          <w:lang w:val="en-US" w:eastAsia="zh-CN"/>
        </w:rPr>
        <w:t>4560.68</w:t>
      </w:r>
      <w:r>
        <w:rPr>
          <w:rFonts w:hint="eastAsia" w:ascii="仿宋_GB2312" w:hAnsi="文星标宋" w:eastAsia="仿宋_GB2312" w:cs="Tahoma"/>
          <w:color w:val="auto"/>
          <w:sz w:val="32"/>
          <w:szCs w:val="32"/>
          <w:highlight w:val="none"/>
        </w:rPr>
        <w:t>万元。包括：</w:t>
      </w:r>
    </w:p>
    <w:p w14:paraId="69525880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hAnsi="文星标宋" w:eastAsia="仿宋_GB2312" w:cs="Tahoma"/>
          <w:color w:val="auto"/>
          <w:sz w:val="32"/>
          <w:szCs w:val="32"/>
          <w:highlight w:val="none"/>
        </w:rPr>
      </w:pPr>
      <w:r>
        <w:rPr>
          <w:rFonts w:hint="eastAsia" w:ascii="仿宋_GB2312" w:hAnsi="文星标宋" w:eastAsia="仿宋_GB2312" w:cs="Tahoma"/>
          <w:color w:val="auto"/>
          <w:sz w:val="32"/>
          <w:szCs w:val="32"/>
          <w:highlight w:val="none"/>
        </w:rPr>
        <w:t>1.工资福利支出</w:t>
      </w:r>
      <w:r>
        <w:rPr>
          <w:rFonts w:hint="eastAsia" w:ascii="仿宋_GB2312" w:hAnsi="文星标宋" w:eastAsia="仿宋_GB2312" w:cs="Tahoma"/>
          <w:color w:val="auto"/>
          <w:sz w:val="32"/>
          <w:szCs w:val="32"/>
          <w:highlight w:val="none"/>
          <w:lang w:val="en-US" w:eastAsia="zh-CN"/>
        </w:rPr>
        <w:t>4508.82</w:t>
      </w:r>
      <w:r>
        <w:rPr>
          <w:rFonts w:hint="eastAsia" w:ascii="仿宋_GB2312" w:hAnsi="文星标宋" w:eastAsia="仿宋_GB2312" w:cs="Tahoma"/>
          <w:color w:val="auto"/>
          <w:sz w:val="32"/>
          <w:szCs w:val="32"/>
          <w:highlight w:val="none"/>
        </w:rPr>
        <w:t>万元。列支范围：基本工资、津贴补贴、绩效工资、机关事业单位基本养老保险缴费、职业年金缴费、职工基本医疗保险缴费、公务员医疗补助缴费、其他社会保障缴费、住房公积金。</w:t>
      </w:r>
    </w:p>
    <w:p w14:paraId="42DAB649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hAnsi="文星标宋" w:eastAsia="仿宋_GB2312" w:cs="Tahoma"/>
          <w:color w:val="auto"/>
          <w:sz w:val="32"/>
          <w:szCs w:val="32"/>
          <w:highlight w:val="none"/>
        </w:rPr>
      </w:pPr>
      <w:r>
        <w:rPr>
          <w:rFonts w:hint="eastAsia" w:ascii="仿宋_GB2312" w:hAnsi="文星标宋" w:eastAsia="仿宋_GB2312" w:cs="Tahoma"/>
          <w:color w:val="auto"/>
          <w:sz w:val="32"/>
          <w:szCs w:val="32"/>
          <w:highlight w:val="none"/>
        </w:rPr>
        <w:t>2.对个人和家庭的补助</w:t>
      </w:r>
      <w:r>
        <w:rPr>
          <w:rFonts w:hint="eastAsia" w:ascii="仿宋_GB2312" w:hAnsi="文星标宋" w:eastAsia="仿宋_GB2312" w:cs="Tahoma"/>
          <w:color w:val="auto"/>
          <w:sz w:val="32"/>
          <w:szCs w:val="32"/>
          <w:highlight w:val="none"/>
          <w:lang w:val="en-US" w:eastAsia="zh-CN"/>
        </w:rPr>
        <w:t>51.86</w:t>
      </w:r>
      <w:r>
        <w:rPr>
          <w:rFonts w:hint="eastAsia" w:ascii="仿宋_GB2312" w:hAnsi="文星标宋" w:eastAsia="仿宋_GB2312" w:cs="Tahoma"/>
          <w:color w:val="auto"/>
          <w:sz w:val="32"/>
          <w:szCs w:val="32"/>
          <w:highlight w:val="none"/>
        </w:rPr>
        <w:t>万元。列支范围：奖励金</w:t>
      </w:r>
      <w:r>
        <w:rPr>
          <w:rFonts w:hint="eastAsia" w:ascii="仿宋_GB2312" w:hAnsi="文星标宋" w:eastAsia="仿宋_GB2312" w:cs="Tahoma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文星标宋" w:eastAsia="仿宋_GB2312" w:cs="Tahoma"/>
          <w:color w:val="auto"/>
          <w:sz w:val="32"/>
          <w:szCs w:val="32"/>
          <w:highlight w:val="none"/>
        </w:rPr>
        <w:t>退休费。</w:t>
      </w:r>
    </w:p>
    <w:p w14:paraId="758C9EBA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ascii="仿宋_GB2312" w:hAnsi="文星标宋" w:eastAsia="仿宋_GB2312" w:cs="Tahoma"/>
          <w:color w:val="auto"/>
          <w:sz w:val="32"/>
          <w:szCs w:val="32"/>
          <w:highlight w:val="none"/>
        </w:rPr>
      </w:pPr>
      <w:r>
        <w:rPr>
          <w:rFonts w:hint="eastAsia" w:ascii="仿宋_GB2312" w:hAnsi="文星标宋" w:eastAsia="仿宋_GB2312" w:cs="Tahoma"/>
          <w:color w:val="auto"/>
          <w:sz w:val="32"/>
          <w:szCs w:val="32"/>
          <w:highlight w:val="none"/>
        </w:rPr>
        <w:t>（二）公用支出</w:t>
      </w:r>
      <w:r>
        <w:rPr>
          <w:rFonts w:hint="eastAsia" w:ascii="仿宋_GB2312" w:hAnsi="文星标宋" w:eastAsia="仿宋_GB2312" w:cs="Tahoma"/>
          <w:color w:val="auto"/>
          <w:sz w:val="32"/>
          <w:szCs w:val="32"/>
          <w:highlight w:val="none"/>
          <w:lang w:val="en-US" w:eastAsia="zh-CN"/>
        </w:rPr>
        <w:t>227.83</w:t>
      </w:r>
      <w:r>
        <w:rPr>
          <w:rFonts w:hint="eastAsia" w:ascii="仿宋_GB2312" w:hAnsi="文星标宋" w:eastAsia="仿宋_GB2312" w:cs="Tahoma"/>
          <w:color w:val="auto"/>
          <w:sz w:val="32"/>
          <w:szCs w:val="32"/>
          <w:highlight w:val="none"/>
        </w:rPr>
        <w:t>万元。列支范围：办公费、印刷费、手续费、水费、电费、邮电费、取暖费、差旅费、维修（护）费、培训费、公务接待费、专用材料费、劳务费、委托业务费、福利费、公务用车运行维护费、其他商品和服务支出。</w:t>
      </w:r>
    </w:p>
    <w:p w14:paraId="2EA58C58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黑体" w:hAnsi="文星标宋" w:eastAsia="黑体" w:cs="Tahoma"/>
          <w:color w:val="auto"/>
          <w:sz w:val="32"/>
          <w:szCs w:val="32"/>
          <w:highlight w:val="none"/>
        </w:rPr>
      </w:pPr>
      <w:r>
        <w:rPr>
          <w:rFonts w:hint="eastAsia" w:ascii="黑体" w:hAnsi="文星标宋" w:eastAsia="黑体" w:cs="Tahoma"/>
          <w:color w:val="auto"/>
          <w:sz w:val="32"/>
          <w:szCs w:val="32"/>
          <w:highlight w:val="none"/>
        </w:rPr>
        <w:t>九、</w:t>
      </w:r>
      <w:r>
        <w:rPr>
          <w:rFonts w:hint="eastAsia" w:ascii="黑体" w:hAnsi="文星标宋" w:eastAsia="黑体" w:cs="宋体"/>
          <w:bCs/>
          <w:color w:val="auto"/>
          <w:kern w:val="0"/>
          <w:sz w:val="32"/>
          <w:szCs w:val="32"/>
          <w:highlight w:val="none"/>
        </w:rPr>
        <w:t>大兴区疾病预防控制中心202</w:t>
      </w:r>
      <w:r>
        <w:rPr>
          <w:rFonts w:hint="eastAsia" w:ascii="黑体" w:hAnsi="文星标宋" w:eastAsia="黑体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黑体" w:hAnsi="文星标宋" w:eastAsia="黑体" w:cs="宋体"/>
          <w:bCs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黑体" w:hAnsi="文星标宋" w:eastAsia="黑体" w:cs="Tahoma"/>
          <w:color w:val="auto"/>
          <w:sz w:val="32"/>
          <w:szCs w:val="32"/>
          <w:highlight w:val="none"/>
        </w:rPr>
        <w:t>政府性基金预算财政拨款支出预算表的说明</w:t>
      </w:r>
    </w:p>
    <w:p w14:paraId="4DB3C03F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hAnsi="文星标宋" w:eastAsia="仿宋_GB2312" w:cs="Tahoma"/>
          <w:color w:val="auto"/>
          <w:sz w:val="32"/>
          <w:szCs w:val="32"/>
          <w:highlight w:val="none"/>
        </w:rPr>
      </w:pPr>
      <w:r>
        <w:rPr>
          <w:rFonts w:hint="eastAsia" w:ascii="仿宋_GB2312" w:hAnsi="文星标宋" w:eastAsia="仿宋_GB2312" w:cs="Tahoma"/>
          <w:color w:val="auto"/>
          <w:sz w:val="32"/>
          <w:szCs w:val="32"/>
          <w:highlight w:val="none"/>
        </w:rPr>
        <w:t>不涉及政府性基金预算财政拨款支出预算</w:t>
      </w:r>
    </w:p>
    <w:p w14:paraId="38340AF6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ascii="仿宋_GB2312" w:hAnsi="文星标宋" w:eastAsia="仿宋_GB2312" w:cs="Tahoma"/>
          <w:color w:val="auto"/>
          <w:sz w:val="32"/>
          <w:szCs w:val="32"/>
          <w:highlight w:val="none"/>
        </w:rPr>
      </w:pPr>
      <w:r>
        <w:rPr>
          <w:rFonts w:hint="eastAsia" w:ascii="黑体" w:hAnsi="文星标宋" w:eastAsia="黑体" w:cs="宋体"/>
          <w:bCs/>
          <w:color w:val="auto"/>
          <w:kern w:val="0"/>
          <w:sz w:val="32"/>
          <w:szCs w:val="32"/>
          <w:highlight w:val="none"/>
        </w:rPr>
        <w:t>十、大兴区疾病预防控制中心202</w:t>
      </w:r>
      <w:r>
        <w:rPr>
          <w:rFonts w:hint="eastAsia" w:ascii="黑体" w:hAnsi="文星标宋" w:eastAsia="黑体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黑体" w:hAnsi="文星标宋" w:eastAsia="黑体" w:cs="宋体"/>
          <w:bCs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黑体" w:hAnsi="文星标宋" w:eastAsia="黑体" w:cs="Tahoma"/>
          <w:color w:val="auto"/>
          <w:sz w:val="32"/>
          <w:szCs w:val="32"/>
          <w:highlight w:val="none"/>
        </w:rPr>
        <w:t>一般公共预算“三公”经费财政拨款支出预算表的说明</w:t>
      </w:r>
    </w:p>
    <w:p w14:paraId="4A119E8A">
      <w:pPr>
        <w:pStyle w:val="2"/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bidi w:val="0"/>
        <w:snapToGrid/>
        <w:spacing w:after="0" w:line="560" w:lineRule="exact"/>
        <w:ind w:firstLine="640" w:firstLineChars="200"/>
        <w:textAlignment w:val="auto"/>
        <w:rPr>
          <w:rFonts w:hint="eastAsia" w:ascii="方正楷体_GB2312" w:hAnsi="方正楷体_GB2312" w:eastAsia="方正楷体_GB2312" w:cs="方正楷体_GB2312"/>
          <w:color w:val="auto"/>
          <w:sz w:val="32"/>
          <w:szCs w:val="32"/>
          <w:highlight w:val="none"/>
        </w:rPr>
      </w:pPr>
      <w:r>
        <w:rPr>
          <w:rFonts w:hint="eastAsia" w:ascii="方正楷体_GB2312" w:hAnsi="方正楷体_GB2312" w:eastAsia="方正楷体_GB2312" w:cs="方正楷体_GB2312"/>
          <w:color w:val="auto"/>
          <w:sz w:val="32"/>
          <w:szCs w:val="32"/>
          <w:highlight w:val="none"/>
        </w:rPr>
        <w:t>“三公”经费的单位范围</w:t>
      </w:r>
    </w:p>
    <w:p w14:paraId="342C1CB9"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after="0" w:line="560" w:lineRule="exact"/>
        <w:ind w:firstLine="640" w:firstLineChars="200"/>
        <w:textAlignment w:val="auto"/>
        <w:rPr>
          <w:rFonts w:ascii="仿宋_GB2312" w:hAnsi="文星标宋" w:eastAsia="仿宋_GB2312" w:cs="Tahoma"/>
          <w:color w:val="auto"/>
          <w:sz w:val="32"/>
          <w:szCs w:val="32"/>
          <w:highlight w:val="none"/>
        </w:rPr>
      </w:pPr>
      <w:r>
        <w:rPr>
          <w:rFonts w:hint="eastAsia" w:ascii="仿宋_GB2312" w:hAnsi="文星标宋" w:eastAsia="仿宋_GB2312" w:cs="Tahoma"/>
          <w:color w:val="auto"/>
          <w:sz w:val="32"/>
          <w:szCs w:val="32"/>
          <w:highlight w:val="none"/>
        </w:rPr>
        <w:t>本部门因公出国（境）费用、公务接待费、公务用车购置和运行维护费开支仅包括本单位。</w:t>
      </w:r>
    </w:p>
    <w:p w14:paraId="64716934">
      <w:pPr>
        <w:keepNext w:val="0"/>
        <w:keepLines w:val="0"/>
        <w:pageBreakBefore w:val="0"/>
        <w:pBdr>
          <w:bottom w:val="single" w:color="FFFFFF" w:sz="4" w:space="31"/>
        </w:pBdr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outlineLvl w:val="0"/>
        <w:rPr>
          <w:rFonts w:hint="eastAsia" w:ascii="方正楷体_GB2312" w:hAnsi="方正楷体_GB2312" w:eastAsia="方正楷体_GB2312" w:cs="方正楷体_GB2312"/>
          <w:color w:val="auto"/>
          <w:sz w:val="32"/>
          <w:szCs w:val="32"/>
          <w:highlight w:val="none"/>
        </w:rPr>
      </w:pPr>
      <w:r>
        <w:rPr>
          <w:rFonts w:hint="eastAsia" w:ascii="方正楷体_GB2312" w:hAnsi="方正楷体_GB2312" w:eastAsia="方正楷体_GB2312" w:cs="方正楷体_GB2312"/>
          <w:color w:val="auto"/>
          <w:sz w:val="32"/>
          <w:szCs w:val="32"/>
          <w:highlight w:val="none"/>
        </w:rPr>
        <w:t>（二）“三公”经费预算财政拨款情况说明</w:t>
      </w:r>
    </w:p>
    <w:p w14:paraId="1BA330A0">
      <w:pPr>
        <w:keepNext w:val="0"/>
        <w:keepLines w:val="0"/>
        <w:pageBreakBefore w:val="0"/>
        <w:pBdr>
          <w:bottom w:val="single" w:color="FFFFFF" w:sz="4" w:space="31"/>
        </w:pBdr>
        <w:kinsoku/>
        <w:wordWrap/>
        <w:overflowPunct/>
        <w:topLinePunct w:val="0"/>
        <w:bidi w:val="0"/>
        <w:snapToGrid/>
        <w:spacing w:line="560" w:lineRule="exact"/>
        <w:ind w:firstLine="640"/>
        <w:textAlignment w:val="auto"/>
        <w:outlineLvl w:val="0"/>
        <w:rPr>
          <w:rFonts w:hint="eastAsia" w:ascii="仿宋_GB2312" w:hAnsi="文星标宋" w:eastAsia="仿宋_GB2312" w:cs="Tahoma"/>
          <w:color w:val="auto"/>
          <w:sz w:val="32"/>
          <w:szCs w:val="32"/>
          <w:highlight w:val="none"/>
        </w:rPr>
      </w:pPr>
      <w:r>
        <w:rPr>
          <w:rFonts w:hint="eastAsia" w:ascii="仿宋_GB2312" w:hAnsi="文星标宋" w:eastAsia="仿宋_GB2312" w:cs="Tahoma"/>
          <w:color w:val="auto"/>
          <w:sz w:val="32"/>
          <w:szCs w:val="32"/>
          <w:highlight w:val="none"/>
        </w:rPr>
        <w:t>1.因公出国（境）费用202</w:t>
      </w:r>
      <w:r>
        <w:rPr>
          <w:rFonts w:hint="eastAsia" w:ascii="仿宋_GB2312" w:hAnsi="文星标宋" w:eastAsia="仿宋_GB2312" w:cs="Tahoma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文星标宋" w:eastAsia="仿宋_GB2312" w:cs="Tahoma"/>
          <w:color w:val="auto"/>
          <w:sz w:val="32"/>
          <w:szCs w:val="32"/>
          <w:highlight w:val="none"/>
        </w:rPr>
        <w:t>年预算0万元，202</w:t>
      </w:r>
      <w:r>
        <w:rPr>
          <w:rFonts w:hint="eastAsia" w:ascii="仿宋_GB2312" w:hAnsi="文星标宋" w:eastAsia="仿宋_GB2312" w:cs="Tahoma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文星标宋" w:eastAsia="仿宋_GB2312" w:cs="Tahoma"/>
          <w:color w:val="auto"/>
          <w:sz w:val="32"/>
          <w:szCs w:val="32"/>
          <w:highlight w:val="none"/>
        </w:rPr>
        <w:t>年预算执行数0万元，202</w:t>
      </w:r>
      <w:r>
        <w:rPr>
          <w:rFonts w:hint="eastAsia" w:ascii="仿宋_GB2312" w:hAnsi="文星标宋" w:eastAsia="仿宋_GB2312" w:cs="Tahoma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文星标宋" w:eastAsia="仿宋_GB2312" w:cs="Tahoma"/>
          <w:color w:val="auto"/>
          <w:sz w:val="32"/>
          <w:szCs w:val="32"/>
          <w:highlight w:val="none"/>
        </w:rPr>
        <w:t>年预算0万元。年初不安排预算，实际支出时追加预算。</w:t>
      </w:r>
    </w:p>
    <w:p w14:paraId="7ACB21EB">
      <w:pPr>
        <w:keepNext w:val="0"/>
        <w:keepLines w:val="0"/>
        <w:pageBreakBefore w:val="0"/>
        <w:pBdr>
          <w:bottom w:val="single" w:color="FFFFFF" w:sz="4" w:space="31"/>
        </w:pBdr>
        <w:kinsoku/>
        <w:wordWrap/>
        <w:overflowPunct/>
        <w:topLinePunct w:val="0"/>
        <w:bidi w:val="0"/>
        <w:snapToGrid/>
        <w:spacing w:line="560" w:lineRule="exact"/>
        <w:ind w:firstLine="640"/>
        <w:textAlignment w:val="auto"/>
        <w:outlineLvl w:val="0"/>
        <w:rPr>
          <w:rFonts w:ascii="黑体" w:hAnsi="文星标宋" w:eastAsia="黑体" w:cs="Tahoma"/>
          <w:color w:val="auto"/>
          <w:sz w:val="32"/>
          <w:szCs w:val="32"/>
          <w:highlight w:val="none"/>
        </w:rPr>
      </w:pPr>
      <w:r>
        <w:rPr>
          <w:rFonts w:hint="eastAsia" w:ascii="仿宋_GB2312" w:hAnsi="文星标宋" w:eastAsia="仿宋_GB2312" w:cs="Tahoma"/>
          <w:color w:val="auto"/>
          <w:sz w:val="32"/>
          <w:szCs w:val="32"/>
          <w:highlight w:val="none"/>
        </w:rPr>
        <w:t>2.公务接待费202</w:t>
      </w:r>
      <w:r>
        <w:rPr>
          <w:rFonts w:hint="eastAsia" w:ascii="仿宋_GB2312" w:hAnsi="文星标宋" w:eastAsia="仿宋_GB2312" w:cs="Tahoma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文星标宋" w:eastAsia="仿宋_GB2312" w:cs="Tahoma"/>
          <w:color w:val="auto"/>
          <w:sz w:val="32"/>
          <w:szCs w:val="32"/>
          <w:highlight w:val="none"/>
        </w:rPr>
        <w:t>年预算1.64万元，202</w:t>
      </w:r>
      <w:r>
        <w:rPr>
          <w:rFonts w:hint="eastAsia" w:ascii="仿宋_GB2312" w:hAnsi="文星标宋" w:eastAsia="仿宋_GB2312" w:cs="Tahoma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文星标宋" w:eastAsia="仿宋_GB2312" w:cs="Tahoma"/>
          <w:color w:val="auto"/>
          <w:sz w:val="32"/>
          <w:szCs w:val="32"/>
          <w:highlight w:val="none"/>
        </w:rPr>
        <w:t>年预算执行数</w:t>
      </w:r>
      <w:r>
        <w:rPr>
          <w:rFonts w:hint="eastAsia" w:ascii="仿宋_GB2312" w:hAnsi="文星标宋" w:eastAsia="仿宋_GB2312" w:cs="Tahoma"/>
          <w:color w:val="auto"/>
          <w:sz w:val="32"/>
          <w:szCs w:val="32"/>
          <w:highlight w:val="none"/>
          <w:lang w:val="en-US" w:eastAsia="zh-CN"/>
        </w:rPr>
        <w:t>0.94</w:t>
      </w:r>
      <w:r>
        <w:rPr>
          <w:rFonts w:hint="eastAsia" w:ascii="仿宋_GB2312" w:hAnsi="文星标宋" w:eastAsia="仿宋_GB2312" w:cs="Tahoma"/>
          <w:color w:val="auto"/>
          <w:sz w:val="32"/>
          <w:szCs w:val="32"/>
          <w:highlight w:val="none"/>
        </w:rPr>
        <w:t>万元，202</w:t>
      </w:r>
      <w:r>
        <w:rPr>
          <w:rFonts w:hint="eastAsia" w:ascii="仿宋_GB2312" w:hAnsi="文星标宋" w:eastAsia="仿宋_GB2312" w:cs="Tahoma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文星标宋" w:eastAsia="仿宋_GB2312" w:cs="Tahoma"/>
          <w:color w:val="auto"/>
          <w:sz w:val="32"/>
          <w:szCs w:val="32"/>
          <w:highlight w:val="none"/>
        </w:rPr>
        <w:t>年预算1.64万元。202</w:t>
      </w:r>
      <w:r>
        <w:rPr>
          <w:rFonts w:hint="eastAsia" w:ascii="仿宋_GB2312" w:hAnsi="文星标宋" w:eastAsia="仿宋_GB2312" w:cs="Tahoma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文星标宋" w:eastAsia="仿宋_GB2312" w:cs="Tahoma"/>
          <w:color w:val="auto"/>
          <w:sz w:val="32"/>
          <w:szCs w:val="32"/>
          <w:highlight w:val="none"/>
        </w:rPr>
        <w:t>年预算数</w:t>
      </w:r>
      <w:r>
        <w:rPr>
          <w:rFonts w:hint="eastAsia" w:ascii="仿宋_GB2312" w:hAnsi="文星标宋" w:eastAsia="仿宋_GB2312" w:cs="Tahoma"/>
          <w:color w:val="auto"/>
          <w:sz w:val="32"/>
          <w:szCs w:val="32"/>
          <w:highlight w:val="none"/>
          <w:lang w:eastAsia="zh-CN"/>
        </w:rPr>
        <w:t>与</w:t>
      </w:r>
      <w:r>
        <w:rPr>
          <w:rFonts w:hint="eastAsia" w:ascii="仿宋_GB2312" w:hAnsi="文星标宋" w:eastAsia="仿宋_GB2312" w:cs="Tahoma"/>
          <w:color w:val="auto"/>
          <w:sz w:val="32"/>
          <w:szCs w:val="32"/>
          <w:highlight w:val="none"/>
          <w:lang w:val="en-US" w:eastAsia="zh-CN"/>
        </w:rPr>
        <w:t>2024年</w:t>
      </w:r>
      <w:r>
        <w:rPr>
          <w:rFonts w:hint="eastAsia" w:ascii="仿宋_GB2312" w:hAnsi="文星标宋" w:eastAsia="仿宋_GB2312" w:cs="Tahoma"/>
          <w:color w:val="auto"/>
          <w:sz w:val="32"/>
          <w:szCs w:val="32"/>
          <w:highlight w:val="none"/>
        </w:rPr>
        <w:t>预算数</w:t>
      </w:r>
      <w:r>
        <w:rPr>
          <w:rFonts w:hint="eastAsia" w:ascii="仿宋_GB2312" w:hAnsi="文星标宋" w:eastAsia="仿宋_GB2312" w:cs="Tahoma"/>
          <w:color w:val="auto"/>
          <w:sz w:val="32"/>
          <w:szCs w:val="32"/>
          <w:highlight w:val="none"/>
          <w:lang w:eastAsia="zh-CN"/>
        </w:rPr>
        <w:t>进行对比，无增减变化</w:t>
      </w:r>
      <w:r>
        <w:rPr>
          <w:rFonts w:hint="eastAsia" w:ascii="仿宋_GB2312" w:hAnsi="文星标宋" w:eastAsia="仿宋_GB2312" w:cs="Tahoma"/>
          <w:color w:val="auto"/>
          <w:sz w:val="32"/>
          <w:szCs w:val="32"/>
          <w:highlight w:val="none"/>
        </w:rPr>
        <w:t>。</w:t>
      </w:r>
    </w:p>
    <w:p w14:paraId="6DC15AD5">
      <w:pPr>
        <w:keepNext w:val="0"/>
        <w:keepLines w:val="0"/>
        <w:pageBreakBefore w:val="0"/>
        <w:pBdr>
          <w:bottom w:val="single" w:color="FFFFFF" w:sz="4" w:space="31"/>
        </w:pBdr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outlineLvl w:val="0"/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文星标宋" w:eastAsia="仿宋_GB2312" w:cs="Tahoma"/>
          <w:color w:val="auto"/>
          <w:sz w:val="32"/>
          <w:szCs w:val="32"/>
          <w:highlight w:val="none"/>
        </w:rPr>
        <w:t>3.公务用车费202</w:t>
      </w:r>
      <w:r>
        <w:rPr>
          <w:rFonts w:hint="eastAsia" w:ascii="仿宋_GB2312" w:hAnsi="文星标宋" w:eastAsia="仿宋_GB2312" w:cs="Tahoma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文星标宋" w:eastAsia="仿宋_GB2312" w:cs="Tahoma"/>
          <w:color w:val="auto"/>
          <w:sz w:val="32"/>
          <w:szCs w:val="32"/>
          <w:highlight w:val="none"/>
        </w:rPr>
        <w:t>年预算</w:t>
      </w:r>
      <w:r>
        <w:rPr>
          <w:rFonts w:hint="eastAsia" w:ascii="仿宋_GB2312" w:hAnsi="文星标宋" w:eastAsia="仿宋_GB2312" w:cs="Tahoma"/>
          <w:color w:val="auto"/>
          <w:sz w:val="32"/>
          <w:szCs w:val="32"/>
          <w:highlight w:val="none"/>
          <w:lang w:val="en-US" w:eastAsia="zh-CN"/>
        </w:rPr>
        <w:t>16.20</w:t>
      </w:r>
      <w:r>
        <w:rPr>
          <w:rFonts w:hint="eastAsia" w:ascii="仿宋_GB2312" w:hAnsi="文星标宋" w:eastAsia="仿宋_GB2312" w:cs="Tahoma"/>
          <w:color w:val="auto"/>
          <w:sz w:val="32"/>
          <w:szCs w:val="32"/>
          <w:highlight w:val="none"/>
        </w:rPr>
        <w:t>万元，其中：公务用车运行维护费16.20万元；公务用车购置0万元。202</w:t>
      </w:r>
      <w:r>
        <w:rPr>
          <w:rFonts w:hint="eastAsia" w:ascii="仿宋_GB2312" w:hAnsi="文星标宋" w:eastAsia="仿宋_GB2312" w:cs="Tahoma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文星标宋" w:eastAsia="仿宋_GB2312" w:cs="Tahoma"/>
          <w:color w:val="auto"/>
          <w:sz w:val="32"/>
          <w:szCs w:val="32"/>
          <w:highlight w:val="none"/>
        </w:rPr>
        <w:t>年执行 16.20万元，其中：公务用车运行维护费16.20万元；公务用车购置0万元。202</w:t>
      </w:r>
      <w:r>
        <w:rPr>
          <w:rFonts w:hint="eastAsia" w:ascii="仿宋_GB2312" w:hAnsi="文星标宋" w:eastAsia="仿宋_GB2312" w:cs="Tahoma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文星标宋" w:eastAsia="仿宋_GB2312" w:cs="Tahoma"/>
          <w:color w:val="auto"/>
          <w:sz w:val="32"/>
          <w:szCs w:val="32"/>
          <w:highlight w:val="none"/>
        </w:rPr>
        <w:t>年预算</w:t>
      </w:r>
      <w:r>
        <w:rPr>
          <w:rFonts w:hint="eastAsia" w:ascii="仿宋_GB2312" w:hAnsi="文星标宋" w:eastAsia="仿宋_GB2312" w:cs="Tahoma"/>
          <w:color w:val="auto"/>
          <w:sz w:val="32"/>
          <w:szCs w:val="32"/>
          <w:highlight w:val="none"/>
          <w:lang w:val="en-US" w:eastAsia="zh-CN"/>
        </w:rPr>
        <w:t>16.95</w:t>
      </w:r>
      <w:r>
        <w:rPr>
          <w:rFonts w:hint="eastAsia" w:ascii="仿宋_GB2312" w:hAnsi="文星标宋" w:eastAsia="仿宋_GB2312" w:cs="Tahoma"/>
          <w:color w:val="auto"/>
          <w:sz w:val="32"/>
          <w:szCs w:val="32"/>
          <w:highlight w:val="none"/>
        </w:rPr>
        <w:t>万元，其中：公务用车运行维护费</w:t>
      </w:r>
      <w:r>
        <w:rPr>
          <w:rFonts w:hint="eastAsia" w:ascii="仿宋_GB2312" w:hAnsi="文星标宋" w:eastAsia="仿宋_GB2312" w:cs="Tahoma"/>
          <w:color w:val="auto"/>
          <w:sz w:val="32"/>
          <w:szCs w:val="32"/>
          <w:highlight w:val="none"/>
          <w:lang w:val="en-US" w:eastAsia="zh-CN"/>
        </w:rPr>
        <w:t>16.95</w:t>
      </w:r>
      <w:r>
        <w:rPr>
          <w:rFonts w:hint="eastAsia" w:ascii="仿宋_GB2312" w:hAnsi="文星标宋" w:eastAsia="仿宋_GB2312" w:cs="Tahoma"/>
          <w:color w:val="auto"/>
          <w:sz w:val="32"/>
          <w:szCs w:val="32"/>
          <w:highlight w:val="none"/>
        </w:rPr>
        <w:t>万元；公务用车购置0万元。202</w:t>
      </w:r>
      <w:r>
        <w:rPr>
          <w:rFonts w:hint="eastAsia" w:ascii="仿宋_GB2312" w:hAnsi="文星标宋" w:eastAsia="仿宋_GB2312" w:cs="Tahoma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文星标宋" w:eastAsia="仿宋_GB2312" w:cs="Tahoma"/>
          <w:color w:val="auto"/>
          <w:sz w:val="32"/>
          <w:szCs w:val="32"/>
          <w:highlight w:val="none"/>
        </w:rPr>
        <w:t>年预算数</w:t>
      </w:r>
      <w:r>
        <w:rPr>
          <w:rFonts w:hint="eastAsia" w:ascii="仿宋_GB2312" w:hAnsi="文星标宋" w:eastAsia="仿宋_GB2312" w:cs="Tahoma"/>
          <w:color w:val="auto"/>
          <w:sz w:val="32"/>
          <w:szCs w:val="32"/>
          <w:highlight w:val="none"/>
          <w:lang w:eastAsia="zh-CN"/>
        </w:rPr>
        <w:t>比</w:t>
      </w:r>
      <w:r>
        <w:rPr>
          <w:rFonts w:hint="eastAsia" w:ascii="仿宋_GB2312" w:hAnsi="文星标宋" w:eastAsia="仿宋_GB2312" w:cs="Tahoma"/>
          <w:color w:val="auto"/>
          <w:sz w:val="32"/>
          <w:szCs w:val="32"/>
          <w:highlight w:val="none"/>
          <w:lang w:val="en-US" w:eastAsia="zh-CN"/>
        </w:rPr>
        <w:t>2024年</w:t>
      </w:r>
      <w:r>
        <w:rPr>
          <w:rFonts w:hint="eastAsia" w:ascii="仿宋_GB2312" w:hAnsi="文星标宋" w:eastAsia="仿宋_GB2312" w:cs="Tahoma"/>
          <w:color w:val="auto"/>
          <w:sz w:val="32"/>
          <w:szCs w:val="32"/>
          <w:highlight w:val="none"/>
        </w:rPr>
        <w:t>预算数</w:t>
      </w:r>
      <w:r>
        <w:rPr>
          <w:rFonts w:hint="eastAsia" w:ascii="仿宋_GB2312" w:hAnsi="文星标宋" w:eastAsia="仿宋_GB2312" w:cs="Tahoma"/>
          <w:color w:val="auto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文星标宋" w:eastAsia="仿宋_GB2312" w:cs="Tahoma"/>
          <w:color w:val="auto"/>
          <w:sz w:val="32"/>
          <w:szCs w:val="32"/>
          <w:highlight w:val="none"/>
          <w:lang w:val="en-US" w:eastAsia="zh-CN"/>
        </w:rPr>
        <w:t>0.75万元，原因为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  <w:lang w:eastAsia="zh-CN"/>
        </w:rPr>
        <w:t>车辆保障额度调整变化</w:t>
      </w:r>
      <w:r>
        <w:rPr>
          <w:rFonts w:hint="eastAsia" w:ascii="仿宋_GB2312" w:hAnsi="文星标宋" w:eastAsia="仿宋_GB2312" w:cs="宋体"/>
          <w:bCs/>
          <w:color w:val="auto"/>
          <w:kern w:val="0"/>
          <w:sz w:val="32"/>
          <w:szCs w:val="32"/>
          <w:highlight w:val="none"/>
        </w:rPr>
        <w:t>。</w:t>
      </w:r>
    </w:p>
    <w:p w14:paraId="16A7EE56">
      <w:pPr>
        <w:keepNext w:val="0"/>
        <w:keepLines w:val="0"/>
        <w:pageBreakBefore w:val="0"/>
        <w:pBdr>
          <w:bottom w:val="single" w:color="FFFFFF" w:sz="4" w:space="31"/>
        </w:pBdr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outlineLvl w:val="0"/>
        <w:rPr>
          <w:rFonts w:ascii="黑体" w:hAnsi="文星标宋" w:eastAsia="黑体" w:cs="Tahoma"/>
          <w:color w:val="auto"/>
          <w:sz w:val="32"/>
          <w:szCs w:val="32"/>
          <w:highlight w:val="none"/>
        </w:rPr>
      </w:pPr>
      <w:r>
        <w:rPr>
          <w:rFonts w:hint="eastAsia" w:ascii="黑体" w:hAnsi="文星标宋" w:eastAsia="黑体" w:cs="Tahoma"/>
          <w:color w:val="auto"/>
          <w:sz w:val="32"/>
          <w:szCs w:val="32"/>
          <w:highlight w:val="none"/>
        </w:rPr>
        <w:t>十一、其他重要事项的情况说明</w:t>
      </w:r>
    </w:p>
    <w:p w14:paraId="6B50D2B5">
      <w:pPr>
        <w:keepNext w:val="0"/>
        <w:keepLines w:val="0"/>
        <w:pageBreakBefore w:val="0"/>
        <w:pBdr>
          <w:bottom w:val="single" w:color="FFFFFF" w:sz="4" w:space="31"/>
        </w:pBdr>
        <w:kinsoku/>
        <w:wordWrap/>
        <w:overflowPunct/>
        <w:topLinePunct w:val="0"/>
        <w:bidi w:val="0"/>
        <w:snapToGrid/>
        <w:spacing w:line="560" w:lineRule="exact"/>
        <w:ind w:firstLine="640"/>
        <w:textAlignment w:val="auto"/>
        <w:outlineLvl w:val="0"/>
        <w:rPr>
          <w:color w:val="auto"/>
          <w:sz w:val="32"/>
          <w:szCs w:val="32"/>
          <w:highlight w:val="none"/>
        </w:rPr>
      </w:pPr>
      <w:r>
        <w:rPr>
          <w:rFonts w:hint="eastAsia" w:ascii="楷体_GB2312" w:hAnsi="Tahoma" w:eastAsia="楷体_GB2312" w:cs="Tahoma"/>
          <w:color w:val="auto"/>
          <w:sz w:val="32"/>
          <w:szCs w:val="32"/>
          <w:highlight w:val="none"/>
        </w:rPr>
        <w:t>（一）机关运行经费</w:t>
      </w:r>
    </w:p>
    <w:p w14:paraId="7309F24F">
      <w:pPr>
        <w:keepNext w:val="0"/>
        <w:keepLines w:val="0"/>
        <w:pageBreakBefore w:val="0"/>
        <w:pBdr>
          <w:bottom w:val="single" w:color="FFFFFF" w:sz="4" w:space="31"/>
        </w:pBdr>
        <w:kinsoku/>
        <w:wordWrap/>
        <w:overflowPunct/>
        <w:topLinePunct w:val="0"/>
        <w:bidi w:val="0"/>
        <w:snapToGrid/>
        <w:spacing w:line="560" w:lineRule="exact"/>
        <w:ind w:firstLine="640"/>
        <w:textAlignment w:val="auto"/>
        <w:outlineLvl w:val="0"/>
        <w:rPr>
          <w:rFonts w:ascii="仿宋_GB2312" w:hAnsi="Tahoma" w:eastAsia="仿宋_GB2312" w:cs="Tahoma"/>
          <w:color w:val="auto"/>
          <w:sz w:val="32"/>
          <w:szCs w:val="32"/>
          <w:highlight w:val="none"/>
        </w:rPr>
      </w:pPr>
      <w:r>
        <w:rPr>
          <w:rFonts w:hint="eastAsia" w:ascii="仿宋_GB2312" w:hAnsi="Tahoma" w:eastAsia="仿宋_GB2312" w:cs="Tahoma"/>
          <w:color w:val="auto"/>
          <w:sz w:val="32"/>
          <w:szCs w:val="32"/>
          <w:highlight w:val="none"/>
        </w:rPr>
        <w:t>本部门不涉及此部分内容。</w:t>
      </w:r>
    </w:p>
    <w:p w14:paraId="5E295F99">
      <w:pPr>
        <w:keepNext w:val="0"/>
        <w:keepLines w:val="0"/>
        <w:pageBreakBefore w:val="0"/>
        <w:pBdr>
          <w:bottom w:val="single" w:color="FFFFFF" w:sz="4" w:space="31"/>
        </w:pBdr>
        <w:kinsoku/>
        <w:wordWrap/>
        <w:overflowPunct/>
        <w:topLinePunct w:val="0"/>
        <w:bidi w:val="0"/>
        <w:snapToGrid/>
        <w:spacing w:line="560" w:lineRule="exact"/>
        <w:ind w:firstLine="640"/>
        <w:textAlignment w:val="auto"/>
        <w:outlineLvl w:val="0"/>
        <w:rPr>
          <w:rFonts w:ascii="仿宋_GB2312" w:hAnsi="Tahoma" w:eastAsia="仿宋_GB2312" w:cs="Tahoma"/>
          <w:color w:val="auto"/>
          <w:sz w:val="32"/>
          <w:szCs w:val="32"/>
          <w:highlight w:val="none"/>
        </w:rPr>
      </w:pPr>
      <w:r>
        <w:rPr>
          <w:rFonts w:hint="eastAsia" w:ascii="仿宋_GB2312" w:hAnsi="Tahoma" w:eastAsia="仿宋_GB2312" w:cs="Tahoma"/>
          <w:color w:val="auto"/>
          <w:sz w:val="32"/>
          <w:szCs w:val="32"/>
          <w:highlight w:val="none"/>
        </w:rPr>
        <w:t>注：1.规范工资的事业单位不纳入机关运行经费统计中；</w:t>
      </w:r>
    </w:p>
    <w:p w14:paraId="21B830A3">
      <w:pPr>
        <w:keepNext w:val="0"/>
        <w:keepLines w:val="0"/>
        <w:pageBreakBefore w:val="0"/>
        <w:pBdr>
          <w:bottom w:val="single" w:color="FFFFFF" w:sz="4" w:space="31"/>
        </w:pBdr>
        <w:kinsoku/>
        <w:wordWrap/>
        <w:overflowPunct/>
        <w:topLinePunct w:val="0"/>
        <w:bidi w:val="0"/>
        <w:snapToGrid/>
        <w:spacing w:line="560" w:lineRule="exact"/>
        <w:ind w:firstLine="640"/>
        <w:textAlignment w:val="auto"/>
        <w:outlineLvl w:val="0"/>
        <w:rPr>
          <w:rFonts w:ascii="仿宋_GB2312" w:hAnsi="Tahoma" w:eastAsia="仿宋_GB2312" w:cs="Tahoma"/>
          <w:color w:val="auto"/>
          <w:sz w:val="32"/>
          <w:szCs w:val="32"/>
          <w:highlight w:val="none"/>
        </w:rPr>
      </w:pPr>
      <w:r>
        <w:rPr>
          <w:rFonts w:hint="eastAsia" w:ascii="仿宋_GB2312" w:hAnsi="Tahoma" w:eastAsia="仿宋_GB2312" w:cs="Tahoma"/>
          <w:color w:val="auto"/>
          <w:sz w:val="32"/>
          <w:szCs w:val="32"/>
          <w:highlight w:val="none"/>
        </w:rPr>
        <w:t>2.其他事业单位不纳入机关运行经费统计中；</w:t>
      </w:r>
    </w:p>
    <w:p w14:paraId="54A38FEF">
      <w:pPr>
        <w:keepNext w:val="0"/>
        <w:keepLines w:val="0"/>
        <w:pageBreakBefore w:val="0"/>
        <w:pBdr>
          <w:bottom w:val="single" w:color="FFFFFF" w:sz="4" w:space="31"/>
        </w:pBdr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outlineLvl w:val="0"/>
        <w:rPr>
          <w:color w:val="auto"/>
          <w:sz w:val="32"/>
          <w:szCs w:val="32"/>
          <w:highlight w:val="none"/>
        </w:rPr>
      </w:pPr>
      <w:r>
        <w:rPr>
          <w:rFonts w:hint="eastAsia" w:ascii="仿宋_GB2312" w:hAnsi="Tahoma" w:eastAsia="仿宋_GB2312" w:cs="Tahoma"/>
          <w:color w:val="auto"/>
          <w:sz w:val="32"/>
          <w:szCs w:val="32"/>
          <w:highlight w:val="none"/>
        </w:rPr>
        <w:t>3.机关运行经费，仅指基本支出扣除人员支出的那部分，具体包括人员公用支出、车辆公用支出、项目支出中的机构日常运转类（除业务用车公用支出外）。列支功能科目“行政运行”等，不可以把“事业运行”、“机构运行”等反应事业单位的预算数据统计在内。</w:t>
      </w:r>
    </w:p>
    <w:p w14:paraId="4F495020">
      <w:pPr>
        <w:keepNext w:val="0"/>
        <w:keepLines w:val="0"/>
        <w:pageBreakBefore w:val="0"/>
        <w:numPr>
          <w:ilvl w:val="0"/>
          <w:numId w:val="5"/>
        </w:numPr>
        <w:pBdr>
          <w:bottom w:val="single" w:color="FFFFFF" w:sz="4" w:space="31"/>
        </w:pBdr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outlineLvl w:val="0"/>
        <w:rPr>
          <w:rFonts w:ascii="楷体_GB2312" w:hAnsi="Tahoma" w:eastAsia="楷体_GB2312" w:cs="Tahoma"/>
          <w:color w:val="auto"/>
          <w:sz w:val="32"/>
          <w:szCs w:val="32"/>
          <w:highlight w:val="none"/>
        </w:rPr>
      </w:pPr>
      <w:r>
        <w:rPr>
          <w:rFonts w:hint="eastAsia" w:ascii="楷体_GB2312" w:hAnsi="Tahoma" w:eastAsia="楷体_GB2312" w:cs="Tahoma"/>
          <w:color w:val="auto"/>
          <w:sz w:val="32"/>
          <w:szCs w:val="32"/>
          <w:highlight w:val="none"/>
        </w:rPr>
        <w:t>政府采购情况</w:t>
      </w:r>
    </w:p>
    <w:p w14:paraId="5CFEF874">
      <w:pPr>
        <w:keepNext w:val="0"/>
        <w:keepLines w:val="0"/>
        <w:pageBreakBefore w:val="0"/>
        <w:pBdr>
          <w:bottom w:val="single" w:color="FFFFFF" w:sz="4" w:space="31"/>
        </w:pBdr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outlineLvl w:val="0"/>
        <w:rPr>
          <w:color w:val="auto"/>
          <w:sz w:val="32"/>
          <w:szCs w:val="32"/>
        </w:rPr>
      </w:pPr>
      <w:r>
        <w:rPr>
          <w:rFonts w:hint="eastAsia" w:ascii="仿宋_GB2312" w:hAnsi="Tahoma" w:eastAsia="仿宋_GB2312" w:cs="Tahoma"/>
          <w:color w:val="auto"/>
          <w:sz w:val="32"/>
          <w:szCs w:val="32"/>
        </w:rPr>
        <w:t>202</w:t>
      </w:r>
      <w:r>
        <w:rPr>
          <w:rFonts w:hint="eastAsia" w:ascii="仿宋_GB2312" w:hAnsi="Tahoma" w:eastAsia="仿宋_GB2312" w:cs="Tahoma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Tahoma" w:eastAsia="仿宋_GB2312" w:cs="Tahoma"/>
          <w:color w:val="auto"/>
          <w:sz w:val="32"/>
          <w:szCs w:val="32"/>
        </w:rPr>
        <w:t>年，大兴区疾病预防控制中心政府采购预算总额</w:t>
      </w:r>
      <w:r>
        <w:rPr>
          <w:rFonts w:hint="eastAsia" w:ascii="仿宋_GB2312" w:hAnsi="Tahoma" w:eastAsia="仿宋_GB2312" w:cs="Tahoma"/>
          <w:color w:val="auto"/>
          <w:sz w:val="32"/>
          <w:szCs w:val="32"/>
          <w:lang w:val="en-US" w:eastAsia="zh-CN"/>
        </w:rPr>
        <w:t>26.53</w:t>
      </w:r>
      <w:r>
        <w:rPr>
          <w:rFonts w:hint="eastAsia" w:ascii="仿宋_GB2312" w:hAnsi="Tahoma" w:eastAsia="仿宋_GB2312" w:cs="Tahoma"/>
          <w:color w:val="auto"/>
          <w:sz w:val="32"/>
          <w:szCs w:val="32"/>
        </w:rPr>
        <w:t>万元，其中：政府采购货物预算</w:t>
      </w:r>
      <w:r>
        <w:rPr>
          <w:rFonts w:hint="eastAsia" w:ascii="仿宋_GB2312" w:hAnsi="Tahoma" w:eastAsia="仿宋_GB2312" w:cs="Tahoma"/>
          <w:color w:val="auto"/>
          <w:sz w:val="32"/>
          <w:szCs w:val="32"/>
          <w:lang w:val="en-US" w:eastAsia="zh-CN"/>
        </w:rPr>
        <w:t>2.50</w:t>
      </w:r>
      <w:r>
        <w:rPr>
          <w:rFonts w:hint="eastAsia" w:ascii="仿宋_GB2312" w:hAnsi="Tahoma" w:eastAsia="仿宋_GB2312" w:cs="Tahoma"/>
          <w:color w:val="auto"/>
          <w:sz w:val="32"/>
          <w:szCs w:val="32"/>
        </w:rPr>
        <w:t>万元、政府采购工程预算0万元、政府采购服务预算</w:t>
      </w:r>
      <w:r>
        <w:rPr>
          <w:rFonts w:hint="eastAsia" w:ascii="仿宋_GB2312" w:hAnsi="Tahoma" w:eastAsia="仿宋_GB2312" w:cs="Tahoma"/>
          <w:color w:val="auto"/>
          <w:sz w:val="32"/>
          <w:szCs w:val="32"/>
          <w:lang w:val="en-US" w:eastAsia="zh-CN"/>
        </w:rPr>
        <w:t>24.03</w:t>
      </w:r>
      <w:r>
        <w:rPr>
          <w:rFonts w:hint="eastAsia" w:ascii="仿宋_GB2312" w:hAnsi="Tahoma" w:eastAsia="仿宋_GB2312" w:cs="Tahoma"/>
          <w:color w:val="auto"/>
          <w:sz w:val="32"/>
          <w:szCs w:val="32"/>
        </w:rPr>
        <w:t>万元。</w:t>
      </w:r>
    </w:p>
    <w:p w14:paraId="0167EE2C">
      <w:pPr>
        <w:keepNext w:val="0"/>
        <w:keepLines w:val="0"/>
        <w:pageBreakBefore w:val="0"/>
        <w:numPr>
          <w:ilvl w:val="0"/>
          <w:numId w:val="5"/>
        </w:numPr>
        <w:pBdr>
          <w:bottom w:val="single" w:color="FFFFFF" w:sz="4" w:space="31"/>
        </w:pBdr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outlineLvl w:val="0"/>
        <w:rPr>
          <w:rFonts w:ascii="楷体_GB2312" w:hAnsi="Tahoma" w:eastAsia="楷体_GB2312" w:cs="Tahoma"/>
          <w:color w:val="auto"/>
          <w:sz w:val="32"/>
          <w:szCs w:val="32"/>
          <w:highlight w:val="none"/>
        </w:rPr>
      </w:pPr>
      <w:r>
        <w:rPr>
          <w:rFonts w:hint="eastAsia" w:ascii="仿宋_GB2312" w:hAnsi="Tahoma" w:eastAsia="仿宋_GB2312" w:cs="Tahoma"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楷体_GB2312" w:hAnsi="Tahoma" w:eastAsia="楷体_GB2312" w:cs="Tahoma"/>
          <w:color w:val="auto"/>
          <w:sz w:val="32"/>
          <w:szCs w:val="32"/>
          <w:highlight w:val="none"/>
        </w:rPr>
        <w:t>国有资产占用情况</w:t>
      </w:r>
    </w:p>
    <w:p w14:paraId="53F4F498">
      <w:pPr>
        <w:keepNext w:val="0"/>
        <w:keepLines w:val="0"/>
        <w:pageBreakBefore w:val="0"/>
        <w:pBdr>
          <w:bottom w:val="single" w:color="FFFFFF" w:sz="4" w:space="31"/>
        </w:pBdr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outlineLvl w:val="0"/>
        <w:rPr>
          <w:rFonts w:hint="eastAsia" w:ascii="仿宋_GB2312" w:eastAsia="仿宋_GB2312"/>
          <w:color w:val="auto"/>
          <w:sz w:val="32"/>
          <w:szCs w:val="32"/>
          <w:highlight w:val="none"/>
        </w:rPr>
      </w:pPr>
      <w:r>
        <w:rPr>
          <w:rFonts w:ascii="仿宋_GB2312" w:eastAsia="仿宋_GB2312"/>
          <w:color w:val="auto"/>
          <w:sz w:val="32"/>
          <w:szCs w:val="32"/>
          <w:highlight w:val="none"/>
        </w:rPr>
        <w:t>截止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202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年</w:t>
      </w:r>
      <w:r>
        <w:rPr>
          <w:rFonts w:ascii="仿宋_GB2312" w:eastAsia="仿宋_GB2312"/>
          <w:color w:val="auto"/>
          <w:sz w:val="32"/>
          <w:szCs w:val="32"/>
          <w:highlight w:val="none"/>
        </w:rPr>
        <w:t>底，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本部门</w:t>
      </w:r>
      <w:r>
        <w:rPr>
          <w:rFonts w:ascii="仿宋_GB2312" w:eastAsia="仿宋_GB2312"/>
          <w:color w:val="auto"/>
          <w:sz w:val="32"/>
          <w:szCs w:val="32"/>
          <w:highlight w:val="none"/>
        </w:rPr>
        <w:t>固定资产总额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6816.70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万元，其中：车辆19台，330.71万元；单位价值50万元以上的通用设备5台（套）、1124.70万元，单位价值100万元以上的专用设备9台（套）、1477.84万元。</w:t>
      </w:r>
    </w:p>
    <w:p w14:paraId="54CABA01">
      <w:pPr>
        <w:keepNext w:val="0"/>
        <w:keepLines w:val="0"/>
        <w:pageBreakBefore w:val="0"/>
        <w:numPr>
          <w:ilvl w:val="0"/>
          <w:numId w:val="5"/>
        </w:numPr>
        <w:pBdr>
          <w:bottom w:val="single" w:color="FFFFFF" w:sz="4" w:space="31"/>
        </w:pBdr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outlineLvl w:val="0"/>
        <w:rPr>
          <w:rFonts w:ascii="楷体_GB2312" w:hAnsi="Tahoma" w:eastAsia="楷体_GB2312" w:cs="Tahoma"/>
          <w:color w:val="auto"/>
          <w:sz w:val="32"/>
          <w:szCs w:val="32"/>
          <w:highlight w:val="none"/>
        </w:rPr>
      </w:pPr>
      <w:r>
        <w:rPr>
          <w:rFonts w:hint="eastAsia" w:ascii="楷体_GB2312" w:hAnsi="Tahoma" w:eastAsia="楷体_GB2312" w:cs="Tahoma"/>
          <w:color w:val="auto"/>
          <w:sz w:val="32"/>
          <w:szCs w:val="32"/>
          <w:highlight w:val="none"/>
        </w:rPr>
        <w:t>重点项目预算的绩效目标和绩效评价结果的情况</w:t>
      </w:r>
    </w:p>
    <w:p w14:paraId="1E1317BE">
      <w:pPr>
        <w:keepNext w:val="0"/>
        <w:keepLines w:val="0"/>
        <w:pageBreakBefore w:val="0"/>
        <w:pBdr>
          <w:bottom w:val="single" w:color="FFFFFF" w:sz="4" w:space="31"/>
        </w:pBdr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outlineLvl w:val="0"/>
        <w:rPr>
          <w:rFonts w:hint="eastAsia"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202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年，本部门预算项目14个，填报绩效目标的预算项目14个，占全部预算项目14个的100%。填报绩效目标的项目支出预算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868.81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万元。</w:t>
      </w:r>
    </w:p>
    <w:p w14:paraId="5CF70FE9">
      <w:pPr>
        <w:keepNext w:val="0"/>
        <w:keepLines w:val="0"/>
        <w:pageBreakBefore w:val="0"/>
        <w:pBdr>
          <w:bottom w:val="single" w:color="FFFFFF" w:sz="4" w:space="31"/>
        </w:pBdr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outlineLvl w:val="0"/>
        <w:rPr>
          <w:color w:val="auto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本</w:t>
      </w:r>
      <w:r>
        <w:rPr>
          <w:rFonts w:hint="eastAsia" w:ascii="仿宋_GB2312" w:hAnsi="Tahoma" w:eastAsia="仿宋_GB2312" w:cs="Tahoma"/>
          <w:color w:val="auto"/>
          <w:sz w:val="32"/>
          <w:szCs w:val="32"/>
          <w:highlight w:val="none"/>
        </w:rPr>
        <w:t>部门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202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年无事前评估项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目。</w:t>
      </w:r>
    </w:p>
    <w:p w14:paraId="2CB52C4F">
      <w:pPr>
        <w:keepNext w:val="0"/>
        <w:keepLines w:val="0"/>
        <w:pageBreakBefore w:val="0"/>
        <w:numPr>
          <w:ilvl w:val="0"/>
          <w:numId w:val="5"/>
        </w:numPr>
        <w:pBdr>
          <w:bottom w:val="single" w:color="FFFFFF" w:sz="4" w:space="31"/>
        </w:pBdr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outlineLvl w:val="0"/>
        <w:rPr>
          <w:rFonts w:ascii="楷体_GB2312" w:hAnsi="Tahoma" w:eastAsia="楷体_GB2312" w:cs="Tahoma"/>
          <w:color w:val="auto"/>
          <w:sz w:val="32"/>
          <w:szCs w:val="32"/>
          <w:highlight w:val="none"/>
        </w:rPr>
      </w:pPr>
      <w:r>
        <w:rPr>
          <w:rFonts w:hint="eastAsia" w:ascii="楷体_GB2312" w:hAnsi="Tahoma" w:eastAsia="楷体_GB2312" w:cs="Tahoma"/>
          <w:color w:val="auto"/>
          <w:sz w:val="32"/>
          <w:szCs w:val="32"/>
          <w:highlight w:val="none"/>
        </w:rPr>
        <w:t>重点行政事业性收费情况说明</w:t>
      </w:r>
    </w:p>
    <w:p w14:paraId="1517F54E">
      <w:pPr>
        <w:keepNext w:val="0"/>
        <w:keepLines w:val="0"/>
        <w:pageBreakBefore w:val="0"/>
        <w:pBdr>
          <w:bottom w:val="single" w:color="FFFFFF" w:sz="4" w:space="31"/>
        </w:pBdr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outlineLvl w:val="0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本</w:t>
      </w:r>
      <w:r>
        <w:rPr>
          <w:rFonts w:hint="eastAsia" w:ascii="仿宋_GB2312" w:hAnsi="Tahoma" w:eastAsia="仿宋_GB2312" w:cs="Tahoma"/>
          <w:color w:val="auto"/>
          <w:sz w:val="32"/>
          <w:szCs w:val="32"/>
          <w:highlight w:val="none"/>
        </w:rPr>
        <w:t>部门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202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年无行政事业性收费。</w:t>
      </w:r>
    </w:p>
    <w:p w14:paraId="391282DC">
      <w:pPr>
        <w:keepNext w:val="0"/>
        <w:keepLines w:val="0"/>
        <w:pageBreakBefore w:val="0"/>
        <w:numPr>
          <w:ilvl w:val="0"/>
          <w:numId w:val="5"/>
        </w:numPr>
        <w:pBdr>
          <w:bottom w:val="single" w:color="FFFFFF" w:sz="4" w:space="31"/>
        </w:pBdr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outlineLvl w:val="0"/>
        <w:rPr>
          <w:rFonts w:ascii="楷体_GB2312" w:hAnsi="Tahoma" w:eastAsia="楷体_GB2312" w:cs="Tahoma"/>
          <w:color w:val="auto"/>
          <w:sz w:val="32"/>
          <w:szCs w:val="32"/>
          <w:highlight w:val="none"/>
        </w:rPr>
      </w:pPr>
      <w:r>
        <w:rPr>
          <w:rFonts w:hint="eastAsia" w:ascii="楷体_GB2312" w:hAnsi="Tahoma" w:eastAsia="楷体_GB2312" w:cs="Tahoma"/>
          <w:color w:val="auto"/>
          <w:sz w:val="32"/>
          <w:szCs w:val="32"/>
          <w:highlight w:val="none"/>
        </w:rPr>
        <w:t>政府购买服务预算说明</w:t>
      </w:r>
    </w:p>
    <w:p w14:paraId="1DF219A5">
      <w:pPr>
        <w:keepNext w:val="0"/>
        <w:keepLines w:val="0"/>
        <w:pageBreakBefore w:val="0"/>
        <w:pBdr>
          <w:bottom w:val="single" w:color="FFFFFF" w:sz="4" w:space="31"/>
        </w:pBdr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outlineLvl w:val="0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本</w:t>
      </w:r>
      <w:r>
        <w:rPr>
          <w:rFonts w:hint="eastAsia" w:ascii="仿宋_GB2312" w:hAnsi="Tahoma" w:eastAsia="仿宋_GB2312" w:cs="Tahoma"/>
          <w:color w:val="auto"/>
          <w:sz w:val="32"/>
          <w:szCs w:val="32"/>
          <w:highlight w:val="none"/>
        </w:rPr>
        <w:t>部门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202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年无政府购买服务预算。</w:t>
      </w:r>
    </w:p>
    <w:p w14:paraId="0E576E5A">
      <w:pPr>
        <w:keepNext w:val="0"/>
        <w:keepLines w:val="0"/>
        <w:pageBreakBefore w:val="0"/>
        <w:numPr>
          <w:ilvl w:val="0"/>
          <w:numId w:val="5"/>
        </w:numPr>
        <w:pBdr>
          <w:bottom w:val="single" w:color="FFFFFF" w:sz="4" w:space="31"/>
        </w:pBdr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outlineLvl w:val="0"/>
        <w:rPr>
          <w:rFonts w:ascii="楷体_GB2312" w:hAnsi="Tahoma" w:eastAsia="楷体_GB2312" w:cs="Tahoma"/>
          <w:color w:val="auto"/>
          <w:sz w:val="32"/>
          <w:szCs w:val="32"/>
          <w:highlight w:val="none"/>
        </w:rPr>
      </w:pPr>
      <w:r>
        <w:rPr>
          <w:rFonts w:hint="eastAsia" w:ascii="楷体_GB2312" w:hAnsi="Tahoma" w:eastAsia="楷体_GB2312" w:cs="Tahoma"/>
          <w:color w:val="auto"/>
          <w:sz w:val="32"/>
          <w:szCs w:val="32"/>
          <w:highlight w:val="none"/>
        </w:rPr>
        <w:t>国有资本经营预算财政拨款情况说明</w:t>
      </w:r>
    </w:p>
    <w:p w14:paraId="4D9346E8">
      <w:pPr>
        <w:keepNext w:val="0"/>
        <w:keepLines w:val="0"/>
        <w:pageBreakBefore w:val="0"/>
        <w:pBdr>
          <w:bottom w:val="single" w:color="FFFFFF" w:sz="4" w:space="31"/>
        </w:pBdr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outlineLvl w:val="0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本</w:t>
      </w:r>
      <w:r>
        <w:rPr>
          <w:rFonts w:hint="eastAsia" w:ascii="仿宋_GB2312" w:hAnsi="Tahoma" w:eastAsia="仿宋_GB2312" w:cs="Tahoma"/>
          <w:color w:val="auto"/>
          <w:sz w:val="32"/>
          <w:szCs w:val="32"/>
          <w:highlight w:val="none"/>
        </w:rPr>
        <w:t>部门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202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年无国有资本经营预算。</w:t>
      </w:r>
    </w:p>
    <w:p w14:paraId="7572EEAF">
      <w:pPr>
        <w:keepNext w:val="0"/>
        <w:keepLines w:val="0"/>
        <w:pageBreakBefore w:val="0"/>
        <w:numPr>
          <w:ilvl w:val="0"/>
          <w:numId w:val="6"/>
        </w:numPr>
        <w:pBdr>
          <w:bottom w:val="single" w:color="FFFFFF" w:sz="4" w:space="31"/>
        </w:pBdr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outlineLvl w:val="0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黑体" w:hAnsi="文星标宋" w:eastAsia="黑体" w:cs="Tahoma"/>
          <w:color w:val="auto"/>
          <w:sz w:val="32"/>
          <w:szCs w:val="32"/>
          <w:highlight w:val="none"/>
        </w:rPr>
        <w:t>名词解释</w:t>
      </w:r>
    </w:p>
    <w:p w14:paraId="45A162D0">
      <w:pPr>
        <w:keepNext w:val="0"/>
        <w:keepLines w:val="0"/>
        <w:pageBreakBefore w:val="0"/>
        <w:numPr>
          <w:ilvl w:val="0"/>
          <w:numId w:val="7"/>
        </w:numPr>
        <w:pBdr>
          <w:bottom w:val="single" w:color="FFFFFF" w:sz="4" w:space="31"/>
        </w:pBdr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outlineLvl w:val="0"/>
        <w:rPr>
          <w:rFonts w:ascii="仿宋_GB2312" w:eastAsia="仿宋_GB2312"/>
          <w:color w:val="auto"/>
          <w:sz w:val="32"/>
          <w:szCs w:val="32"/>
          <w:highlight w:val="none"/>
        </w:rPr>
      </w:pPr>
      <w:bookmarkStart w:id="0" w:name="_GoBack"/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 xml:space="preserve">“三公”经费：指本部门当年部门预算安排的因公出国（境）费用、公务接待费、公务用车购置和运行维护费。  </w:t>
      </w:r>
    </w:p>
    <w:p w14:paraId="5D226E76">
      <w:pPr>
        <w:keepNext w:val="0"/>
        <w:keepLines w:val="0"/>
        <w:pageBreakBefore w:val="0"/>
        <w:pBdr>
          <w:bottom w:val="single" w:color="FFFFFF" w:sz="4" w:space="31"/>
        </w:pBdr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outlineLvl w:val="0"/>
        <w:rPr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2.机构运行经费：指为保障行政单位运行用于购买货物和服务的各项资金，包括办公及印刷费、邮电费、差旅费、会议费、福利费、日常维修费、专用材料及一般设备购置费、办公用房水电费、办公用房取暖费、办公用房物业管理费、公务用车运行维护费以及其他费用。</w:t>
      </w:r>
    </w:p>
    <w:bookmarkEnd w:id="0"/>
    <w:sectPr>
      <w:footerReference r:id="rId3" w:type="default"/>
      <w:pgSz w:w="11906" w:h="16838"/>
      <w:pgMar w:top="2098" w:right="1474" w:bottom="1984" w:left="1587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53B5783-8E7C-4E58-813A-347D8E0F6F57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32288EF6-8F51-47A5-944D-6E7B7960AA7B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BF60105A-776E-4CB7-AE10-D971A9D90E3B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文星标宋">
    <w:altName w:val="微软雅黑"/>
    <w:panose1 w:val="00000000000000000000"/>
    <w:charset w:val="86"/>
    <w:family w:val="auto"/>
    <w:pitch w:val="default"/>
    <w:sig w:usb0="00000000" w:usb1="00000000" w:usb2="00000000" w:usb3="00000000" w:csb0="00040001" w:csb1="00000000"/>
    <w:embedRegular r:id="rId4" w:fontKey="{563200FF-CA89-43A9-9106-2DC0DDBA5230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  <w:embedRegular r:id="rId5" w:fontKey="{644B96B3-C14C-47A3-82ED-53755700EEC5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6" w:fontKey="{47FD2853-450B-4F5E-8AEC-7EB1F0BF5F00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2312">
    <w:altName w:val="方正楷体_GB2312"/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7" w:fontKey="{C0284518-BCD9-4C42-8F84-BB5CB0EA164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658253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7A5B74F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7A5B74F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1B635C"/>
    <w:multiLevelType w:val="singleLevel"/>
    <w:tmpl w:val="601B635C"/>
    <w:lvl w:ilvl="0" w:tentative="0">
      <w:start w:val="1"/>
      <w:numFmt w:val="chineseCounting"/>
      <w:suff w:val="nothing"/>
      <w:lvlText w:val="(%1）"/>
      <w:lvlJc w:val="left"/>
    </w:lvl>
  </w:abstractNum>
  <w:abstractNum w:abstractNumId="1">
    <w:nsid w:val="601B93D9"/>
    <w:multiLevelType w:val="singleLevel"/>
    <w:tmpl w:val="601B93D9"/>
    <w:lvl w:ilvl="0" w:tentative="0">
      <w:start w:val="1"/>
      <w:numFmt w:val="chineseCounting"/>
      <w:suff w:val="nothing"/>
      <w:lvlText w:val="（%1）"/>
      <w:lvlJc w:val="left"/>
    </w:lvl>
  </w:abstractNum>
  <w:abstractNum w:abstractNumId="2">
    <w:nsid w:val="601CBF18"/>
    <w:multiLevelType w:val="singleLevel"/>
    <w:tmpl w:val="601CBF18"/>
    <w:lvl w:ilvl="0" w:tentative="0">
      <w:start w:val="2"/>
      <w:numFmt w:val="chineseCounting"/>
      <w:suff w:val="nothing"/>
      <w:lvlText w:val="（%1）"/>
      <w:lvlJc w:val="left"/>
    </w:lvl>
  </w:abstractNum>
  <w:abstractNum w:abstractNumId="3">
    <w:nsid w:val="601CEA33"/>
    <w:multiLevelType w:val="singleLevel"/>
    <w:tmpl w:val="601CEA33"/>
    <w:lvl w:ilvl="0" w:tentative="0">
      <w:start w:val="2"/>
      <w:numFmt w:val="chineseCounting"/>
      <w:suff w:val="nothing"/>
      <w:lvlText w:val="（%1）"/>
      <w:lvlJc w:val="left"/>
    </w:lvl>
  </w:abstractNum>
  <w:abstractNum w:abstractNumId="4">
    <w:nsid w:val="601CEA9D"/>
    <w:multiLevelType w:val="singleLevel"/>
    <w:tmpl w:val="601CEA9D"/>
    <w:lvl w:ilvl="0" w:tentative="0">
      <w:start w:val="12"/>
      <w:numFmt w:val="chineseCounting"/>
      <w:suff w:val="nothing"/>
      <w:lvlText w:val="%1、"/>
      <w:lvlJc w:val="left"/>
    </w:lvl>
  </w:abstractNum>
  <w:abstractNum w:abstractNumId="5">
    <w:nsid w:val="601CEAAF"/>
    <w:multiLevelType w:val="singleLevel"/>
    <w:tmpl w:val="601CEAAF"/>
    <w:lvl w:ilvl="0" w:tentative="0">
      <w:start w:val="1"/>
      <w:numFmt w:val="decimal"/>
      <w:suff w:val="nothing"/>
      <w:lvlText w:val="%1."/>
      <w:lvlJc w:val="left"/>
    </w:lvl>
  </w:abstractNum>
  <w:abstractNum w:abstractNumId="6">
    <w:nsid w:val="63E1FDF3"/>
    <w:multiLevelType w:val="singleLevel"/>
    <w:tmpl w:val="63E1FDF3"/>
    <w:lvl w:ilvl="0" w:tentative="0">
      <w:start w:val="1"/>
      <w:numFmt w:val="chineseCounting"/>
      <w:suff w:val="nothing"/>
      <w:lvlText w:val="（%1）"/>
      <w:lvlJc w:val="left"/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9B45D7"/>
    <w:rsid w:val="0061133B"/>
    <w:rsid w:val="00617F72"/>
    <w:rsid w:val="008878D1"/>
    <w:rsid w:val="008C5234"/>
    <w:rsid w:val="00982211"/>
    <w:rsid w:val="00994FC0"/>
    <w:rsid w:val="00D70CB5"/>
    <w:rsid w:val="00F97A8B"/>
    <w:rsid w:val="01F928B5"/>
    <w:rsid w:val="02593745"/>
    <w:rsid w:val="03012E9E"/>
    <w:rsid w:val="03B702B3"/>
    <w:rsid w:val="03B75441"/>
    <w:rsid w:val="045E427A"/>
    <w:rsid w:val="0499493F"/>
    <w:rsid w:val="04E830AF"/>
    <w:rsid w:val="058014BF"/>
    <w:rsid w:val="06127C3D"/>
    <w:rsid w:val="064B7126"/>
    <w:rsid w:val="07E3189D"/>
    <w:rsid w:val="083E3FB1"/>
    <w:rsid w:val="08665B5D"/>
    <w:rsid w:val="08A403FB"/>
    <w:rsid w:val="095B1ADA"/>
    <w:rsid w:val="0B184192"/>
    <w:rsid w:val="0B8719F2"/>
    <w:rsid w:val="0C072833"/>
    <w:rsid w:val="0C0B3795"/>
    <w:rsid w:val="0CA02475"/>
    <w:rsid w:val="0D200E92"/>
    <w:rsid w:val="0DCA67EE"/>
    <w:rsid w:val="0EA74BC2"/>
    <w:rsid w:val="0FE60171"/>
    <w:rsid w:val="101B001F"/>
    <w:rsid w:val="11071744"/>
    <w:rsid w:val="11591156"/>
    <w:rsid w:val="117B22D4"/>
    <w:rsid w:val="11CB07CE"/>
    <w:rsid w:val="12660C23"/>
    <w:rsid w:val="12A10607"/>
    <w:rsid w:val="1311486C"/>
    <w:rsid w:val="136C3A6D"/>
    <w:rsid w:val="137D6EE1"/>
    <w:rsid w:val="14F0383F"/>
    <w:rsid w:val="15B312F4"/>
    <w:rsid w:val="19205C56"/>
    <w:rsid w:val="19356020"/>
    <w:rsid w:val="1C385614"/>
    <w:rsid w:val="1D2940FE"/>
    <w:rsid w:val="1DB16537"/>
    <w:rsid w:val="1EC35FA1"/>
    <w:rsid w:val="1F1663D7"/>
    <w:rsid w:val="1F2011BB"/>
    <w:rsid w:val="1F2B3DEE"/>
    <w:rsid w:val="203339D2"/>
    <w:rsid w:val="211C68F7"/>
    <w:rsid w:val="21403479"/>
    <w:rsid w:val="224373D8"/>
    <w:rsid w:val="22AA664A"/>
    <w:rsid w:val="22B07F8A"/>
    <w:rsid w:val="22F715F0"/>
    <w:rsid w:val="23926C30"/>
    <w:rsid w:val="27C75153"/>
    <w:rsid w:val="287F4130"/>
    <w:rsid w:val="2C332B6D"/>
    <w:rsid w:val="2CB5247C"/>
    <w:rsid w:val="2D1E0AF2"/>
    <w:rsid w:val="2D9B0251"/>
    <w:rsid w:val="2DD97AAB"/>
    <w:rsid w:val="2E083AD2"/>
    <w:rsid w:val="2E5371DD"/>
    <w:rsid w:val="30AD2870"/>
    <w:rsid w:val="30EA3353"/>
    <w:rsid w:val="319B177C"/>
    <w:rsid w:val="33412F5E"/>
    <w:rsid w:val="342B057B"/>
    <w:rsid w:val="34491C1C"/>
    <w:rsid w:val="372D5723"/>
    <w:rsid w:val="37511EEE"/>
    <w:rsid w:val="377D2195"/>
    <w:rsid w:val="37C36E66"/>
    <w:rsid w:val="382133FC"/>
    <w:rsid w:val="3872336F"/>
    <w:rsid w:val="3A700153"/>
    <w:rsid w:val="3A8D1EDA"/>
    <w:rsid w:val="3AA83091"/>
    <w:rsid w:val="3B385A7F"/>
    <w:rsid w:val="3B4958D4"/>
    <w:rsid w:val="3F601255"/>
    <w:rsid w:val="3FD2160C"/>
    <w:rsid w:val="4022701E"/>
    <w:rsid w:val="412A2666"/>
    <w:rsid w:val="41C17B42"/>
    <w:rsid w:val="42526DA7"/>
    <w:rsid w:val="43A050B1"/>
    <w:rsid w:val="44E110EA"/>
    <w:rsid w:val="45DB4527"/>
    <w:rsid w:val="47684B40"/>
    <w:rsid w:val="478E063F"/>
    <w:rsid w:val="47F35289"/>
    <w:rsid w:val="489B45D7"/>
    <w:rsid w:val="498D348E"/>
    <w:rsid w:val="4A53662B"/>
    <w:rsid w:val="4A6E48D8"/>
    <w:rsid w:val="4B004EE9"/>
    <w:rsid w:val="4C0E53FC"/>
    <w:rsid w:val="4D1F02B0"/>
    <w:rsid w:val="4D646F20"/>
    <w:rsid w:val="4E4869FD"/>
    <w:rsid w:val="4E4F3CFF"/>
    <w:rsid w:val="4F0E3680"/>
    <w:rsid w:val="4F594BD4"/>
    <w:rsid w:val="505010D3"/>
    <w:rsid w:val="5059126E"/>
    <w:rsid w:val="51000A73"/>
    <w:rsid w:val="514A6415"/>
    <w:rsid w:val="5184370A"/>
    <w:rsid w:val="52EF4B5B"/>
    <w:rsid w:val="53CF5961"/>
    <w:rsid w:val="53FC2069"/>
    <w:rsid w:val="5424628F"/>
    <w:rsid w:val="545F6771"/>
    <w:rsid w:val="55213172"/>
    <w:rsid w:val="55450BF9"/>
    <w:rsid w:val="564C5E20"/>
    <w:rsid w:val="57962F64"/>
    <w:rsid w:val="57980E11"/>
    <w:rsid w:val="58F92290"/>
    <w:rsid w:val="5A6C5EB1"/>
    <w:rsid w:val="5B8B03A8"/>
    <w:rsid w:val="5C0E611B"/>
    <w:rsid w:val="5C281BFE"/>
    <w:rsid w:val="5D120507"/>
    <w:rsid w:val="5D164974"/>
    <w:rsid w:val="5D61099F"/>
    <w:rsid w:val="5DD13BBF"/>
    <w:rsid w:val="5DE45CC9"/>
    <w:rsid w:val="5DEA520D"/>
    <w:rsid w:val="5E4430CE"/>
    <w:rsid w:val="5F5521EA"/>
    <w:rsid w:val="606A24B6"/>
    <w:rsid w:val="6146003C"/>
    <w:rsid w:val="61DD5963"/>
    <w:rsid w:val="6277148A"/>
    <w:rsid w:val="63342861"/>
    <w:rsid w:val="6344053E"/>
    <w:rsid w:val="63B138BE"/>
    <w:rsid w:val="63BC27AE"/>
    <w:rsid w:val="6413194B"/>
    <w:rsid w:val="6483479D"/>
    <w:rsid w:val="655941D2"/>
    <w:rsid w:val="65671E6F"/>
    <w:rsid w:val="65BB3C9D"/>
    <w:rsid w:val="65D3192E"/>
    <w:rsid w:val="668120DB"/>
    <w:rsid w:val="67EC2091"/>
    <w:rsid w:val="686460B6"/>
    <w:rsid w:val="6885431E"/>
    <w:rsid w:val="6ACE6056"/>
    <w:rsid w:val="6B8E106F"/>
    <w:rsid w:val="6BCE460B"/>
    <w:rsid w:val="6DE553D2"/>
    <w:rsid w:val="6E2D1261"/>
    <w:rsid w:val="6E686CBA"/>
    <w:rsid w:val="6E8860CD"/>
    <w:rsid w:val="71597A4C"/>
    <w:rsid w:val="73B32C53"/>
    <w:rsid w:val="74AE3885"/>
    <w:rsid w:val="76281F1D"/>
    <w:rsid w:val="770C48AE"/>
    <w:rsid w:val="78365426"/>
    <w:rsid w:val="785C095A"/>
    <w:rsid w:val="789C1508"/>
    <w:rsid w:val="79044338"/>
    <w:rsid w:val="79E37B88"/>
    <w:rsid w:val="7BC02843"/>
    <w:rsid w:val="7BCD3560"/>
    <w:rsid w:val="7C6E009B"/>
    <w:rsid w:val="7C855A65"/>
    <w:rsid w:val="7DD317CA"/>
    <w:rsid w:val="7E492613"/>
    <w:rsid w:val="7FD32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3849</Words>
  <Characters>4765</Characters>
  <Lines>34</Lines>
  <Paragraphs>9</Paragraphs>
  <TotalTime>22</TotalTime>
  <ScaleCrop>false</ScaleCrop>
  <LinksUpToDate>false</LinksUpToDate>
  <CharactersWithSpaces>4785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2022-01-23T14:39:00Z</dcterms:created>
  <dc:creator>Administrator</dc:creator>
  <cp:lastModifiedBy>白静</cp:lastModifiedBy>
  <cp:lastPrinted>2023-02-08T07:00:00Z</cp:lastPrinted>
  <dcterms:modified xsi:type="dcterms:W3CDTF">2025-02-08T01:01:23Z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eyJoZGlkIjoiNmIwMGI0MzhhNGIyMGQ2YTRjZTZhZjI3NWYzZTY2ZjciLCJ1c2VySWQiOiIxNjYyMjg1NzMyIn0=</vt:lpwstr>
  </property>
  <property fmtid="{D5CDD505-2E9C-101B-9397-08002B2CF9AE}" pid="4" name="ICV">
    <vt:lpwstr>8E6BFE7145404EA38F0D0B07868EC9A3_13</vt:lpwstr>
  </property>
</Properties>
</file>