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黄村镇成人学校房租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通过支付北京艺苑商业管理有限公司房租，能够解决成人学校教育用房问题，同时提高本镇居民文化生活水平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按时支付了成人学校房屋租金，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解决成人学校教育用房问题，同时提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 xml:space="preserve">高本镇居民文化生活水平 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7239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房租支付足额率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房租按时支付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房租成本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确保正常教育教学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合同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00CE8"/>
    <w:rsid w:val="003549D7"/>
    <w:rsid w:val="005933BE"/>
    <w:rsid w:val="00673699"/>
    <w:rsid w:val="00800A93"/>
    <w:rsid w:val="00976406"/>
    <w:rsid w:val="00AE7C98"/>
    <w:rsid w:val="00B406D1"/>
    <w:rsid w:val="00BD5D07"/>
    <w:rsid w:val="00DD2C76"/>
    <w:rsid w:val="00F04DE9"/>
    <w:rsid w:val="00F148D4"/>
    <w:rsid w:val="00F3410F"/>
    <w:rsid w:val="0F3C6FDB"/>
    <w:rsid w:val="1EAD088A"/>
    <w:rsid w:val="382044C2"/>
    <w:rsid w:val="47D827AB"/>
    <w:rsid w:val="4D5F4F2D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124</Words>
  <Characters>708</Characters>
  <Lines>5</Lines>
  <Paragraphs>1</Paragraphs>
  <ScaleCrop>false</ScaleCrop>
  <LinksUpToDate>false</LinksUpToDate>
  <CharactersWithSpaces>831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2023-06-02T01:25:33Z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