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4505" w:type="dxa"/>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Layout w:type="fixed"/>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Layout w:type="fixed"/>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（2022年度）</w:t>
            </w:r>
          </w:p>
        </w:tc>
      </w:tr>
      <w:tr>
        <w:tblPrEx>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ascii="仿宋_GB2312" w:hAnsi="宋体" w:eastAsia="仿宋_GB2312" w:cs="仿宋_GB2312"/>
                <w:color w:val="000000"/>
                <w:szCs w:val="21"/>
              </w:rPr>
            </w:pPr>
            <w:r>
              <w:rPr>
                <w:rFonts w:hint="eastAsia" w:ascii="仿宋_GB2312" w:hAnsi="宋体" w:eastAsia="仿宋_GB2312" w:cs="仿宋_GB2312"/>
                <w:color w:val="000000"/>
                <w:szCs w:val="21"/>
              </w:rPr>
              <w:tab/>
            </w:r>
            <w:r>
              <w:rPr>
                <w:rFonts w:hint="eastAsia" w:ascii="仿宋_GB2312" w:hAnsi="宋体" w:eastAsia="仿宋_GB2312" w:cs="仿宋_GB2312"/>
                <w:color w:val="000000"/>
                <w:szCs w:val="21"/>
              </w:rPr>
              <w:t>分中心日常运营</w:t>
            </w:r>
          </w:p>
        </w:tc>
      </w:tr>
      <w:tr>
        <w:tblPrEx>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黄村镇人民政府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市民活动中心</w:t>
            </w:r>
          </w:p>
        </w:tc>
      </w:tr>
      <w:tr>
        <w:tblPrEx>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刘冠林</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69243905</w:t>
            </w:r>
          </w:p>
        </w:tc>
      </w:tr>
      <w:tr>
        <w:tblPrEx>
          <w:tblLayout w:type="fixed"/>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type="textWrapping"/>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24.39</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24.39</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22.698241</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9</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93.06%</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9</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24.39</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24.39</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22.698241</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9</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93.06%</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9</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通过委托第三方公司对黄村镇综合文化中心所辖格林雅苑社区分中心、金色漫香郡分中心、新兴家园24小时书屋三处场地在正常运行过程中产生的水、电、供暖、网络、保洁等费用代缴，以实现镇级综合文化中心正常运营，免费向辖区群众开放，达到市、区两级文化服务相关标准，具备开展镇级文体活动能力。</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lang w:eastAsia="zh-CN"/>
              </w:rPr>
              <w:t>完成</w:t>
            </w:r>
            <w:r>
              <w:rPr>
                <w:rFonts w:hint="eastAsia" w:ascii="仿宋_GB2312" w:hAnsi="宋体" w:eastAsia="仿宋_GB2312" w:cs="仿宋_GB2312"/>
                <w:color w:val="000000"/>
                <w:szCs w:val="21"/>
              </w:rPr>
              <w:t>黄村镇综合文化中心所辖格林雅苑社区分中心、金色漫香郡分中心、新兴家园24小时书屋三处场地在正常运行过程中产生的水、电、供暖、网络、保洁等费用代缴，实现镇级综合文化中心正常运营，免费向辖区群众开放，达到市、区两级文化服务相关标准</w:t>
            </w:r>
            <w:bookmarkStart w:id="0" w:name="_GoBack"/>
            <w:bookmarkEnd w:id="0"/>
            <w:r>
              <w:rPr>
                <w:rFonts w:hint="eastAsia" w:ascii="仿宋_GB2312" w:hAnsi="宋体" w:eastAsia="仿宋_GB2312" w:cs="仿宋_GB2312"/>
                <w:color w:val="000000"/>
                <w:szCs w:val="21"/>
              </w:rPr>
              <w:t>。</w:t>
            </w:r>
          </w:p>
        </w:tc>
      </w:tr>
      <w:tr>
        <w:tblPrEx>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分中心日常运营产生的水、电、供暖、网费、保洁等费用</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以实际发生量为准</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分中心日常运营稳定率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分中心日常运营费用结算及时率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szCs w:val="21"/>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分中心日常运营总成本</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24.39万/年</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受众人次</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≥30000人次</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20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20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受众人群满意度</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ascii="仿宋_GB2312" w:hAnsi="宋体" w:eastAsia="仿宋_GB2312" w:cs="仿宋_GB2312"/>
                <w:color w:val="000000"/>
                <w:szCs w:val="21"/>
              </w:rPr>
              <w:t>96%</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Cs w:val="21"/>
              </w:rPr>
            </w:pPr>
            <w:r>
              <w:rPr>
                <w:rFonts w:hint="eastAsia" w:ascii="仿宋_GB2312" w:hAnsi="宋体" w:eastAsia="仿宋_GB2312" w:cs="仿宋_GB2312"/>
                <w:color w:val="000000"/>
                <w:szCs w:val="21"/>
              </w:rPr>
              <w:t>99</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4"/>
              </w:rPr>
            </w:pPr>
          </w:p>
        </w:tc>
      </w:tr>
    </w:tbl>
    <w:p>
      <w:pPr>
        <w:rPr>
          <w:rFonts w:ascii="黑体" w:eastAsia="黑体"/>
          <w:sz w:val="36"/>
          <w:szCs w:val="32"/>
        </w:rPr>
      </w:pPr>
    </w:p>
    <w:p/>
    <w:sectPr>
      <w:footerReference r:id="rId3" w:type="default"/>
      <w:footerReference r:id="rId4" w:type="even"/>
      <w:pgSz w:w="16838" w:h="11906" w:orient="landscape"/>
      <w:pgMar w:top="1134" w:right="1134" w:bottom="1134" w:left="1134" w:header="851" w:footer="992" w:gutter="0"/>
      <w:cols w:space="0" w:num="1"/>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val="1"/>
  <w:bordersDoNotSurroundFooter w:val="1"/>
  <w:documentProtection w:enforcement="0"/>
  <w:defaultTabStop w:val="420"/>
  <w:drawingGridHorizontalSpacing w:val="107"/>
  <w:drawingGridVerticalSpacing w:val="156"/>
  <w:displayHorizont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A2ZGM5NWM0ZjBjYjMxY2RmMjg2YzMwY2ViNjEzNDkifQ=="/>
  </w:docVars>
  <w:rsids>
    <w:rsidRoot w:val="00800A93"/>
    <w:rsid w:val="00035689"/>
    <w:rsid w:val="00073E5D"/>
    <w:rsid w:val="001542A5"/>
    <w:rsid w:val="00197BED"/>
    <w:rsid w:val="002E641F"/>
    <w:rsid w:val="003549D7"/>
    <w:rsid w:val="0046488C"/>
    <w:rsid w:val="004C1A1C"/>
    <w:rsid w:val="00696E8C"/>
    <w:rsid w:val="0070043D"/>
    <w:rsid w:val="007A051A"/>
    <w:rsid w:val="00800A93"/>
    <w:rsid w:val="00814DE8"/>
    <w:rsid w:val="009F3E51"/>
    <w:rsid w:val="00A83941"/>
    <w:rsid w:val="00BD5D07"/>
    <w:rsid w:val="00BE4C8F"/>
    <w:rsid w:val="01990704"/>
    <w:rsid w:val="031F63B5"/>
    <w:rsid w:val="098B4B7D"/>
    <w:rsid w:val="0F3C6FDB"/>
    <w:rsid w:val="2AA23E2D"/>
    <w:rsid w:val="382044C2"/>
    <w:rsid w:val="47D827AB"/>
    <w:rsid w:val="66853DA2"/>
    <w:rsid w:val="7C08441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rFonts w:asciiTheme="minorHAnsi" w:hAnsiTheme="minorHAnsi" w:cstheme="minorBidi"/>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styleId="5">
    <w:name w:val="page number"/>
    <w:basedOn w:val="4"/>
    <w:qFormat/>
    <w:uiPriority w:val="0"/>
  </w:style>
  <w:style w:type="character" w:customStyle="1" w:styleId="7">
    <w:name w:val="页脚 Char"/>
    <w:link w:val="2"/>
    <w:qFormat/>
    <w:uiPriority w:val="0"/>
    <w:rPr>
      <w:rFonts w:eastAsia="宋体"/>
      <w:sz w:val="18"/>
      <w:szCs w:val="18"/>
    </w:rPr>
  </w:style>
  <w:style w:type="character" w:customStyle="1" w:styleId="8">
    <w:name w:val="页脚 Char1"/>
    <w:basedOn w:val="4"/>
    <w:link w:val="2"/>
    <w:semiHidden/>
    <w:uiPriority w:val="99"/>
    <w:rPr>
      <w:rFonts w:ascii="Times New Roman" w:hAnsi="Times New Roman" w:eastAsia="宋体" w:cs="Times New Roman"/>
      <w:sz w:val="18"/>
      <w:szCs w:val="18"/>
    </w:rPr>
  </w:style>
  <w:style w:type="character" w:customStyle="1" w:styleId="9">
    <w:name w:val="页眉 Char"/>
    <w:basedOn w:val="4"/>
    <w:link w:val="3"/>
    <w:semiHidden/>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124</Words>
  <Characters>712</Characters>
  <Lines>5</Lines>
  <Paragraphs>1</Paragraphs>
  <ScaleCrop>false</ScaleCrop>
  <LinksUpToDate>false</LinksUpToDate>
  <CharactersWithSpaces>835</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2023-04-25T01:33:00Z</dcterms:created>
  <dc:creator>User</dc:creator>
  <cp:lastModifiedBy>HCZ-JGZ-12</cp:lastModifiedBy>
  <dcterms:modified xsi:type="dcterms:W3CDTF">2023-06-05T06:08:45Z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62359808053142CCA50B0D40805DD925_12</vt:lpwstr>
  </property>
</Properties>
</file>