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北京市大兴区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eastAsia="zh-CN"/>
        </w:rPr>
        <w:t>庞各庄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镇</w:t>
      </w:r>
      <w:r>
        <w:rPr>
          <w:rFonts w:ascii="方正小标宋简体" w:hAnsi="文星标宋" w:eastAsia="方正小标宋简体" w:cs="Tahoma"/>
          <w:color w:val="000000"/>
          <w:sz w:val="44"/>
          <w:szCs w:val="44"/>
        </w:rPr>
        <w:t>20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22年政府决算</w:t>
      </w:r>
    </w:p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公开套表说明</w:t>
      </w:r>
    </w:p>
    <w:p>
      <w:pPr>
        <w:spacing w:line="620" w:lineRule="exact"/>
        <w:ind w:firstLine="640" w:firstLineChars="200"/>
        <w:jc w:val="left"/>
        <w:rPr>
          <w:rFonts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一、大兴区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镇2022年一般公共预算收入决算表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镇2022年一般公共预算收入决算数为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10747</w:t>
      </w:r>
      <w:r>
        <w:rPr>
          <w:rFonts w:hint="eastAsia" w:ascii="仿宋_GB2312" w:hAnsi="宋体" w:eastAsia="仿宋_GB2312" w:cs="宋体"/>
          <w:sz w:val="32"/>
          <w:szCs w:val="32"/>
        </w:rPr>
        <w:t>万元（均为返还性收入），2022年预算数为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13000</w:t>
      </w:r>
      <w:r>
        <w:rPr>
          <w:rFonts w:hint="eastAsia" w:ascii="仿宋_GB2312" w:hAnsi="宋体" w:eastAsia="仿宋_GB2312" w:cs="宋体"/>
          <w:sz w:val="32"/>
          <w:szCs w:val="32"/>
        </w:rPr>
        <w:t>万元，2022年决算数为2022年预算数的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83</w:t>
      </w:r>
      <w:r>
        <w:rPr>
          <w:rFonts w:hint="eastAsia" w:ascii="仿宋_GB2312" w:hAnsi="宋体" w:eastAsia="仿宋_GB2312" w:cs="宋体"/>
          <w:sz w:val="32"/>
          <w:szCs w:val="32"/>
        </w:rPr>
        <w:t>%。其中：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（一）2022年增值税收入决算数为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2845</w:t>
      </w:r>
      <w:r>
        <w:rPr>
          <w:rFonts w:hint="eastAsia" w:ascii="仿宋_GB2312" w:hAnsi="宋体" w:eastAsia="仿宋_GB2312" w:cs="宋体"/>
          <w:sz w:val="32"/>
          <w:szCs w:val="32"/>
        </w:rPr>
        <w:t>万元，2022年预算数为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4415</w:t>
      </w:r>
      <w:r>
        <w:rPr>
          <w:rFonts w:hint="eastAsia" w:ascii="仿宋_GB2312" w:hAnsi="宋体" w:eastAsia="仿宋_GB2312" w:cs="宋体"/>
          <w:sz w:val="32"/>
          <w:szCs w:val="32"/>
        </w:rPr>
        <w:t>万元，2022年决算数为2022年预算数的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64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%； 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（二）2022年企业所得税收入决算数为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1311</w:t>
      </w:r>
      <w:r>
        <w:rPr>
          <w:rFonts w:hint="eastAsia" w:ascii="仿宋_GB2312" w:hAnsi="宋体" w:eastAsia="仿宋_GB2312" w:cs="宋体"/>
          <w:sz w:val="32"/>
          <w:szCs w:val="32"/>
        </w:rPr>
        <w:t>万元，2022年预算数为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2359</w:t>
      </w:r>
      <w:r>
        <w:rPr>
          <w:rFonts w:hint="eastAsia" w:ascii="仿宋_GB2312" w:hAnsi="宋体" w:eastAsia="仿宋_GB2312" w:cs="宋体"/>
          <w:sz w:val="32"/>
          <w:szCs w:val="32"/>
        </w:rPr>
        <w:t>万元，2022年决算数为2022年预算数的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56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（三）2022年城市维护建设税收入决算数为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1102</w:t>
      </w:r>
      <w:r>
        <w:rPr>
          <w:rFonts w:hint="eastAsia" w:ascii="仿宋_GB2312" w:hAnsi="宋体" w:eastAsia="仿宋_GB2312" w:cs="宋体"/>
          <w:sz w:val="32"/>
          <w:szCs w:val="32"/>
        </w:rPr>
        <w:t>万元，2022年预算数为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1028</w:t>
      </w:r>
      <w:r>
        <w:rPr>
          <w:rFonts w:hint="eastAsia" w:ascii="仿宋_GB2312" w:hAnsi="宋体" w:eastAsia="仿宋_GB2312" w:cs="宋体"/>
          <w:sz w:val="32"/>
          <w:szCs w:val="32"/>
        </w:rPr>
        <w:t>万元，2022年决算数为2022年预算数的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107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（四）2022年房产税收入决算数为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3353</w:t>
      </w:r>
      <w:r>
        <w:rPr>
          <w:rFonts w:hint="eastAsia" w:ascii="仿宋_GB2312" w:hAnsi="宋体" w:eastAsia="仿宋_GB2312" w:cs="宋体"/>
          <w:sz w:val="32"/>
          <w:szCs w:val="32"/>
        </w:rPr>
        <w:t>万元，2022年预算数为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3296</w:t>
      </w:r>
      <w:r>
        <w:rPr>
          <w:rFonts w:hint="eastAsia" w:ascii="仿宋_GB2312" w:hAnsi="宋体" w:eastAsia="仿宋_GB2312" w:cs="宋体"/>
          <w:sz w:val="32"/>
          <w:szCs w:val="32"/>
        </w:rPr>
        <w:t>万元，2022年决算数为2022年预算数的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102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（五）2022年印花税收入决算数为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701</w:t>
      </w:r>
      <w:r>
        <w:rPr>
          <w:rFonts w:hint="eastAsia" w:ascii="仿宋_GB2312" w:hAnsi="宋体" w:eastAsia="仿宋_GB2312" w:cs="宋体"/>
          <w:sz w:val="32"/>
          <w:szCs w:val="32"/>
        </w:rPr>
        <w:t>万元，2022年预算数为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564</w:t>
      </w:r>
      <w:r>
        <w:rPr>
          <w:rFonts w:hint="eastAsia" w:ascii="仿宋_GB2312" w:hAnsi="宋体" w:eastAsia="仿宋_GB2312" w:cs="宋体"/>
          <w:sz w:val="32"/>
          <w:szCs w:val="32"/>
        </w:rPr>
        <w:t>万元，2022年决算数为2022年预算数的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124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（六）2022年城镇土地使用税收入决算数为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197</w:t>
      </w:r>
      <w:r>
        <w:rPr>
          <w:rFonts w:hint="eastAsia" w:ascii="仿宋_GB2312" w:hAnsi="宋体" w:eastAsia="仿宋_GB2312" w:cs="宋体"/>
          <w:sz w:val="32"/>
          <w:szCs w:val="32"/>
        </w:rPr>
        <w:t>万元，2022年预算数为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204</w:t>
      </w:r>
      <w:r>
        <w:rPr>
          <w:rFonts w:hint="eastAsia" w:ascii="仿宋_GB2312" w:hAnsi="宋体" w:eastAsia="仿宋_GB2312" w:cs="宋体"/>
          <w:sz w:val="32"/>
          <w:szCs w:val="32"/>
        </w:rPr>
        <w:t>万元，2022年决算数为2022年预算数的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97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（七）</w:t>
      </w:r>
      <w:r>
        <w:rPr>
          <w:rFonts w:hint="eastAsia" w:ascii="仿宋_GB2312" w:hAnsi="宋体" w:eastAsia="仿宋_GB2312" w:cs="宋体"/>
          <w:sz w:val="32"/>
          <w:szCs w:val="32"/>
        </w:rPr>
        <w:t>2022年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土地增值税</w:t>
      </w:r>
      <w:r>
        <w:rPr>
          <w:rFonts w:hint="eastAsia" w:ascii="仿宋_GB2312" w:hAnsi="宋体" w:eastAsia="仿宋_GB2312" w:cs="宋体"/>
          <w:sz w:val="32"/>
          <w:szCs w:val="32"/>
        </w:rPr>
        <w:t>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1238</w:t>
      </w:r>
      <w:r>
        <w:rPr>
          <w:rFonts w:hint="eastAsia" w:ascii="仿宋_GB2312" w:hAnsi="宋体" w:eastAsia="仿宋_GB2312" w:cs="宋体"/>
          <w:sz w:val="32"/>
          <w:szCs w:val="32"/>
        </w:rPr>
        <w:t>万元，2022年预算数为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1134</w:t>
      </w:r>
      <w:r>
        <w:rPr>
          <w:rFonts w:hint="eastAsia" w:ascii="仿宋_GB2312" w:hAnsi="宋体" w:eastAsia="仿宋_GB2312" w:cs="宋体"/>
          <w:sz w:val="32"/>
          <w:szCs w:val="32"/>
        </w:rPr>
        <w:t>万元，2022年决算数为2022年预算数的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109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镇2022年一般公共预算支出决算表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镇2022年一般公共预算支出总计为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63655.87</w:t>
      </w:r>
      <w:r>
        <w:rPr>
          <w:rFonts w:hint="eastAsia" w:ascii="仿宋_GB2312" w:hAnsi="宋体" w:eastAsia="仿宋_GB2312" w:cs="宋体"/>
          <w:sz w:val="32"/>
          <w:szCs w:val="32"/>
        </w:rPr>
        <w:t>万元，其中：全镇2022年一般公共预算支出决算数为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59191.96</w:t>
      </w:r>
      <w:r>
        <w:rPr>
          <w:rFonts w:hint="eastAsia" w:ascii="仿宋_GB2312" w:hAnsi="宋体" w:eastAsia="仿宋_GB2312" w:cs="宋体"/>
          <w:sz w:val="32"/>
          <w:szCs w:val="32"/>
        </w:rPr>
        <w:t>万元、上解支出决算数为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4463.91</w:t>
      </w:r>
      <w:r>
        <w:rPr>
          <w:rFonts w:hint="eastAsia" w:ascii="仿宋_GB2312" w:hAnsi="宋体" w:eastAsia="仿宋_GB2312" w:cs="宋体"/>
          <w:sz w:val="32"/>
          <w:szCs w:val="32"/>
        </w:rPr>
        <w:t>万元。全镇一般公共预算支出2022年预算数为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33084.2</w:t>
      </w:r>
      <w:r>
        <w:rPr>
          <w:rFonts w:hint="eastAsia" w:ascii="仿宋_GB2312" w:hAnsi="宋体" w:eastAsia="仿宋_GB2312" w:cs="宋体"/>
          <w:sz w:val="32"/>
          <w:szCs w:val="32"/>
        </w:rPr>
        <w:t>万元，全镇一般公共预算支出2022年决算数为2022年预算数的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179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支出较调整预算有所增加的原因是专项转移支付增加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镇2022年一般公共预算支出决算表细化到项级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镇2022年一般公共预算支出决算数为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59191.96</w:t>
      </w:r>
      <w:r>
        <w:rPr>
          <w:rFonts w:hint="eastAsia" w:ascii="仿宋_GB2312" w:hAnsi="宋体" w:eastAsia="仿宋_GB2312" w:cs="宋体"/>
          <w:sz w:val="32"/>
          <w:szCs w:val="32"/>
        </w:rPr>
        <w:t>万元，2022年预算数为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33084.2</w:t>
      </w:r>
      <w:r>
        <w:rPr>
          <w:rFonts w:hint="eastAsia" w:ascii="仿宋_GB2312" w:hAnsi="宋体" w:eastAsia="仿宋_GB2312" w:cs="宋体"/>
          <w:sz w:val="32"/>
          <w:szCs w:val="32"/>
        </w:rPr>
        <w:t>万元，2022年决算数为2022年预算数的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178.91</w:t>
      </w:r>
      <w:r>
        <w:rPr>
          <w:rFonts w:hint="eastAsia" w:ascii="仿宋_GB2312" w:hAnsi="宋体" w:eastAsia="仿宋_GB2312" w:cs="宋体"/>
          <w:sz w:val="32"/>
          <w:szCs w:val="32"/>
        </w:rPr>
        <w:t>%，其中：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一般公共服务支出2022年决算数为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7870.31</w:t>
      </w:r>
      <w:r>
        <w:rPr>
          <w:rFonts w:hint="eastAsia" w:ascii="仿宋_GB2312" w:hAnsi="宋体" w:eastAsia="仿宋_GB2312" w:cs="宋体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9060.09</w:t>
      </w:r>
      <w:r>
        <w:rPr>
          <w:rFonts w:hint="eastAsia" w:ascii="仿宋_GB2312" w:hAnsi="宋体" w:eastAsia="仿宋_GB2312" w:cs="宋体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86.87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国防</w:t>
      </w:r>
      <w:r>
        <w:rPr>
          <w:rFonts w:hint="eastAsia" w:ascii="仿宋_GB2312" w:hAnsi="宋体" w:eastAsia="仿宋_GB2312" w:cs="宋体"/>
          <w:sz w:val="32"/>
          <w:szCs w:val="32"/>
        </w:rPr>
        <w:t>支出2022年决算数为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21.05</w:t>
      </w:r>
      <w:r>
        <w:rPr>
          <w:rFonts w:hint="eastAsia" w:ascii="仿宋_GB2312" w:hAnsi="宋体" w:eastAsia="仿宋_GB2312" w:cs="宋体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 w:cs="宋体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95.68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公共安全支出2022年决算数为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32.21</w:t>
      </w:r>
      <w:r>
        <w:rPr>
          <w:rFonts w:hint="eastAsia" w:ascii="仿宋_GB2312" w:hAnsi="宋体" w:eastAsia="仿宋_GB2312" w:cs="宋体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161.05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  <w:r>
        <w:rPr>
          <w:rFonts w:hint="eastAsia" w:ascii="仿宋_GB2312" w:hAnsi="宋体" w:eastAsia="仿宋_GB2312" w:cs="宋体"/>
          <w:sz w:val="32"/>
          <w:szCs w:val="32"/>
        </w:rPr>
        <w:t>支出比预算较多的主要原因为本年区拨专项转移支付资金较多。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教育支出2022年决算数为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90.6</w:t>
      </w:r>
      <w:r>
        <w:rPr>
          <w:rFonts w:hint="eastAsia" w:ascii="仿宋_GB2312" w:hAnsi="宋体" w:eastAsia="仿宋_GB2312" w:cs="宋体"/>
          <w:sz w:val="32"/>
          <w:szCs w:val="32"/>
        </w:rPr>
        <w:t>万元，2022年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200万元</w:t>
      </w:r>
      <w:r>
        <w:rPr>
          <w:rFonts w:hint="eastAsia" w:ascii="仿宋_GB2312" w:hAnsi="宋体" w:eastAsia="仿宋_GB2312" w:cs="宋体"/>
          <w:sz w:val="32"/>
          <w:szCs w:val="32"/>
        </w:rPr>
        <w:t>，2022年决算数为2022年预算数的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45.3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主要原因是教育部门上划，支出减少。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文化旅游体育与传媒支出2022年决算数为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627.61</w:t>
      </w:r>
      <w:r>
        <w:rPr>
          <w:rFonts w:hint="eastAsia" w:ascii="仿宋_GB2312" w:hAnsi="宋体" w:eastAsia="仿宋_GB2312" w:cs="宋体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606</w:t>
      </w:r>
      <w:r>
        <w:rPr>
          <w:rFonts w:hint="eastAsia" w:ascii="仿宋_GB2312" w:hAnsi="宋体" w:eastAsia="仿宋_GB2312" w:cs="宋体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103.57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社会保障和就业支出2022年决算数为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3487.6</w:t>
      </w:r>
      <w:r>
        <w:rPr>
          <w:rFonts w:hint="eastAsia" w:ascii="仿宋_GB2312" w:hAnsi="宋体" w:eastAsia="仿宋_GB2312" w:cs="宋体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2425.88</w:t>
      </w:r>
      <w:r>
        <w:rPr>
          <w:rFonts w:hint="eastAsia" w:ascii="仿宋_GB2312" w:hAnsi="宋体" w:eastAsia="仿宋_GB2312" w:cs="宋体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143.77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  <w:r>
        <w:rPr>
          <w:rFonts w:hint="eastAsia" w:ascii="仿宋_GB2312" w:hAnsi="宋体" w:eastAsia="仿宋_GB2312" w:cs="宋体"/>
          <w:sz w:val="32"/>
          <w:szCs w:val="32"/>
        </w:rPr>
        <w:t>支出比预算较多的主要原因为本年区拨专项转移支付资金较多。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 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卫生健康支出2022年决算数为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11017.87</w:t>
      </w:r>
      <w:r>
        <w:rPr>
          <w:rFonts w:hint="eastAsia" w:ascii="仿宋_GB2312" w:hAnsi="宋体" w:eastAsia="仿宋_GB2312" w:cs="宋体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4528.23</w:t>
      </w:r>
      <w:r>
        <w:rPr>
          <w:rFonts w:hint="eastAsia" w:ascii="仿宋_GB2312" w:hAnsi="宋体" w:eastAsia="仿宋_GB2312" w:cs="宋体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243.32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  <w:r>
        <w:rPr>
          <w:rFonts w:hint="eastAsia" w:ascii="仿宋_GB2312" w:hAnsi="宋体" w:eastAsia="仿宋_GB2312" w:cs="宋体"/>
          <w:sz w:val="32"/>
          <w:szCs w:val="32"/>
        </w:rPr>
        <w:t>支出比预算较多的主要原因为本年区拨专项转移支付资金较多。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节能环保支出2022年决算数为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845.21</w:t>
      </w:r>
      <w:r>
        <w:rPr>
          <w:rFonts w:hint="eastAsia" w:ascii="仿宋_GB2312" w:hAnsi="宋体" w:eastAsia="仿宋_GB2312" w:cs="宋体"/>
          <w:sz w:val="32"/>
          <w:szCs w:val="32"/>
        </w:rPr>
        <w:t>万元,2022年预算数为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80</w:t>
      </w:r>
      <w:r>
        <w:rPr>
          <w:rFonts w:hint="eastAsia" w:ascii="仿宋_GB2312" w:hAnsi="宋体" w:eastAsia="仿宋_GB2312" w:cs="宋体"/>
          <w:sz w:val="32"/>
          <w:szCs w:val="32"/>
        </w:rPr>
        <w:t>万元，支出比预算较多的主要原因为本年区拨专项转移支付资金较多。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（八）城乡社区支出2022年决算数为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13648.18</w:t>
      </w:r>
      <w:r>
        <w:rPr>
          <w:rFonts w:hint="eastAsia" w:ascii="仿宋_GB2312" w:hAnsi="宋体" w:eastAsia="仿宋_GB2312" w:cs="宋体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7117</w:t>
      </w:r>
      <w:r>
        <w:rPr>
          <w:rFonts w:hint="eastAsia" w:ascii="仿宋_GB2312" w:hAnsi="宋体" w:eastAsia="仿宋_GB2312" w:cs="宋体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191.77</w:t>
      </w:r>
      <w:r>
        <w:rPr>
          <w:rFonts w:hint="eastAsia" w:ascii="仿宋_GB2312" w:hAnsi="宋体" w:eastAsia="仿宋_GB2312" w:cs="宋体"/>
          <w:sz w:val="32"/>
          <w:szCs w:val="32"/>
        </w:rPr>
        <w:t>%，主要原因为专项转移支付资金较多。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（九）农林水支出2022年决算数为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21479.52</w:t>
      </w:r>
      <w:r>
        <w:rPr>
          <w:rFonts w:hint="eastAsia" w:ascii="仿宋_GB2312" w:hAnsi="宋体" w:eastAsia="仿宋_GB2312" w:cs="宋体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9000</w:t>
      </w:r>
      <w:r>
        <w:rPr>
          <w:rFonts w:hint="eastAsia" w:ascii="仿宋_GB2312" w:hAnsi="宋体" w:eastAsia="仿宋_GB2312" w:cs="宋体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238.66</w:t>
      </w:r>
      <w:r>
        <w:rPr>
          <w:rFonts w:hint="eastAsia" w:ascii="仿宋_GB2312" w:hAnsi="宋体" w:eastAsia="仿宋_GB2312" w:cs="宋体"/>
          <w:sz w:val="32"/>
          <w:szCs w:val="32"/>
        </w:rPr>
        <w:t>%，主要原因为专项转移支付资金较多。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（十）交通运输支出2022年决算数为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 w:cs="宋体"/>
          <w:sz w:val="32"/>
          <w:szCs w:val="32"/>
        </w:rPr>
        <w:t>万元，2022年年初未安排预算。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（十一）灾害防治及应急管理支出2022年决算数为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56.1</w:t>
      </w:r>
      <w:r>
        <w:rPr>
          <w:rFonts w:hint="eastAsia" w:ascii="仿宋_GB2312" w:hAnsi="宋体" w:eastAsia="仿宋_GB2312" w:cs="宋体"/>
          <w:sz w:val="32"/>
          <w:szCs w:val="32"/>
        </w:rPr>
        <w:t>万元，2022年预算数为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280.5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  <w:r>
        <w:rPr>
          <w:rFonts w:hint="eastAsia" w:ascii="仿宋_GB2312" w:hAnsi="宋体" w:eastAsia="仿宋_GB2312" w:cs="宋体"/>
          <w:sz w:val="32"/>
          <w:szCs w:val="32"/>
        </w:rPr>
        <w:t>支出比预算较多的主要原因为本年区拨专项转移支付资金较多。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镇2022年一般公共预算“三公经费”财政拨款支出决算表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镇2022年因公出国（境）费用、公务接待费、公务用车费3项费用2022年决算数共计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32.05</w:t>
      </w:r>
      <w:r>
        <w:rPr>
          <w:rFonts w:hint="eastAsia" w:ascii="仿宋_GB2312" w:hAnsi="宋体" w:eastAsia="仿宋_GB2312" w:cs="宋体"/>
          <w:sz w:val="32"/>
          <w:szCs w:val="32"/>
        </w:rPr>
        <w:t>万元，2022年年初预算数共计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86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万元， </w:t>
      </w:r>
      <w:r>
        <w:rPr>
          <w:rFonts w:hint="eastAsia" w:ascii="仿宋_GB2312" w:hAnsi="宋体" w:eastAsia="仿宋_GB2312" w:cs="宋体"/>
          <w:sz w:val="32"/>
          <w:szCs w:val="32"/>
        </w:rPr>
        <w:t>2022年决算数比2022年年初预算数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53.95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</w:rPr>
        <w:t>2022年决算数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</w:t>
      </w:r>
      <w:r>
        <w:rPr>
          <w:rFonts w:hint="eastAsia" w:ascii="仿宋_GB2312" w:hAnsi="宋体" w:eastAsia="仿宋_GB2312" w:cs="宋体"/>
          <w:sz w:val="32"/>
          <w:szCs w:val="32"/>
        </w:rPr>
        <w:t>2022年年初预算数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37.26%。</w:t>
      </w:r>
      <w:r>
        <w:rPr>
          <w:rFonts w:hint="eastAsia" w:ascii="仿宋_GB2312" w:hAnsi="宋体" w:eastAsia="仿宋_GB2312" w:cs="宋体"/>
          <w:sz w:val="32"/>
          <w:szCs w:val="32"/>
        </w:rPr>
        <w:t>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（一）因公出国（境）费用：2022年决算数0.00万元，2022年无此项预算支出。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（二）公务接待费：2022年决算数0.00万元，2022年年初预算数为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3.5</w:t>
      </w:r>
      <w:r>
        <w:rPr>
          <w:rFonts w:hint="eastAsia" w:ascii="仿宋_GB2312" w:hAnsi="宋体" w:eastAsia="仿宋_GB2312" w:cs="宋体"/>
          <w:sz w:val="32"/>
          <w:szCs w:val="32"/>
        </w:rPr>
        <w:t>万元，2022年决算数比2022年预算数减少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3.5</w:t>
      </w:r>
      <w:r>
        <w:rPr>
          <w:rFonts w:hint="eastAsia" w:ascii="仿宋_GB2312" w:hAnsi="宋体" w:eastAsia="仿宋_GB2312" w:cs="宋体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（三）公务用车费（含公务用车运行维护费用支出、公务用车购置费用支出）：公务用车费2022年决算数为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32.05</w:t>
      </w:r>
      <w:r>
        <w:rPr>
          <w:rFonts w:hint="eastAsia" w:ascii="仿宋_GB2312" w:hAnsi="宋体" w:eastAsia="仿宋_GB2312" w:cs="宋体"/>
          <w:sz w:val="32"/>
          <w:szCs w:val="32"/>
        </w:rPr>
        <w:t>万元，其中：公务用车运</w:t>
      </w:r>
      <w:r>
        <w:rPr>
          <w:rFonts w:hint="eastAsia" w:ascii="仿宋_GB2312" w:hAnsi="宋体" w:eastAsia="仿宋_GB2312" w:cs="宋体"/>
          <w:sz w:val="32"/>
          <w:szCs w:val="32"/>
        </w:rPr>
        <w:t>行维护费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32.05</w:t>
      </w:r>
      <w:r>
        <w:rPr>
          <w:rFonts w:hint="eastAsia" w:ascii="仿宋_GB2312" w:hAnsi="宋体" w:eastAsia="仿宋_GB2312" w:cs="宋体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比年初预算数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82.5</w:t>
      </w:r>
      <w:r>
        <w:rPr>
          <w:rFonts w:hint="eastAsia" w:ascii="仿宋_GB2312" w:hAnsi="宋体" w:eastAsia="仿宋_GB2312" w:cs="宋体"/>
          <w:sz w:val="32"/>
          <w:szCs w:val="32"/>
        </w:rPr>
        <w:t>万元减少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50.45</w:t>
      </w:r>
      <w:r>
        <w:rPr>
          <w:rFonts w:hint="eastAsia" w:ascii="仿宋_GB2312" w:hAnsi="宋体" w:eastAsia="仿宋_GB2312" w:cs="宋体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61.15</w:t>
      </w:r>
      <w:r>
        <w:rPr>
          <w:rFonts w:hint="eastAsia" w:ascii="仿宋_GB2312" w:hAnsi="宋体" w:eastAsia="仿宋_GB2312" w:cs="宋体"/>
          <w:sz w:val="32"/>
          <w:szCs w:val="32"/>
        </w:rPr>
        <w:t>%。主要原因为贯彻落实公务用车使用管理有关规定和过“紧日子”思想，实现厉行节约常态化。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公务用车购置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>万元。比年初预算数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万元增加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ind w:firstLine="480" w:firstLineChars="150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五、大兴区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庞各庄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镇2022年一般公共预算基本支出决算表</w:t>
      </w:r>
    </w:p>
    <w:p>
      <w:pPr>
        <w:ind w:firstLine="800" w:firstLineChars="250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一般公共预算基本支出合计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10469.05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万元，其中：机关工资福利支出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6162.01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万元，机关商品和服务支出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453.32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万元，对事业单位经常性补助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3423.87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万元，对个人和家庭的补助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429.85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镇2022年政府性基金收入决算表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镇2022年政府性基金预算支出决算表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镇2022年政府性基金预算支出决算数为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19893.89</w:t>
      </w:r>
      <w:r>
        <w:rPr>
          <w:rFonts w:hint="eastAsia" w:ascii="仿宋_GB2312" w:hAnsi="宋体" w:eastAsia="仿宋_GB2312" w:cs="宋体"/>
          <w:sz w:val="32"/>
          <w:szCs w:val="32"/>
        </w:rPr>
        <w:t>万元。政府性基金预算支出2022年预算数为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5111</w:t>
      </w:r>
      <w:r>
        <w:rPr>
          <w:rFonts w:hint="eastAsia" w:ascii="仿宋_GB2312" w:hAnsi="宋体" w:eastAsia="仿宋_GB2312" w:cs="宋体"/>
          <w:sz w:val="32"/>
          <w:szCs w:val="32"/>
        </w:rPr>
        <w:t>万元。城乡社区支出2022年决算数为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19843.89</w:t>
      </w:r>
      <w:r>
        <w:rPr>
          <w:rFonts w:hint="eastAsia" w:ascii="仿宋_GB2312" w:hAnsi="宋体" w:eastAsia="仿宋_GB2312" w:cs="宋体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5111</w:t>
      </w:r>
      <w:r>
        <w:rPr>
          <w:rFonts w:hint="eastAsia" w:ascii="仿宋_GB2312" w:hAnsi="宋体" w:eastAsia="仿宋_GB2312" w:cs="宋体"/>
          <w:sz w:val="32"/>
          <w:szCs w:val="32"/>
        </w:rPr>
        <w:t>万元,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决算数为预算数的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3.89倍，</w:t>
      </w:r>
      <w:bookmarkStart w:id="0" w:name="_GoBack"/>
      <w:bookmarkEnd w:id="0"/>
      <w:r>
        <w:rPr>
          <w:rFonts w:hint="eastAsia" w:ascii="仿宋_GB2312" w:hAnsi="宋体" w:eastAsia="仿宋_GB2312" w:cs="宋体"/>
          <w:sz w:val="32"/>
          <w:szCs w:val="32"/>
        </w:rPr>
        <w:t>主要是区级专项转移支付增加；</w:t>
      </w:r>
    </w:p>
    <w:p>
      <w:pPr>
        <w:spacing w:line="560" w:lineRule="exact"/>
        <w:ind w:left="525" w:leftChars="25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镇2022年国有资本经营预算收入决算表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560" w:lineRule="exact"/>
        <w:ind w:left="525" w:leftChars="250"/>
        <w:jc w:val="left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庞各庄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镇2022年国有资本经营预算支出决算表</w:t>
      </w:r>
    </w:p>
    <w:p>
      <w:pPr>
        <w:spacing w:line="560" w:lineRule="exact"/>
        <w:ind w:left="525" w:leftChars="25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十、关于《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国有资本经营预算支出决算表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left="525" w:leftChars="25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十一、关于《大兴区庞各庄镇202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年社会保险基金预算收入决算表》的说明</w:t>
      </w:r>
    </w:p>
    <w:p>
      <w:pPr>
        <w:spacing w:line="560" w:lineRule="exact"/>
        <w:ind w:left="525" w:leftChars="25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十二、关于《大兴区庞各庄镇202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年社会保险基金预算支出决算表》的说明</w:t>
      </w:r>
    </w:p>
    <w:p>
      <w:pPr>
        <w:spacing w:line="560" w:lineRule="exact"/>
        <w:ind w:left="525" w:leftChars="25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十三、关于《大兴区庞各庄镇202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年一般公共预算税收返还和转移支付表》的说明</w:t>
      </w:r>
    </w:p>
    <w:p>
      <w:pPr>
        <w:spacing w:line="560" w:lineRule="exact"/>
        <w:ind w:left="525" w:leftChars="25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十四、关于《大兴区庞各庄镇202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年政府性基金转移支付表》的说明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十五、关于《大兴区庞各庄镇202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年专项转移支付执行情况表》的说明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2022年大兴区庞各庄镇专项转移支付支出42455.8万元，其中一般公共预算支出24781.91万元，政府性基金预算支出17673.89万元。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在一般公共预算专项转移支付支出中，主要支出科目如下：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一般公共服务支出403.12万元；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文化旅游体育与传媒支出431.55万元；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社会保障和就业支出336.9万元；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卫生健康支出5012.89万元；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节能环保支出845.21万元；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城乡社区支出369.2万元；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农林水支出17372.03万元；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交通运输支出11万元；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在政府性基金预算专项转移支付中，主要支出科目如下：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城乡社区支出17623.89万元。</w:t>
      </w:r>
    </w:p>
    <w:p>
      <w:pPr>
        <w:pStyle w:val="4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其他支出50万元。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十六、关于《大兴区庞各庄镇202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年地方政府债务限额及余额决算情况表》的说明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十七、关于《大兴区庞各庄镇202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年地方政府一般债务余额情况表》的说明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十八、关于《大兴区庞各庄镇202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年地方政府专项债务余额情况表》的说明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十九、关于《202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年新增地方政府债券使用情况表》的说明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二十、关于《202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年地方政府债务发行及还本付息情况表》的说明</w:t>
      </w:r>
    </w:p>
    <w:p>
      <w:pPr>
        <w:pStyle w:val="4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二十一、关于《大兴区庞各庄镇202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年政府采购情况表》的说明</w:t>
      </w:r>
    </w:p>
    <w:p>
      <w:pPr>
        <w:widowControl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庞各庄镇2022年政府采购支出6161.09万元，其中：货物支出75.85万元，工程支出341.06万元，服务支出5741.18万元；授予中小企业合同金额4792.5万元，其中：授予小微企业合同金额1440.69万元。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二十二、关于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《大兴区庞各庄镇2022年政府购买服务支出情况表》的说明</w:t>
      </w:r>
    </w:p>
    <w:p>
      <w:pPr>
        <w:ind w:firstLine="640" w:firstLineChars="200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庞各庄镇2022年政府购买服务支出0万元，其中：公共服务0万元，政府履职辅助性服务0万元。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二十三</w:t>
      </w:r>
      <w:r>
        <w:rPr>
          <w:rFonts w:hint="eastAsia" w:ascii="黑体" w:hAnsi="黑体" w:eastAsia="黑体" w:cs="黑体"/>
          <w:sz w:val="32"/>
          <w:szCs w:val="32"/>
        </w:rPr>
        <w:t>、其他重要事项的情况说明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sz w:val="32"/>
          <w:szCs w:val="32"/>
        </w:rPr>
        <w:t>举借债务情况说明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宋体"/>
          <w:sz w:val="32"/>
          <w:szCs w:val="32"/>
        </w:rPr>
        <w:t>举借债务情况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2.预</w:t>
      </w:r>
      <w:r>
        <w:rPr>
          <w:rFonts w:hint="eastAsia" w:eastAsia="仿宋_GB2312" w:cs="Arial"/>
          <w:b w:val="0"/>
          <w:color w:val="auto"/>
          <w:kern w:val="0"/>
          <w:sz w:val="32"/>
          <w:szCs w:val="32"/>
          <w:lang w:val="en-US" w:eastAsia="zh-CN"/>
        </w:rPr>
        <w:t>算绩效管理情况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2年我镇认真落实各级部门决策部署，不断加强财政资源统筹，提高财政支出精确性、有效性，同时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积极探索、持续深耕，推动绩效管理向“务实、高效、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节约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”纵深推进，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实现所有预算项目绩效目标、绩效自评全覆盖；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从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预算投入、成本构成、产出规模与质量等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方面入手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，选取所有服务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类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项目开展成本绩效分析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14:ligatures w14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效益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两端作为抓手，并把分析结果作为今后安排预算的重要依据，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促进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财政资金使用效益不断提高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14:ligatures w14:val="none"/>
        </w:rPr>
        <w:t>。</w:t>
      </w:r>
    </w:p>
    <w:p>
      <w:pPr>
        <w:numPr>
          <w:ilvl w:val="0"/>
          <w:numId w:val="0"/>
        </w:numPr>
        <w:spacing w:line="560" w:lineRule="exact"/>
        <w:jc w:val="left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</w:p>
    <w:p>
      <w:pPr>
        <w:spacing w:line="560" w:lineRule="exact"/>
        <w:ind w:firstLine="480" w:firstLineChars="150"/>
        <w:jc w:val="left"/>
        <w:rPr>
          <w:rFonts w:ascii="仿宋_GB2312" w:hAnsi="宋体" w:eastAsia="仿宋_GB2312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597958"/>
    <w:multiLevelType w:val="singleLevel"/>
    <w:tmpl w:val="CA59795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22E6"/>
    <w:rsid w:val="003F6819"/>
    <w:rsid w:val="004622E6"/>
    <w:rsid w:val="00604A03"/>
    <w:rsid w:val="00625E69"/>
    <w:rsid w:val="00723D69"/>
    <w:rsid w:val="00771FE6"/>
    <w:rsid w:val="009D3D6E"/>
    <w:rsid w:val="00B00A68"/>
    <w:rsid w:val="00B304C3"/>
    <w:rsid w:val="00BD536F"/>
    <w:rsid w:val="13D4241E"/>
    <w:rsid w:val="17FA4E87"/>
    <w:rsid w:val="1DA30E81"/>
    <w:rsid w:val="1E2D56F2"/>
    <w:rsid w:val="22FA0AD1"/>
    <w:rsid w:val="28267E5C"/>
    <w:rsid w:val="2DDD4CC0"/>
    <w:rsid w:val="2F637BC9"/>
    <w:rsid w:val="325E3AD5"/>
    <w:rsid w:val="34C4048B"/>
    <w:rsid w:val="362A3D01"/>
    <w:rsid w:val="3689156D"/>
    <w:rsid w:val="36A00F32"/>
    <w:rsid w:val="3D4C70DB"/>
    <w:rsid w:val="3ED60E34"/>
    <w:rsid w:val="405D19D3"/>
    <w:rsid w:val="497032EC"/>
    <w:rsid w:val="4CA33F39"/>
    <w:rsid w:val="50C80A01"/>
    <w:rsid w:val="52E676D7"/>
    <w:rsid w:val="53D32BA1"/>
    <w:rsid w:val="551D7959"/>
    <w:rsid w:val="57BA4398"/>
    <w:rsid w:val="588964D5"/>
    <w:rsid w:val="6DDF27C7"/>
    <w:rsid w:val="6E135999"/>
    <w:rsid w:val="6FF611D2"/>
    <w:rsid w:val="73093853"/>
    <w:rsid w:val="735A6DE9"/>
    <w:rsid w:val="7366688B"/>
    <w:rsid w:val="7614533D"/>
    <w:rsid w:val="792C6EE7"/>
    <w:rsid w:val="7A5A4D73"/>
    <w:rsid w:val="7DAA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5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semiHidden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351</Words>
  <Characters>2004</Characters>
  <Lines>16</Lines>
  <Paragraphs>4</Paragraphs>
  <TotalTime>0</TotalTime>
  <ScaleCrop>false</ScaleCrop>
  <LinksUpToDate>false</LinksUpToDate>
  <CharactersWithSpaces>2351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2023-08-31T02:19:00Z</dcterms:created>
  <dc:creator>YANG</dc:creator>
  <cp:lastModifiedBy>加里奥</cp:lastModifiedBy>
  <dcterms:modified xsi:type="dcterms:W3CDTF">2024-11-05T06:59:53Z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