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300" w:firstLineChars="100"/>
        <w:jc w:val="both"/>
        <w:textAlignment w:val="auto"/>
        <w:outlineLvl w:val="9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附件1</w:t>
      </w:r>
      <w:r>
        <w:rPr>
          <w:rFonts w:hint="eastAsia" w:ascii="黑体" w:hAnsi="黑体" w:eastAsia="黑体"/>
          <w:sz w:val="30"/>
          <w:szCs w:val="30"/>
          <w:lang w:eastAsia="zh-CN"/>
        </w:rPr>
        <w:t>：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 xml:space="preserve">（   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 xml:space="preserve">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大兴区永兴河（埝坛公园南闸-绿海路桥）综合治理提升工程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北京市大兴区庞各庄镇财政所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城镇建设服务中心（水务工作）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张新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89284580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1"/>
                <w:szCs w:val="11"/>
                <w:lang w:val="en-US" w:eastAsia="zh-CN"/>
              </w:rPr>
              <w:t>86.707117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1"/>
                <w:szCs w:val="11"/>
                <w:lang w:val="en-US" w:eastAsia="zh-CN"/>
              </w:rPr>
              <w:t>86.707117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1"/>
                <w:szCs w:val="11"/>
                <w:lang w:val="en-US" w:eastAsia="zh-CN"/>
              </w:rPr>
              <w:t>86.707117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涉及村集体占地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16.915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16.915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完成临时占地补偿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FF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指标1：项目预算控制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86.707117万元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860707117万元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提升人居环境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显著改善农村居民人均环境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建立机制，长期保持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指标1：群众满意度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97</w:t>
            </w:r>
            <w:bookmarkStart w:id="0" w:name="_GoBack"/>
            <w:bookmarkEnd w:id="0"/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00000000"/>
    <w:rsid w:val="05646DC4"/>
    <w:rsid w:val="0DCB22E2"/>
    <w:rsid w:val="1CB773A8"/>
    <w:rsid w:val="44D4519D"/>
    <w:rsid w:val="45517FE9"/>
    <w:rsid w:val="594866BD"/>
    <w:rsid w:val="6F290911"/>
    <w:rsid w:val="72D22431"/>
    <w:rsid w:val="7A510E60"/>
    <w:rsid w:val="7EC1391A"/>
    <w:rsid w:val="7FA53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01"/>
    <w:basedOn w:val="2"/>
    <w:qFormat/>
    <w:uiPriority w:val="0"/>
    <w:rPr>
      <w:rFonts w:ascii="Arial" w:hAnsi="Arial" w:cs="Arial"/>
      <w:color w:val="FF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481</Words>
  <Characters>600</Characters>
  <Lines>0</Lines>
  <Paragraphs>0</Paragraphs>
  <ScaleCrop>false</ScaleCrop>
  <LinksUpToDate>false</LinksUpToDate>
  <CharactersWithSpaces>612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dcterms:modified xsi:type="dcterms:W3CDTF">2023-04-27T04:10:09Z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F61BBABA2C2946AD842059996A2A56EB_12</vt:lpwstr>
  </property>
</Properties>
</file>