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horzAnchor="margin" w:tblpXSpec="left" w:tblpY="-1800"/>
        <w:tblW w:w="110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46"/>
        <w:gridCol w:w="1283"/>
        <w:gridCol w:w="1381"/>
        <w:gridCol w:w="1843"/>
        <w:gridCol w:w="1133"/>
        <w:gridCol w:w="1277"/>
        <w:gridCol w:w="992"/>
        <w:gridCol w:w="992"/>
        <w:gridCol w:w="12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4" w:hRule="atLeast"/>
        </w:trPr>
        <w:tc>
          <w:tcPr>
            <w:tcW w:w="11023" w:type="dxa"/>
            <w:gridSpan w:val="9"/>
            <w:tcBorders>
              <w:top w:val="nil"/>
              <w:left w:val="nil"/>
              <w:bottom w:val="nil"/>
              <w:right w:val="nil"/>
            </w:tcBorders>
            <w:vAlign w:val="center"/>
          </w:tcPr>
          <w:p>
            <w:pPr>
              <w:widowControl/>
              <w:rPr>
                <w:rFonts w:ascii="仿宋_GB2312" w:eastAsia="仿宋_GB2312"/>
                <w:sz w:val="32"/>
                <w:szCs w:val="32"/>
              </w:rPr>
            </w:pPr>
          </w:p>
          <w:p>
            <w:pPr>
              <w:widowControl/>
              <w:rPr>
                <w:rFonts w:ascii="仿宋_GB2312" w:eastAsia="仿宋_GB2312"/>
                <w:sz w:val="32"/>
                <w:szCs w:val="32"/>
              </w:rPr>
            </w:pPr>
            <w:r>
              <w:rPr>
                <w:rFonts w:hint="eastAsia" w:ascii="仿宋_GB2312" w:eastAsia="仿宋_GB2312"/>
                <w:sz w:val="32"/>
                <w:szCs w:val="32"/>
              </w:rPr>
              <w:t>附件:6：</w:t>
            </w:r>
          </w:p>
          <w:p>
            <w:pPr>
              <w:widowControl/>
              <w:jc w:val="center"/>
              <w:rPr>
                <w:rFonts w:ascii="宋体" w:hAnsi="宋体" w:cs="宋体"/>
                <w:color w:val="000000"/>
                <w:kern w:val="0"/>
                <w:sz w:val="32"/>
                <w:szCs w:val="32"/>
              </w:rPr>
            </w:pPr>
            <w:r>
              <w:rPr>
                <w:rFonts w:hint="eastAsia" w:ascii="宋体" w:hAnsi="宋体" w:cs="宋体"/>
                <w:b/>
                <w:bCs/>
                <w:color w:val="000000"/>
                <w:kern w:val="0"/>
                <w:sz w:val="32"/>
                <w:szCs w:val="32"/>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11023" w:type="dxa"/>
            <w:gridSpan w:val="9"/>
            <w:tcBorders>
              <w:top w:val="nil"/>
              <w:left w:val="nil"/>
              <w:bottom w:val="nil"/>
              <w:right w:val="nil"/>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（202</w:t>
            </w:r>
            <w:r>
              <w:rPr>
                <w:rFonts w:hint="eastAsia" w:ascii="宋体" w:hAnsi="宋体" w:cs="宋体"/>
                <w:color w:val="000000"/>
                <w:kern w:val="0"/>
                <w:sz w:val="22"/>
                <w:lang w:val="en-US" w:eastAsia="zh-CN"/>
              </w:rPr>
              <w:t>2</w:t>
            </w:r>
            <w:r>
              <w:rPr>
                <w:rFonts w:hint="eastAsia" w:ascii="宋体" w:hAnsi="宋体" w:cs="宋体"/>
                <w:color w:val="000000"/>
                <w:kern w:val="0"/>
                <w:sz w:val="22"/>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351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项目名称</w:t>
            </w:r>
          </w:p>
        </w:tc>
        <w:tc>
          <w:tcPr>
            <w:tcW w:w="7513" w:type="dxa"/>
            <w:gridSpan w:val="6"/>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bookmarkStart w:id="0" w:name="_GoBack"/>
            <w:r>
              <w:rPr>
                <w:rFonts w:hint="eastAsia" w:ascii="宋体" w:hAnsi="宋体" w:cs="宋体"/>
                <w:color w:val="000000"/>
                <w:kern w:val="0"/>
                <w:sz w:val="24"/>
                <w:lang w:val="en-US" w:eastAsia="zh-CN"/>
              </w:rPr>
              <w:t>2021中央财政渔业发展补助资金</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351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主管部门及代码</w:t>
            </w:r>
          </w:p>
        </w:tc>
        <w:tc>
          <w:tcPr>
            <w:tcW w:w="2976"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eastAsia="宋体" w:cs="宋体"/>
                <w:color w:val="000000"/>
                <w:kern w:val="0"/>
                <w:sz w:val="24"/>
                <w:szCs w:val="22"/>
                <w:lang w:val="en-US" w:eastAsia="zh-CN" w:bidi="ar-SA"/>
              </w:rPr>
              <w:t>北臧村镇人民政府</w:t>
            </w:r>
            <w:r>
              <w:rPr>
                <w:rFonts w:ascii="宋体" w:hAnsi="宋体" w:eastAsia="宋体" w:cs="宋体"/>
                <w:color w:val="000000"/>
                <w:kern w:val="0"/>
                <w:sz w:val="24"/>
                <w:szCs w:val="22"/>
                <w:lang w:val="en-US" w:eastAsia="zh-CN" w:bidi="ar-SA"/>
              </w:rPr>
              <mc:AlternateContent>
                <mc:Choice Requires="wps">
                  <w:drawing>
                    <wp:anchor distT="0" distB="0" distL="114300" distR="114300" simplePos="0" relativeHeight="251659264" behindDoc="0" locked="0" layoutInCell="1" allowOverlap="1">
                      <wp:simplePos x="0" y="0"/>
                      <wp:positionH relativeFrom="column">
                        <wp:posOffset>-53340</wp:posOffset>
                      </wp:positionH>
                      <wp:positionV relativeFrom="paragraph">
                        <wp:posOffset>216535</wp:posOffset>
                      </wp:positionV>
                      <wp:extent cx="1152525" cy="609600"/>
                      <wp:effectExtent l="2540" t="4445" r="6985" b="14605"/>
                      <wp:wrapNone/>
                      <wp:docPr id="1" name="AutoShape 3"/>
                      <wp:cNvGraphicFramePr/>
                      <a:graphic xmlns:a="http://schemas.openxmlformats.org/drawingml/2006/main">
                        <a:graphicData uri="http://schemas.microsoft.com/office/word/2010/wordprocessingShape">
                          <wps:wsp>
                            <wps:cNvCnPr/>
                            <wps:spPr>
                              <a:xfrm>
                                <a:off x="0" y="0"/>
                                <a:ext cx="1152525" cy="609600"/>
                              </a:xfrm>
                              <a:prstGeom prst="straightConnector1">
                                <a:avLst/>
                              </a:prstGeom>
                              <a:ln w="9525" cap="flat" cmpd="sng">
                                <a:solidFill>
                                  <a:srgbClr val="000000"/>
                                </a:solidFill>
                                <a:prstDash val="solid"/>
                                <a:headEnd type="none" w="med" len="med"/>
                                <a:tailEnd type="none" w="med" len="med"/>
                              </a:ln>
                            </wps:spPr>
                            <wps:bodyPr upright="0"/>
                          </wps:wsp>
                        </a:graphicData>
                      </a:graphic>
                    </wp:anchor>
                  </w:drawing>
                </mc:Choice>
                <mc:Fallback>
                  <w:pict>
                    <v:shape id="AutoShape 3" o:spid="_x0000_s1026" o:spt="32" type="#_x0000_t32" style="position:absolute;left:0pt;margin-left:-4.2pt;margin-top:17.05pt;height:48pt;width:90.75pt;z-index:251659264;mso-width-relative:page;mso-height-relative:page;" filled="f" stroked="t" coordsize="21600,21600" o:gfxdata="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oYtmMNcA&#10;AAAJAQAADwAAAAAAAAABACAAAAAiAAAAZHJzL2Rvd25yZXYueG1sUEsBAhQAFAAAAAgAh07iQDON&#10;aL/nAQAA8QMAAA4AAAAAAAAAAQAgAAAAJgEAAGRycy9lMm9Eb2MueG1sUEsFBgAAAAAGAAYAWQEA&#10;AH8FAAAAAA==&#10;">
                      <v:fill on="f" focussize="0,0"/>
                      <v:stroke color="#000000" joinstyle="round"/>
                      <v:imagedata o:title=""/>
                      <o:lock v:ext="edit" aspectratio="f"/>
                    </v:shape>
                  </w:pict>
                </mc:Fallback>
              </mc:AlternateContent>
            </w:r>
          </w:p>
        </w:tc>
        <w:tc>
          <w:tcPr>
            <w:tcW w:w="1277" w:type="dxa"/>
            <w:tcBorders>
              <w:top w:val="single" w:color="auto" w:sz="4" w:space="0"/>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实施单位</w:t>
            </w:r>
          </w:p>
        </w:tc>
        <w:tc>
          <w:tcPr>
            <w:tcW w:w="326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eastAsia="zh-CN"/>
              </w:rPr>
              <w:t>农业农村办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6" w:hRule="atLeast"/>
        </w:trPr>
        <w:tc>
          <w:tcPr>
            <w:tcW w:w="3510" w:type="dxa"/>
            <w:gridSpan w:val="3"/>
            <w:vMerge w:val="restart"/>
            <w:tcBorders>
              <w:top w:val="single" w:color="auto" w:sz="4" w:space="0"/>
              <w:left w:val="single" w:color="auto"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项目资金                    （万元）</w:t>
            </w:r>
          </w:p>
        </w:tc>
        <w:tc>
          <w:tcPr>
            <w:tcW w:w="1843" w:type="dxa"/>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p>
        </w:tc>
        <w:tc>
          <w:tcPr>
            <w:tcW w:w="1133"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年初预算数（A）</w:t>
            </w:r>
          </w:p>
        </w:tc>
        <w:tc>
          <w:tcPr>
            <w:tcW w:w="12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全年执行数（B）</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分值（10分）</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执行率（B/A)</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年度资金总额：</w:t>
            </w:r>
          </w:p>
        </w:tc>
        <w:tc>
          <w:tcPr>
            <w:tcW w:w="1133" w:type="dxa"/>
            <w:tcBorders>
              <w:top w:val="nil"/>
              <w:left w:val="nil"/>
              <w:bottom w:val="single" w:color="auto" w:sz="4" w:space="0"/>
              <w:right w:val="single" w:color="auto" w:sz="4" w:space="0"/>
            </w:tcBorders>
            <w:vAlign w:val="center"/>
          </w:tcPr>
          <w:p>
            <w:pPr>
              <w:widowControl/>
              <w:jc w:val="left"/>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186</w:t>
            </w:r>
          </w:p>
        </w:tc>
        <w:tc>
          <w:tcPr>
            <w:tcW w:w="1277"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186</w:t>
            </w:r>
          </w:p>
        </w:tc>
        <w:tc>
          <w:tcPr>
            <w:tcW w:w="992"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lang w:val="en-US" w:eastAsia="zh-CN"/>
              </w:rPr>
              <w:t>100</w:t>
            </w:r>
            <w:r>
              <w:rPr>
                <w:rFonts w:hint="eastAsia" w:ascii="宋体" w:hAnsi="宋体" w:cs="宋体"/>
                <w:color w:val="000000"/>
                <w:kern w:val="0"/>
                <w:sz w:val="24"/>
              </w:rPr>
              <w:t>%　</w:t>
            </w:r>
          </w:p>
        </w:tc>
        <w:tc>
          <w:tcPr>
            <w:tcW w:w="1276" w:type="dxa"/>
            <w:tcBorders>
              <w:top w:val="nil"/>
              <w:left w:val="nil"/>
              <w:bottom w:val="single" w:color="auto" w:sz="4" w:space="0"/>
              <w:right w:val="single" w:color="auto" w:sz="4" w:space="0"/>
            </w:tcBorders>
            <w:vAlign w:val="center"/>
          </w:tcPr>
          <w:p>
            <w:pPr>
              <w:widowControl/>
              <w:jc w:val="left"/>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其中:财政拨款</w:t>
            </w:r>
          </w:p>
        </w:tc>
        <w:tc>
          <w:tcPr>
            <w:tcW w:w="1133" w:type="dxa"/>
            <w:tcBorders>
              <w:top w:val="nil"/>
              <w:left w:val="nil"/>
              <w:bottom w:val="single" w:color="auto" w:sz="4" w:space="0"/>
              <w:right w:val="single" w:color="auto" w:sz="4" w:space="0"/>
            </w:tcBorders>
            <w:vAlign w:val="center"/>
          </w:tcPr>
          <w:p>
            <w:pPr>
              <w:widowControl/>
              <w:jc w:val="left"/>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186</w:t>
            </w:r>
          </w:p>
        </w:tc>
        <w:tc>
          <w:tcPr>
            <w:tcW w:w="1277"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186</w:t>
            </w:r>
          </w:p>
        </w:tc>
        <w:tc>
          <w:tcPr>
            <w:tcW w:w="992"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其他资金</w:t>
            </w:r>
          </w:p>
        </w:tc>
        <w:tc>
          <w:tcPr>
            <w:tcW w:w="113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2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2" w:hRule="atLeast"/>
        </w:trPr>
        <w:tc>
          <w:tcPr>
            <w:tcW w:w="846" w:type="dxa"/>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年度目标</w:t>
            </w:r>
          </w:p>
        </w:tc>
        <w:tc>
          <w:tcPr>
            <w:tcW w:w="5640" w:type="dxa"/>
            <w:gridSpan w:val="4"/>
            <w:tcBorders>
              <w:top w:val="single" w:color="auto" w:sz="4" w:space="0"/>
              <w:left w:val="nil"/>
              <w:bottom w:val="single" w:color="auto" w:sz="4" w:space="0"/>
              <w:right w:val="single" w:color="000000" w:sz="4" w:space="0"/>
            </w:tcBorders>
            <w:vAlign w:val="center"/>
          </w:tcPr>
          <w:p>
            <w:pPr>
              <w:widowControl/>
              <w:jc w:val="both"/>
              <w:rPr>
                <w:rFonts w:hint="default" w:ascii="宋体" w:hAnsi="宋体" w:eastAsia="宋体" w:cs="宋体"/>
                <w:color w:val="000000"/>
                <w:kern w:val="0"/>
                <w:sz w:val="24"/>
                <w:lang w:val="en-US" w:eastAsia="zh-CN"/>
              </w:rPr>
            </w:pPr>
            <w:r>
              <w:rPr>
                <w:rFonts w:hint="eastAsia" w:ascii="宋体" w:hAnsi="宋体" w:cs="宋体"/>
                <w:color w:val="000000"/>
                <w:kern w:val="0"/>
                <w:sz w:val="22"/>
                <w:szCs w:val="21"/>
              </w:rPr>
              <w:t>年初设定目标：</w:t>
            </w:r>
            <w:r>
              <w:rPr>
                <w:rFonts w:hint="eastAsia" w:ascii="宋体" w:hAnsi="宋体" w:cs="宋体"/>
                <w:color w:val="000000"/>
                <w:kern w:val="0"/>
                <w:sz w:val="22"/>
                <w:szCs w:val="21"/>
                <w:lang w:eastAsia="zh-CN"/>
              </w:rPr>
              <w:t>鼓励</w:t>
            </w:r>
            <w:r>
              <w:rPr>
                <w:rFonts w:hint="eastAsia" w:ascii="宋体" w:hAnsi="宋体" w:cs="宋体"/>
                <w:color w:val="000000"/>
                <w:kern w:val="0"/>
                <w:sz w:val="22"/>
                <w:szCs w:val="21"/>
                <w:lang w:val="en-US" w:eastAsia="zh-CN"/>
              </w:rPr>
              <w:t>培育壮大农业特色优势产业，通过资金支持扶助，进一步提升渔业发展品牌效应和市场竞争力，达到强化科技创新引领，提高渔业技术水平，促进全产业链发展效果，帮助对北京海源通德水产养殖技术开发有限公司申报中央财政渔业发展资金。</w:t>
            </w:r>
          </w:p>
        </w:tc>
        <w:tc>
          <w:tcPr>
            <w:tcW w:w="4537" w:type="dxa"/>
            <w:gridSpan w:val="4"/>
            <w:tcBorders>
              <w:top w:val="single" w:color="auto" w:sz="4" w:space="0"/>
              <w:left w:val="nil"/>
              <w:bottom w:val="single" w:color="auto" w:sz="4" w:space="0"/>
              <w:right w:val="single" w:color="000000" w:sz="4" w:space="0"/>
            </w:tcBorders>
            <w:vAlign w:val="center"/>
          </w:tcPr>
          <w:p>
            <w:pPr>
              <w:widowControl/>
              <w:jc w:val="both"/>
              <w:rPr>
                <w:rFonts w:ascii="宋体" w:hAnsi="宋体" w:cs="宋体"/>
                <w:color w:val="000000"/>
                <w:kern w:val="0"/>
                <w:sz w:val="24"/>
              </w:rPr>
            </w:pPr>
            <w:r>
              <w:rPr>
                <w:rFonts w:hint="eastAsia" w:ascii="宋体" w:hAnsi="宋体" w:cs="宋体"/>
                <w:color w:val="000000"/>
                <w:kern w:val="0"/>
                <w:sz w:val="24"/>
              </w:rPr>
              <w:t>年度总体目标完成情况综述：</w:t>
            </w:r>
            <w:r>
              <w:rPr>
                <w:rFonts w:hint="eastAsia" w:ascii="宋体" w:hAnsi="宋体" w:cs="宋体"/>
                <w:color w:val="000000"/>
                <w:kern w:val="0"/>
                <w:sz w:val="22"/>
                <w:szCs w:val="21"/>
                <w:lang w:val="en-US" w:eastAsia="zh-CN"/>
              </w:rPr>
              <w:t>帮助北京海源通德水产养殖技术开发有限公司申报渔业发展补助资金3986813.66元，做好过程监管，项目建成后进行结算审计，按照相关要求对项目进行最终拨付资金补助1860000元。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846" w:type="dxa"/>
            <w:vMerge w:val="restart"/>
            <w:tcBorders>
              <w:top w:val="single" w:color="auto" w:sz="4" w:space="0"/>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4"/>
              </w:rPr>
            </w:pPr>
            <w:r>
              <w:rPr>
                <w:rFonts w:hint="eastAsia" w:ascii="宋体" w:hAnsi="宋体" w:cs="宋体"/>
                <w:color w:val="000000"/>
                <w:kern w:val="0"/>
                <w:sz w:val="24"/>
              </w:rPr>
              <w:t>绩效指标</w:t>
            </w:r>
          </w:p>
        </w:tc>
        <w:tc>
          <w:tcPr>
            <w:tcW w:w="12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一级指标</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二级指标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三级指标</w:t>
            </w:r>
          </w:p>
        </w:tc>
        <w:tc>
          <w:tcPr>
            <w:tcW w:w="11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年度指标值(A)</w:t>
            </w:r>
          </w:p>
        </w:tc>
        <w:tc>
          <w:tcPr>
            <w:tcW w:w="12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全年实际值(B)</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分值</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得分</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6"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产</w:t>
            </w:r>
            <w:r>
              <w:rPr>
                <w:rFonts w:hint="eastAsia" w:ascii="宋体" w:hAnsi="宋体" w:cs="宋体"/>
                <w:kern w:val="0"/>
                <w:sz w:val="24"/>
              </w:rPr>
              <w:br w:type="textWrapping"/>
            </w:r>
            <w:r>
              <w:rPr>
                <w:rFonts w:hint="eastAsia" w:ascii="宋体" w:hAnsi="宋体" w:cs="宋体"/>
                <w:kern w:val="0"/>
                <w:sz w:val="24"/>
              </w:rPr>
              <w:t>出</w:t>
            </w:r>
            <w:r>
              <w:rPr>
                <w:rFonts w:hint="eastAsia" w:ascii="宋体" w:hAnsi="宋体" w:cs="宋体"/>
                <w:kern w:val="0"/>
                <w:sz w:val="24"/>
              </w:rPr>
              <w:br w:type="textWrapping"/>
            </w:r>
            <w:r>
              <w:rPr>
                <w:rFonts w:hint="eastAsia" w:ascii="宋体" w:hAnsi="宋体" w:cs="宋体"/>
                <w:kern w:val="0"/>
                <w:sz w:val="24"/>
              </w:rPr>
              <w:t>指</w:t>
            </w:r>
            <w:r>
              <w:rPr>
                <w:rFonts w:hint="eastAsia" w:ascii="宋体" w:hAnsi="宋体" w:cs="宋体"/>
                <w:kern w:val="0"/>
                <w:sz w:val="24"/>
              </w:rPr>
              <w:br w:type="textWrapping"/>
            </w:r>
            <w:r>
              <w:rPr>
                <w:rFonts w:hint="eastAsia" w:ascii="宋体" w:hAnsi="宋体" w:cs="宋体"/>
                <w:kern w:val="0"/>
                <w:sz w:val="24"/>
              </w:rPr>
              <w:t>标</w:t>
            </w:r>
            <w:r>
              <w:rPr>
                <w:rFonts w:hint="eastAsia" w:ascii="宋体" w:hAnsi="宋体" w:cs="宋体"/>
                <w:kern w:val="0"/>
                <w:sz w:val="24"/>
              </w:rPr>
              <w:br w:type="textWrapping"/>
            </w:r>
            <w:r>
              <w:rPr>
                <w:rFonts w:hint="eastAsia" w:ascii="宋体" w:hAnsi="宋体" w:cs="宋体"/>
                <w:kern w:val="0"/>
                <w:sz w:val="24"/>
              </w:rPr>
              <w:t>(50分)</w:t>
            </w:r>
          </w:p>
        </w:tc>
        <w:tc>
          <w:tcPr>
            <w:tcW w:w="1381"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数量指标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kern w:val="0"/>
                <w:sz w:val="24"/>
                <w:lang w:eastAsia="zh-CN"/>
              </w:rPr>
            </w:pPr>
            <w:r>
              <w:rPr>
                <w:rFonts w:hint="eastAsia"/>
                <w:kern w:val="0"/>
                <w:sz w:val="24"/>
                <w:lang w:eastAsia="zh-CN"/>
              </w:rPr>
              <w:t>涉及企业</w:t>
            </w:r>
          </w:p>
        </w:tc>
        <w:tc>
          <w:tcPr>
            <w:tcW w:w="1133"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eastAsia="宋体"/>
                <w:kern w:val="0"/>
                <w:sz w:val="24"/>
                <w:lang w:val="en-US" w:eastAsia="zh-CN"/>
              </w:rPr>
            </w:pPr>
            <w:r>
              <w:rPr>
                <w:rFonts w:hint="eastAsia"/>
                <w:kern w:val="0"/>
                <w:sz w:val="24"/>
                <w:lang w:val="en-US" w:eastAsia="zh-CN"/>
              </w:rPr>
              <w:t>1家</w:t>
            </w:r>
          </w:p>
        </w:tc>
        <w:tc>
          <w:tcPr>
            <w:tcW w:w="1277" w:type="dxa"/>
            <w:tcBorders>
              <w:top w:val="single" w:color="auto" w:sz="4" w:space="0"/>
              <w:left w:val="nil"/>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5</w:t>
            </w: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5</w:t>
            </w: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lang w:eastAsia="zh-CN"/>
              </w:rPr>
            </w:pPr>
            <w:r>
              <w:rPr>
                <w:rFonts w:hint="eastAsia"/>
                <w:lang w:eastAsia="zh-CN"/>
              </w:rPr>
              <w:t>补贴主体</w:t>
            </w:r>
          </w:p>
        </w:tc>
        <w:tc>
          <w:tcPr>
            <w:tcW w:w="1133" w:type="dxa"/>
            <w:tcBorders>
              <w:top w:val="single" w:color="auto" w:sz="4" w:space="0"/>
              <w:left w:val="single" w:color="auto" w:sz="4" w:space="0"/>
              <w:bottom w:val="single" w:color="auto" w:sz="4" w:space="0"/>
              <w:right w:val="single" w:color="000000" w:sz="4" w:space="0"/>
            </w:tcBorders>
            <w:vAlign w:val="center"/>
          </w:tcPr>
          <w:p>
            <w:pPr>
              <w:widowControl/>
              <w:jc w:val="center"/>
            </w:pPr>
            <w:r>
              <w:rPr>
                <w:rFonts w:hint="eastAsia"/>
              </w:rPr>
              <w:t>1个</w:t>
            </w:r>
          </w:p>
        </w:tc>
        <w:tc>
          <w:tcPr>
            <w:tcW w:w="1277" w:type="dxa"/>
            <w:tcBorders>
              <w:top w:val="single" w:color="auto" w:sz="4" w:space="0"/>
              <w:left w:val="nil"/>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5</w:t>
            </w: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5</w:t>
            </w: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lang w:eastAsia="zh-CN"/>
              </w:rPr>
            </w:pPr>
            <w:r>
              <w:rPr>
                <w:rFonts w:hint="eastAsia"/>
                <w:lang w:eastAsia="zh-CN"/>
              </w:rPr>
              <w:t>补贴标准</w:t>
            </w:r>
          </w:p>
        </w:tc>
        <w:tc>
          <w:tcPr>
            <w:tcW w:w="1133" w:type="dxa"/>
            <w:tcBorders>
              <w:top w:val="single" w:color="auto" w:sz="4" w:space="0"/>
              <w:left w:val="single" w:color="auto" w:sz="4" w:space="0"/>
              <w:bottom w:val="single" w:color="auto" w:sz="4" w:space="0"/>
              <w:right w:val="single" w:color="000000" w:sz="4" w:space="0"/>
            </w:tcBorders>
            <w:vAlign w:val="center"/>
          </w:tcPr>
          <w:p>
            <w:pPr>
              <w:widowControl/>
              <w:jc w:val="center"/>
            </w:pPr>
            <w:r>
              <w:rPr>
                <w:rFonts w:hint="eastAsia"/>
              </w:rPr>
              <w:t>完成项目建设</w:t>
            </w:r>
          </w:p>
        </w:tc>
        <w:tc>
          <w:tcPr>
            <w:tcW w:w="1277" w:type="dxa"/>
            <w:tcBorders>
              <w:top w:val="single" w:color="auto" w:sz="4" w:space="0"/>
              <w:left w:val="nil"/>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992"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10</w:t>
            </w: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pPr>
          </w:p>
        </w:tc>
        <w:tc>
          <w:tcPr>
            <w:tcW w:w="1133" w:type="dxa"/>
            <w:tcBorders>
              <w:top w:val="single" w:color="auto" w:sz="4" w:space="0"/>
              <w:left w:val="single" w:color="auto" w:sz="4" w:space="0"/>
              <w:bottom w:val="single" w:color="auto" w:sz="4" w:space="0"/>
              <w:right w:val="single" w:color="000000" w:sz="4" w:space="0"/>
            </w:tcBorders>
            <w:vAlign w:val="center"/>
          </w:tcPr>
          <w:p>
            <w:pPr>
              <w:widowControl/>
              <w:jc w:val="center"/>
            </w:pPr>
          </w:p>
        </w:tc>
        <w:tc>
          <w:tcPr>
            <w:tcW w:w="1277" w:type="dxa"/>
            <w:tcBorders>
              <w:top w:val="single" w:color="auto" w:sz="4" w:space="0"/>
              <w:left w:val="nil"/>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质量指标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rPr>
              <w:t>镇级验收</w:t>
            </w:r>
          </w:p>
        </w:tc>
        <w:tc>
          <w:tcPr>
            <w:tcW w:w="1133" w:type="dxa"/>
            <w:tcBorders>
              <w:top w:val="single" w:color="auto" w:sz="4" w:space="0"/>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100%</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5</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5</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项目送审</w:t>
            </w:r>
          </w:p>
        </w:tc>
        <w:tc>
          <w:tcPr>
            <w:tcW w:w="1133" w:type="dxa"/>
            <w:tcBorders>
              <w:top w:val="single" w:color="auto" w:sz="4" w:space="0"/>
              <w:left w:val="nil"/>
              <w:bottom w:val="single" w:color="auto" w:sz="4" w:space="0"/>
              <w:right w:val="single" w:color="auto" w:sz="4" w:space="0"/>
            </w:tcBorders>
            <w:vAlign w:val="center"/>
          </w:tcPr>
          <w:p>
            <w:pPr>
              <w:jc w:val="center"/>
            </w:pPr>
            <w:r>
              <w:rPr>
                <w:rFonts w:hint="eastAsia"/>
              </w:rPr>
              <w:t>100%</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9"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进度指标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lang w:eastAsia="zh-CN"/>
              </w:rPr>
              <w:t>补贴时效</w:t>
            </w:r>
          </w:p>
        </w:tc>
        <w:tc>
          <w:tcPr>
            <w:tcW w:w="1133" w:type="dxa"/>
            <w:tcBorders>
              <w:top w:val="single" w:color="auto" w:sz="4" w:space="0"/>
              <w:left w:val="nil"/>
              <w:bottom w:val="single" w:color="auto" w:sz="4" w:space="0"/>
              <w:right w:val="single" w:color="auto" w:sz="4" w:space="0"/>
            </w:tcBorders>
            <w:vAlign w:val="center"/>
          </w:tcPr>
          <w:p>
            <w:pPr>
              <w:jc w:val="center"/>
              <w:rPr>
                <w:rFonts w:hint="eastAsia" w:eastAsia="宋体"/>
                <w:lang w:val="en-US" w:eastAsia="zh-CN"/>
              </w:rPr>
            </w:pPr>
            <w:r>
              <w:rPr>
                <w:rFonts w:hint="eastAsia"/>
                <w:lang w:val="en-US" w:eastAsia="zh-CN"/>
              </w:rPr>
              <w:t>2022年底前</w:t>
            </w:r>
          </w:p>
        </w:tc>
        <w:tc>
          <w:tcPr>
            <w:tcW w:w="1277"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4"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jc w:val="center"/>
            </w:pPr>
          </w:p>
        </w:tc>
        <w:tc>
          <w:tcPr>
            <w:tcW w:w="1133" w:type="dxa"/>
            <w:tcBorders>
              <w:top w:val="single" w:color="auto" w:sz="4" w:space="0"/>
              <w:left w:val="nil"/>
              <w:bottom w:val="single" w:color="auto" w:sz="4" w:space="0"/>
              <w:right w:val="single" w:color="auto" w:sz="4" w:space="0"/>
            </w:tcBorders>
            <w:vAlign w:val="center"/>
          </w:tcPr>
          <w:p>
            <w:pPr>
              <w:jc w:val="center"/>
            </w:pPr>
          </w:p>
        </w:tc>
        <w:tc>
          <w:tcPr>
            <w:tcW w:w="1277"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trPr>
        <w:tc>
          <w:tcPr>
            <w:tcW w:w="846"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kern w:val="0"/>
                <w:sz w:val="24"/>
              </w:rPr>
            </w:pPr>
          </w:p>
        </w:tc>
        <w:tc>
          <w:tcPr>
            <w:tcW w:w="1381"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成本指标</w:t>
            </w:r>
          </w:p>
        </w:tc>
        <w:tc>
          <w:tcPr>
            <w:tcW w:w="1843"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kern w:val="0"/>
                <w:sz w:val="24"/>
              </w:rPr>
            </w:pPr>
            <w:r>
              <w:rPr>
                <w:rFonts w:hint="eastAsia" w:ascii="宋体" w:hAnsi="宋体" w:cs="宋体"/>
                <w:color w:val="000000"/>
                <w:kern w:val="0"/>
                <w:sz w:val="24"/>
                <w:lang w:val="en-US" w:eastAsia="zh-CN"/>
              </w:rPr>
              <w:t>建设资金使用</w:t>
            </w:r>
          </w:p>
        </w:tc>
        <w:tc>
          <w:tcPr>
            <w:tcW w:w="1133" w:type="dxa"/>
            <w:tcBorders>
              <w:top w:val="single" w:color="auto" w:sz="4" w:space="0"/>
              <w:left w:val="nil"/>
              <w:bottom w:val="single" w:color="auto" w:sz="4" w:space="0"/>
              <w:right w:val="single" w:color="auto" w:sz="4" w:space="0"/>
            </w:tcBorders>
            <w:shd w:val="clear" w:color="000000" w:fill="FFFFFF"/>
            <w:vAlign w:val="center"/>
          </w:tcPr>
          <w:p>
            <w:pPr>
              <w:rPr>
                <w:rFonts w:hint="eastAsia" w:eastAsia="宋体"/>
                <w:lang w:eastAsia="zh-CN"/>
              </w:rPr>
            </w:pPr>
            <w:r>
              <w:rPr>
                <w:rFonts w:hint="eastAsia"/>
                <w:lang w:eastAsia="zh-CN"/>
              </w:rPr>
              <w:t>完成项目建设</w:t>
            </w:r>
          </w:p>
        </w:tc>
        <w:tc>
          <w:tcPr>
            <w:tcW w:w="1277" w:type="dxa"/>
            <w:tcBorders>
              <w:top w:val="single" w:color="auto" w:sz="4" w:space="0"/>
              <w:left w:val="nil"/>
              <w:bottom w:val="single" w:color="auto" w:sz="4" w:space="0"/>
              <w:right w:val="single" w:color="auto" w:sz="4" w:space="0"/>
            </w:tcBorders>
            <w:vAlign w:val="center"/>
          </w:tcPr>
          <w:p>
            <w:pPr>
              <w:widowControl/>
              <w:ind w:firstLine="240" w:firstLineChars="100"/>
              <w:jc w:val="left"/>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3"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jc w:val="center"/>
            </w:pPr>
          </w:p>
        </w:tc>
        <w:tc>
          <w:tcPr>
            <w:tcW w:w="1133" w:type="dxa"/>
            <w:tcBorders>
              <w:top w:val="single" w:color="auto" w:sz="4" w:space="0"/>
              <w:left w:val="nil"/>
              <w:bottom w:val="single" w:color="auto" w:sz="4" w:space="0"/>
              <w:right w:val="single" w:color="auto" w:sz="4" w:space="0"/>
            </w:tcBorders>
            <w:vAlign w:val="center"/>
          </w:tcPr>
          <w:p>
            <w:pPr>
              <w:jc w:val="center"/>
            </w:pPr>
          </w:p>
        </w:tc>
        <w:tc>
          <w:tcPr>
            <w:tcW w:w="1277"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6"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效</w:t>
            </w:r>
            <w:r>
              <w:rPr>
                <w:rFonts w:hint="eastAsia" w:ascii="宋体" w:hAnsi="宋体" w:cs="宋体"/>
                <w:kern w:val="0"/>
                <w:sz w:val="24"/>
              </w:rPr>
              <w:br w:type="textWrapping"/>
            </w:r>
            <w:r>
              <w:rPr>
                <w:rFonts w:hint="eastAsia" w:ascii="宋体" w:hAnsi="宋体" w:cs="宋体"/>
                <w:kern w:val="0"/>
                <w:sz w:val="24"/>
              </w:rPr>
              <w:t>果</w:t>
            </w:r>
            <w:r>
              <w:rPr>
                <w:rFonts w:hint="eastAsia" w:ascii="宋体" w:hAnsi="宋体" w:cs="宋体"/>
                <w:kern w:val="0"/>
                <w:sz w:val="24"/>
              </w:rPr>
              <w:br w:type="textWrapping"/>
            </w:r>
            <w:r>
              <w:rPr>
                <w:rFonts w:hint="eastAsia" w:ascii="宋体" w:hAnsi="宋体" w:cs="宋体"/>
                <w:kern w:val="0"/>
                <w:sz w:val="24"/>
              </w:rPr>
              <w:t>指</w:t>
            </w:r>
            <w:r>
              <w:rPr>
                <w:rFonts w:hint="eastAsia" w:ascii="宋体" w:hAnsi="宋体" w:cs="宋体"/>
                <w:kern w:val="0"/>
                <w:sz w:val="24"/>
              </w:rPr>
              <w:br w:type="textWrapping"/>
            </w:r>
            <w:r>
              <w:rPr>
                <w:rFonts w:hint="eastAsia" w:ascii="宋体" w:hAnsi="宋体" w:cs="宋体"/>
                <w:kern w:val="0"/>
                <w:sz w:val="24"/>
              </w:rPr>
              <w:t>标</w:t>
            </w:r>
            <w:r>
              <w:rPr>
                <w:rFonts w:hint="eastAsia" w:ascii="宋体" w:hAnsi="宋体" w:cs="宋体"/>
                <w:kern w:val="0"/>
                <w:sz w:val="24"/>
              </w:rPr>
              <w:br w:type="textWrapping"/>
            </w:r>
            <w:r>
              <w:rPr>
                <w:rFonts w:hint="eastAsia" w:ascii="宋体" w:hAnsi="宋体" w:cs="宋体"/>
                <w:kern w:val="0"/>
                <w:sz w:val="24"/>
              </w:rPr>
              <w:t>(40分)</w:t>
            </w:r>
          </w:p>
        </w:tc>
        <w:tc>
          <w:tcPr>
            <w:tcW w:w="1381"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p>
          <w:p>
            <w:pPr>
              <w:widowControl/>
              <w:jc w:val="center"/>
              <w:rPr>
                <w:rFonts w:ascii="宋体" w:hAnsi="宋体" w:cs="宋体"/>
                <w:kern w:val="0"/>
                <w:sz w:val="24"/>
              </w:rPr>
            </w:pPr>
            <w:r>
              <w:rPr>
                <w:rFonts w:hint="eastAsia" w:ascii="宋体" w:hAnsi="宋体" w:cs="宋体"/>
                <w:kern w:val="0"/>
                <w:sz w:val="24"/>
              </w:rPr>
              <w:t>效益指标</w:t>
            </w:r>
            <w:r>
              <w:rPr>
                <w:rFonts w:hint="eastAsia" w:ascii="宋体" w:hAnsi="宋体" w:cs="宋体"/>
                <w:kern w:val="0"/>
                <w:sz w:val="24"/>
              </w:rPr>
              <w:br w:type="textWrapping"/>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kern w:val="0"/>
                <w:sz w:val="24"/>
                <w:lang w:eastAsia="zh-CN"/>
              </w:rPr>
            </w:pPr>
            <w:r>
              <w:rPr>
                <w:rFonts w:hint="eastAsia"/>
                <w:lang w:eastAsia="zh-CN"/>
              </w:rPr>
              <w:t>经济效益指标</w:t>
            </w:r>
          </w:p>
        </w:tc>
        <w:tc>
          <w:tcPr>
            <w:tcW w:w="1133" w:type="dxa"/>
            <w:tcBorders>
              <w:top w:val="single" w:color="auto" w:sz="4" w:space="0"/>
              <w:left w:val="nil"/>
              <w:bottom w:val="single" w:color="auto" w:sz="4" w:space="0"/>
              <w:right w:val="single" w:color="auto" w:sz="4" w:space="0"/>
            </w:tcBorders>
            <w:vAlign w:val="center"/>
          </w:tcPr>
          <w:p>
            <w:pPr>
              <w:jc w:val="center"/>
            </w:pPr>
            <w:r>
              <w:rPr>
                <w:rFonts w:hint="eastAsia"/>
              </w:rPr>
              <w:t>建设成本</w:t>
            </w:r>
          </w:p>
        </w:tc>
        <w:tc>
          <w:tcPr>
            <w:tcW w:w="127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得到有效降低</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10</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1"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843" w:type="dxa"/>
            <w:vMerge w:val="restart"/>
            <w:tcBorders>
              <w:top w:val="single" w:color="auto" w:sz="4" w:space="0"/>
              <w:left w:val="single" w:color="auto" w:sz="4" w:space="0"/>
              <w:right w:val="single" w:color="auto" w:sz="4" w:space="0"/>
            </w:tcBorders>
            <w:vAlign w:val="center"/>
          </w:tcPr>
          <w:p>
            <w:pPr>
              <w:jc w:val="center"/>
              <w:rPr>
                <w:rFonts w:hint="eastAsia" w:eastAsia="宋体"/>
                <w:lang w:eastAsia="zh-CN"/>
              </w:rPr>
            </w:pPr>
            <w:r>
              <w:rPr>
                <w:rFonts w:hint="eastAsia"/>
                <w:lang w:eastAsia="zh-CN"/>
              </w:rPr>
              <w:t>社会效益指标</w:t>
            </w:r>
          </w:p>
        </w:tc>
        <w:tc>
          <w:tcPr>
            <w:tcW w:w="1133" w:type="dxa"/>
            <w:tcBorders>
              <w:top w:val="single" w:color="auto" w:sz="4" w:space="0"/>
              <w:left w:val="nil"/>
              <w:bottom w:val="single" w:color="auto" w:sz="4" w:space="0"/>
              <w:right w:val="single" w:color="auto" w:sz="4" w:space="0"/>
            </w:tcBorders>
            <w:vAlign w:val="center"/>
          </w:tcPr>
          <w:p>
            <w:pPr>
              <w:jc w:val="center"/>
              <w:rPr>
                <w:rFonts w:hint="eastAsia" w:eastAsia="宋体"/>
                <w:lang w:eastAsia="zh-CN"/>
              </w:rPr>
            </w:pPr>
            <w:r>
              <w:rPr>
                <w:rFonts w:hint="eastAsia"/>
                <w:lang w:eastAsia="zh-CN"/>
              </w:rPr>
              <w:t>提升品牌</w:t>
            </w:r>
          </w:p>
        </w:tc>
        <w:tc>
          <w:tcPr>
            <w:tcW w:w="127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得到有效提升</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10</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843" w:type="dxa"/>
            <w:vMerge w:val="continue"/>
            <w:tcBorders>
              <w:left w:val="single" w:color="auto" w:sz="4" w:space="0"/>
              <w:bottom w:val="single" w:color="auto" w:sz="4" w:space="0"/>
              <w:right w:val="single" w:color="auto" w:sz="4" w:space="0"/>
            </w:tcBorders>
            <w:vAlign w:val="center"/>
          </w:tcPr>
          <w:p>
            <w:pPr>
              <w:jc w:val="center"/>
              <w:rPr>
                <w:rFonts w:hint="eastAsia"/>
                <w:lang w:eastAsia="zh-CN"/>
              </w:rPr>
            </w:pPr>
          </w:p>
        </w:tc>
        <w:tc>
          <w:tcPr>
            <w:tcW w:w="1133" w:type="dxa"/>
            <w:tcBorders>
              <w:top w:val="single" w:color="auto" w:sz="4" w:space="0"/>
              <w:left w:val="nil"/>
              <w:bottom w:val="single" w:color="auto" w:sz="4" w:space="0"/>
              <w:right w:val="single" w:color="auto" w:sz="4" w:space="0"/>
            </w:tcBorders>
            <w:vAlign w:val="center"/>
          </w:tcPr>
          <w:p>
            <w:pPr>
              <w:jc w:val="center"/>
              <w:rPr>
                <w:rFonts w:hint="eastAsia"/>
                <w:lang w:eastAsia="zh-CN"/>
              </w:rPr>
            </w:pPr>
            <w:r>
              <w:rPr>
                <w:rFonts w:hint="eastAsia"/>
                <w:lang w:eastAsia="zh-CN"/>
              </w:rPr>
              <w:t>带动生产</w:t>
            </w:r>
          </w:p>
        </w:tc>
        <w:tc>
          <w:tcPr>
            <w:tcW w:w="127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4"/>
              </w:rPr>
            </w:pPr>
            <w:r>
              <w:rPr>
                <w:rFonts w:hint="eastAsia" w:ascii="宋体" w:hAnsi="宋体" w:cs="宋体"/>
                <w:color w:val="000000"/>
                <w:kern w:val="0"/>
                <w:sz w:val="24"/>
              </w:rPr>
              <w:t>得到有效提升</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color w:val="000000"/>
                <w:kern w:val="0"/>
                <w:sz w:val="24"/>
                <w:lang w:val="en-US" w:eastAsia="zh-CN"/>
              </w:rPr>
            </w:pPr>
            <w:r>
              <w:rPr>
                <w:rFonts w:hint="eastAsia" w:ascii="宋体" w:hAnsi="宋体" w:cs="宋体"/>
                <w:color w:val="000000"/>
                <w:kern w:val="0"/>
                <w:sz w:val="24"/>
                <w:lang w:val="en-US" w:eastAsia="zh-CN"/>
              </w:rPr>
              <w:t>10</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38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服务对象</w:t>
            </w:r>
            <w:r>
              <w:rPr>
                <w:rFonts w:hint="eastAsia" w:ascii="宋体" w:hAnsi="宋体" w:cs="宋体"/>
                <w:kern w:val="0"/>
                <w:sz w:val="24"/>
              </w:rPr>
              <w:br w:type="textWrapping"/>
            </w:r>
            <w:r>
              <w:rPr>
                <w:rFonts w:hint="eastAsia" w:ascii="宋体" w:hAnsi="宋体" w:cs="宋体"/>
                <w:kern w:val="0"/>
                <w:sz w:val="24"/>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eastAsia="宋体"/>
                <w:kern w:val="0"/>
                <w:sz w:val="24"/>
                <w:lang w:eastAsia="zh-CN"/>
              </w:rPr>
            </w:pPr>
            <w:r>
              <w:rPr>
                <w:rFonts w:hint="eastAsia"/>
                <w:lang w:eastAsia="zh-CN"/>
              </w:rPr>
              <w:t>补贴对象满意度</w:t>
            </w:r>
          </w:p>
        </w:tc>
        <w:tc>
          <w:tcPr>
            <w:tcW w:w="1133" w:type="dxa"/>
            <w:tcBorders>
              <w:top w:val="single" w:color="auto" w:sz="4" w:space="0"/>
              <w:left w:val="nil"/>
              <w:bottom w:val="single" w:color="auto" w:sz="4" w:space="0"/>
              <w:right w:val="single" w:color="auto" w:sz="4" w:space="0"/>
            </w:tcBorders>
            <w:vAlign w:val="center"/>
          </w:tcPr>
          <w:p>
            <w:pPr>
              <w:jc w:val="center"/>
            </w:pPr>
            <w:r>
              <w:rPr>
                <w:rFonts w:hint="eastAsia"/>
              </w:rPr>
              <w:t>比较满意</w:t>
            </w:r>
          </w:p>
        </w:tc>
        <w:tc>
          <w:tcPr>
            <w:tcW w:w="12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ind w:firstLine="240" w:firstLineChars="100"/>
              <w:jc w:val="both"/>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10</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trPr>
        <w:tc>
          <w:tcPr>
            <w:tcW w:w="8755" w:type="dxa"/>
            <w:gridSpan w:val="7"/>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4"/>
              </w:rPr>
            </w:pPr>
            <w:r>
              <w:rPr>
                <w:rFonts w:hint="eastAsia" w:ascii="宋体" w:hAnsi="宋体" w:cs="宋体"/>
                <w:b/>
                <w:bCs/>
                <w:color w:val="000000"/>
                <w:kern w:val="0"/>
                <w:sz w:val="24"/>
              </w:rPr>
              <w:t>总分：</w:t>
            </w:r>
          </w:p>
        </w:tc>
        <w:tc>
          <w:tcPr>
            <w:tcW w:w="2268" w:type="dxa"/>
            <w:gridSpan w:val="2"/>
            <w:tcBorders>
              <w:top w:val="nil"/>
              <w:left w:val="nil"/>
              <w:bottom w:val="single" w:color="auto" w:sz="4" w:space="0"/>
              <w:right w:val="single" w:color="auto" w:sz="4" w:space="0"/>
            </w:tcBorders>
            <w:vAlign w:val="center"/>
          </w:tcPr>
          <w:p>
            <w:pPr>
              <w:widowControl/>
              <w:jc w:val="left"/>
              <w:rPr>
                <w:rFonts w:hint="default" w:ascii="宋体" w:hAnsi="宋体" w:cs="宋体"/>
                <w:color w:val="000000"/>
                <w:kern w:val="0"/>
                <w:sz w:val="24"/>
                <w:lang w:val="en-US"/>
              </w:rPr>
            </w:pPr>
            <w:r>
              <w:rPr>
                <w:rFonts w:hint="eastAsia" w:ascii="宋体" w:hAnsi="宋体" w:cs="宋体"/>
                <w:color w:val="000000"/>
                <w:kern w:val="0"/>
                <w:sz w:val="24"/>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1023" w:type="dxa"/>
            <w:gridSpan w:val="9"/>
            <w:tcBorders>
              <w:top w:val="single" w:color="auto" w:sz="4" w:space="0"/>
              <w:left w:val="nil"/>
              <w:bottom w:val="nil"/>
              <w:right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注：1.得分一档最高不能超过该指标分值上限。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atLeast"/>
        </w:trPr>
        <w:tc>
          <w:tcPr>
            <w:tcW w:w="11023" w:type="dxa"/>
            <w:gridSpan w:val="9"/>
            <w:tcBorders>
              <w:top w:val="nil"/>
              <w:left w:val="nil"/>
              <w:bottom w:val="nil"/>
              <w:right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xml:space="preserve">    2.定性指标根据指标完成情况分为：达成预期指标、基本达成预期指标且效果较好效果、部分达成预期指标且具有一定效果、未达成预期指标且效果较差四档，分别按照该指标对应分值区间100-90%(含90%)、90-75%(含75%)、75-60%（含60%）、60-0%合理确定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atLeast"/>
        </w:trPr>
        <w:tc>
          <w:tcPr>
            <w:tcW w:w="11023" w:type="dxa"/>
            <w:gridSpan w:val="9"/>
            <w:tcBorders>
              <w:top w:val="nil"/>
              <w:left w:val="nil"/>
              <w:bottom w:val="nil"/>
              <w:right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xml:space="preserve">    3.定量指标若为正向指标，则得分计算方法应用全年实际值（B）/年度指标值（A）*该指标分值；若定量指标为反向指标，则得分计算方法应用年度指标值（A）/全年实际值（B）*该指标分值。若</w:t>
            </w:r>
            <w:r>
              <w:rPr>
                <w:rFonts w:ascii="宋体" w:hAnsi="宋体" w:cs="宋体"/>
                <w:color w:val="000000"/>
                <w:kern w:val="0"/>
                <w:sz w:val="24"/>
              </w:rPr>
              <w:t>年初指标值设定偏低，则</w:t>
            </w:r>
            <w:r>
              <w:rPr>
                <w:rFonts w:hint="eastAsia" w:ascii="宋体" w:hAnsi="宋体" w:cs="宋体"/>
                <w:color w:val="000000"/>
                <w:kern w:val="0"/>
                <w:sz w:val="24"/>
              </w:rPr>
              <w:t>得分计算方法</w:t>
            </w:r>
            <w:r>
              <w:rPr>
                <w:rFonts w:ascii="宋体" w:hAnsi="宋体" w:cs="宋体"/>
                <w:color w:val="000000"/>
                <w:kern w:val="0"/>
                <w:sz w:val="24"/>
              </w:rPr>
              <w:t>应用</w:t>
            </w:r>
            <w:r>
              <w:rPr>
                <w:rFonts w:hint="eastAsia" w:ascii="宋体" w:hAnsi="宋体" w:cs="宋体"/>
                <w:color w:val="000000"/>
                <w:kern w:val="0"/>
                <w:sz w:val="24"/>
              </w:rPr>
              <w:t>（全年实际值（B）—年度指标值（A））</w:t>
            </w:r>
            <w:r>
              <w:rPr>
                <w:rFonts w:ascii="宋体" w:hAnsi="宋体" w:cs="宋体"/>
                <w:color w:val="000000"/>
                <w:kern w:val="0"/>
                <w:sz w:val="24"/>
              </w:rPr>
              <w:t>/</w:t>
            </w:r>
            <w:r>
              <w:rPr>
                <w:rFonts w:hint="eastAsia" w:ascii="宋体" w:hAnsi="宋体" w:cs="宋体"/>
                <w:color w:val="000000"/>
                <w:kern w:val="0"/>
                <w:sz w:val="24"/>
              </w:rPr>
              <w:t>年度指标值（A）*</w:t>
            </w:r>
            <w:r>
              <w:rPr>
                <w:rFonts w:ascii="宋体" w:hAnsi="宋体" w:cs="宋体"/>
                <w:color w:val="000000"/>
                <w:kern w:val="0"/>
                <w:sz w:val="24"/>
              </w:rPr>
              <w:t>100%</w:t>
            </w:r>
            <w:r>
              <w:rPr>
                <w:rFonts w:hint="eastAsia" w:ascii="宋体" w:hAnsi="宋体" w:cs="宋体"/>
                <w:color w:val="000000"/>
                <w:kern w:val="0"/>
                <w:sz w:val="24"/>
              </w:rPr>
              <w:t>。若</w:t>
            </w:r>
            <w:r>
              <w:rPr>
                <w:rFonts w:ascii="宋体" w:hAnsi="宋体" w:cs="宋体"/>
                <w:color w:val="000000"/>
                <w:kern w:val="0"/>
                <w:sz w:val="24"/>
              </w:rPr>
              <w:t>计算结果</w:t>
            </w:r>
            <w:r>
              <w:rPr>
                <w:rFonts w:hint="eastAsia" w:ascii="宋体" w:hAnsi="宋体" w:cs="宋体"/>
                <w:color w:val="000000"/>
                <w:kern w:val="0"/>
                <w:sz w:val="24"/>
              </w:rPr>
              <w:t>在200</w:t>
            </w:r>
            <w:r>
              <w:rPr>
                <w:rFonts w:ascii="宋体" w:hAnsi="宋体" w:cs="宋体"/>
                <w:color w:val="000000"/>
                <w:kern w:val="0"/>
                <w:sz w:val="24"/>
              </w:rPr>
              <w:t>%-300%</w:t>
            </w:r>
            <w:r>
              <w:rPr>
                <w:rFonts w:hint="eastAsia" w:ascii="宋体" w:hAnsi="宋体" w:cs="宋体"/>
                <w:color w:val="000000"/>
                <w:kern w:val="0"/>
                <w:sz w:val="24"/>
              </w:rPr>
              <w:t>（含200</w:t>
            </w:r>
            <w:r>
              <w:rPr>
                <w:rFonts w:ascii="宋体" w:hAnsi="宋体" w:cs="宋体"/>
                <w:color w:val="000000"/>
                <w:kern w:val="0"/>
                <w:sz w:val="24"/>
              </w:rPr>
              <w:t>%</w:t>
            </w:r>
            <w:r>
              <w:rPr>
                <w:rFonts w:hint="eastAsia" w:ascii="宋体" w:hAnsi="宋体" w:cs="宋体"/>
                <w:color w:val="000000"/>
                <w:kern w:val="0"/>
                <w:sz w:val="24"/>
              </w:rPr>
              <w:t>）区间，</w:t>
            </w:r>
            <w:r>
              <w:rPr>
                <w:rFonts w:ascii="宋体" w:hAnsi="宋体" w:cs="宋体"/>
                <w:color w:val="000000"/>
                <w:kern w:val="0"/>
                <w:sz w:val="24"/>
              </w:rPr>
              <w:t>则按照该指标分值的</w:t>
            </w:r>
            <w:r>
              <w:rPr>
                <w:rFonts w:hint="eastAsia" w:ascii="宋体" w:hAnsi="宋体" w:cs="宋体"/>
                <w:color w:val="000000"/>
                <w:kern w:val="0"/>
                <w:sz w:val="24"/>
              </w:rPr>
              <w:t>10</w:t>
            </w:r>
            <w:r>
              <w:rPr>
                <w:rFonts w:ascii="宋体" w:hAnsi="宋体" w:cs="宋体"/>
                <w:color w:val="000000"/>
                <w:kern w:val="0"/>
                <w:sz w:val="24"/>
              </w:rPr>
              <w:t>%扣分；</w:t>
            </w:r>
            <w:r>
              <w:rPr>
                <w:rFonts w:hint="eastAsia" w:ascii="宋体" w:hAnsi="宋体" w:cs="宋体"/>
                <w:color w:val="000000"/>
                <w:kern w:val="0"/>
                <w:sz w:val="24"/>
              </w:rPr>
              <w:t>计算结果</w:t>
            </w:r>
            <w:r>
              <w:rPr>
                <w:rFonts w:ascii="宋体" w:hAnsi="宋体" w:cs="宋体"/>
                <w:color w:val="000000"/>
                <w:kern w:val="0"/>
                <w:sz w:val="24"/>
              </w:rPr>
              <w:t>在</w:t>
            </w:r>
            <w:r>
              <w:rPr>
                <w:rFonts w:hint="eastAsia" w:ascii="宋体" w:hAnsi="宋体" w:cs="宋体"/>
                <w:color w:val="000000"/>
                <w:kern w:val="0"/>
                <w:sz w:val="24"/>
              </w:rPr>
              <w:t>300</w:t>
            </w:r>
            <w:r>
              <w:rPr>
                <w:rFonts w:ascii="宋体" w:hAnsi="宋体" w:cs="宋体"/>
                <w:color w:val="000000"/>
                <w:kern w:val="0"/>
                <w:sz w:val="24"/>
              </w:rPr>
              <w:t>%-500%（</w:t>
            </w:r>
            <w:r>
              <w:rPr>
                <w:rFonts w:hint="eastAsia" w:ascii="宋体" w:hAnsi="宋体" w:cs="宋体"/>
                <w:color w:val="000000"/>
                <w:kern w:val="0"/>
                <w:sz w:val="24"/>
              </w:rPr>
              <w:t>含300</w:t>
            </w:r>
            <w:r>
              <w:rPr>
                <w:rFonts w:ascii="宋体" w:hAnsi="宋体" w:cs="宋体"/>
                <w:color w:val="000000"/>
                <w:kern w:val="0"/>
                <w:sz w:val="24"/>
              </w:rPr>
              <w:t>%）</w:t>
            </w:r>
            <w:r>
              <w:rPr>
                <w:rFonts w:hint="eastAsia" w:ascii="宋体" w:hAnsi="宋体" w:cs="宋体"/>
                <w:color w:val="000000"/>
                <w:kern w:val="0"/>
                <w:sz w:val="24"/>
              </w:rPr>
              <w:t>区间</w:t>
            </w:r>
            <w:r>
              <w:rPr>
                <w:rFonts w:ascii="宋体" w:hAnsi="宋体" w:cs="宋体"/>
                <w:color w:val="000000"/>
                <w:kern w:val="0"/>
                <w:sz w:val="24"/>
              </w:rPr>
              <w:t>，则按照该指标分值的</w:t>
            </w:r>
            <w:r>
              <w:rPr>
                <w:rFonts w:hint="eastAsia" w:ascii="宋体" w:hAnsi="宋体" w:cs="宋体"/>
                <w:color w:val="000000"/>
                <w:kern w:val="0"/>
                <w:sz w:val="24"/>
              </w:rPr>
              <w:t>20</w:t>
            </w:r>
            <w:r>
              <w:rPr>
                <w:rFonts w:ascii="宋体" w:hAnsi="宋体" w:cs="宋体"/>
                <w:color w:val="000000"/>
                <w:kern w:val="0"/>
                <w:sz w:val="24"/>
              </w:rPr>
              <w:t>%扣分；计算结果</w:t>
            </w:r>
            <w:r>
              <w:rPr>
                <w:rFonts w:hint="eastAsia" w:ascii="宋体" w:hAnsi="宋体" w:cs="宋体"/>
                <w:color w:val="000000"/>
                <w:kern w:val="0"/>
                <w:sz w:val="24"/>
              </w:rPr>
              <w:t>高于500</w:t>
            </w:r>
            <w:r>
              <w:rPr>
                <w:rFonts w:ascii="宋体" w:hAnsi="宋体" w:cs="宋体"/>
                <w:color w:val="000000"/>
                <w:kern w:val="0"/>
                <w:sz w:val="24"/>
              </w:rPr>
              <w:t>%（</w:t>
            </w:r>
            <w:r>
              <w:rPr>
                <w:rFonts w:hint="eastAsia" w:ascii="宋体" w:hAnsi="宋体" w:cs="宋体"/>
                <w:color w:val="000000"/>
                <w:kern w:val="0"/>
                <w:sz w:val="24"/>
              </w:rPr>
              <w:t>含500</w:t>
            </w:r>
            <w:r>
              <w:rPr>
                <w:rFonts w:ascii="宋体" w:hAnsi="宋体" w:cs="宋体"/>
                <w:color w:val="000000"/>
                <w:kern w:val="0"/>
                <w:sz w:val="24"/>
              </w:rPr>
              <w:t>%）</w:t>
            </w:r>
            <w:r>
              <w:rPr>
                <w:rFonts w:hint="eastAsia" w:ascii="宋体" w:hAnsi="宋体" w:cs="宋体"/>
                <w:color w:val="000000"/>
                <w:kern w:val="0"/>
                <w:sz w:val="24"/>
              </w:rPr>
              <w:t>，</w:t>
            </w:r>
            <w:r>
              <w:rPr>
                <w:rFonts w:ascii="宋体" w:hAnsi="宋体" w:cs="宋体"/>
                <w:color w:val="000000"/>
                <w:kern w:val="0"/>
                <w:sz w:val="24"/>
              </w:rPr>
              <w:t>则按照该指标分值的</w:t>
            </w:r>
            <w:r>
              <w:rPr>
                <w:rFonts w:hint="eastAsia" w:ascii="宋体" w:hAnsi="宋体" w:cs="宋体"/>
                <w:color w:val="000000"/>
                <w:kern w:val="0"/>
                <w:sz w:val="24"/>
              </w:rPr>
              <w:t>30</w:t>
            </w:r>
            <w:r>
              <w:rPr>
                <w:rFonts w:ascii="宋体" w:hAnsi="宋体" w:cs="宋体"/>
                <w:color w:val="000000"/>
                <w:kern w:val="0"/>
                <w:sz w:val="24"/>
              </w:rPr>
              <w:t>%扣分。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 w:hRule="atLeast"/>
        </w:trPr>
        <w:tc>
          <w:tcPr>
            <w:tcW w:w="11023" w:type="dxa"/>
            <w:gridSpan w:val="9"/>
            <w:tcBorders>
              <w:top w:val="nil"/>
              <w:left w:val="nil"/>
              <w:bottom w:val="nil"/>
              <w:right w:val="nil"/>
            </w:tcBorders>
            <w:vAlign w:val="center"/>
          </w:tcPr>
          <w:p>
            <w:pPr>
              <w:widowControl/>
              <w:ind w:firstLine="480" w:firstLineChars="200"/>
              <w:jc w:val="left"/>
              <w:rPr>
                <w:rFonts w:ascii="宋体" w:hAnsi="宋体" w:cs="宋体"/>
                <w:color w:val="000000"/>
                <w:kern w:val="0"/>
                <w:sz w:val="24"/>
              </w:rPr>
            </w:pPr>
            <w:r>
              <w:rPr>
                <w:rFonts w:hint="eastAsia" w:ascii="宋体" w:hAnsi="宋体" w:cs="宋体"/>
                <w:color w:val="000000"/>
                <w:kern w:val="0"/>
                <w:sz w:val="24"/>
              </w:rPr>
              <w:t>4.请在“未完成原因分析”中说明偏离目标、不能完成目标的原因及拟采取的措施。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 w:hRule="atLeast"/>
        </w:trPr>
        <w:tc>
          <w:tcPr>
            <w:tcW w:w="11023" w:type="dxa"/>
            <w:gridSpan w:val="9"/>
            <w:tcBorders>
              <w:top w:val="nil"/>
              <w:left w:val="nil"/>
              <w:bottom w:val="nil"/>
              <w:right w:val="nil"/>
            </w:tcBorders>
            <w:vAlign w:val="center"/>
          </w:tcPr>
          <w:p>
            <w:pPr>
              <w:widowControl/>
              <w:ind w:firstLine="480" w:firstLineChars="200"/>
              <w:jc w:val="left"/>
              <w:rPr>
                <w:rFonts w:ascii="宋体" w:hAnsi="宋体" w:cs="宋体"/>
                <w:color w:val="000000"/>
                <w:kern w:val="0"/>
                <w:sz w:val="24"/>
              </w:rPr>
            </w:pPr>
            <w:r>
              <w:rPr>
                <w:rFonts w:hint="eastAsia" w:ascii="宋体" w:hAnsi="宋体" w:cs="宋体"/>
                <w:color w:val="000000"/>
                <w:kern w:val="0"/>
                <w:sz w:val="24"/>
              </w:rPr>
              <w:t>5.该示例样表来源为北京市财政局填制自评表，请各部门自行删除项目信息，得到空表作为模板。</w:t>
            </w:r>
          </w:p>
        </w:tc>
      </w:tr>
    </w:tbl>
    <w:p>
      <w:pPr>
        <w:widowControl/>
        <w:rPr>
          <w:rFonts w:ascii="仿宋_GB2312" w:eastAsia="仿宋_GB2312"/>
          <w:sz w:val="32"/>
          <w:szCs w:val="32"/>
        </w:rPr>
        <w:sectPr>
          <w:pgSz w:w="11906" w:h="16838"/>
          <w:pgMar w:top="720" w:right="720" w:bottom="720" w:left="720" w:header="851" w:footer="992" w:gutter="0"/>
          <w:cols w:space="720" w:num="1"/>
          <w:docGrid w:type="lines" w:linePitch="312" w:charSpace="0"/>
        </w:sectPr>
      </w:pPr>
    </w:p>
    <w:p>
      <w:pPr>
        <w:widowControl/>
        <w:rPr>
          <w:rFonts w:ascii="仿宋_GB2312" w:eastAsia="仿宋_GB2312"/>
          <w:sz w:val="32"/>
          <w:szCs w:val="32"/>
        </w:rPr>
      </w:pPr>
    </w:p>
    <w:sectPr>
      <w:pgSz w:w="11907" w:h="16840"/>
      <w:pgMar w:top="1440" w:right="1797" w:bottom="1440" w:left="1797"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4NmMzMTFlMzdjNTM3NTJkZWNkOWIzNDA3NzhlOTMifQ=="/>
  </w:docVars>
  <w:rsids>
    <w:rsidRoot w:val="007529AF"/>
    <w:rsid w:val="0000279D"/>
    <w:rsid w:val="000274E5"/>
    <w:rsid w:val="000A07E2"/>
    <w:rsid w:val="000A0E87"/>
    <w:rsid w:val="000A35B0"/>
    <w:rsid w:val="000D556C"/>
    <w:rsid w:val="000F76B3"/>
    <w:rsid w:val="00117197"/>
    <w:rsid w:val="00120504"/>
    <w:rsid w:val="00137D9E"/>
    <w:rsid w:val="001616BF"/>
    <w:rsid w:val="001719FE"/>
    <w:rsid w:val="00194618"/>
    <w:rsid w:val="001A5ABF"/>
    <w:rsid w:val="001C12BD"/>
    <w:rsid w:val="001C7F0A"/>
    <w:rsid w:val="001D1E98"/>
    <w:rsid w:val="001D3BAA"/>
    <w:rsid w:val="00200E09"/>
    <w:rsid w:val="00216424"/>
    <w:rsid w:val="00224EB5"/>
    <w:rsid w:val="00233F51"/>
    <w:rsid w:val="002C47BB"/>
    <w:rsid w:val="002E190B"/>
    <w:rsid w:val="003216DD"/>
    <w:rsid w:val="00344CD7"/>
    <w:rsid w:val="0037029A"/>
    <w:rsid w:val="0037527C"/>
    <w:rsid w:val="00396020"/>
    <w:rsid w:val="003A102E"/>
    <w:rsid w:val="003B7A64"/>
    <w:rsid w:val="003C0306"/>
    <w:rsid w:val="003F56C0"/>
    <w:rsid w:val="00405EEF"/>
    <w:rsid w:val="004138BE"/>
    <w:rsid w:val="0044469F"/>
    <w:rsid w:val="00465AF9"/>
    <w:rsid w:val="004904A7"/>
    <w:rsid w:val="00491D0F"/>
    <w:rsid w:val="004C022F"/>
    <w:rsid w:val="004C79E9"/>
    <w:rsid w:val="004D151A"/>
    <w:rsid w:val="00512D03"/>
    <w:rsid w:val="00520C1F"/>
    <w:rsid w:val="00594247"/>
    <w:rsid w:val="005A79FA"/>
    <w:rsid w:val="005E57E7"/>
    <w:rsid w:val="006247CE"/>
    <w:rsid w:val="006546A1"/>
    <w:rsid w:val="00671F69"/>
    <w:rsid w:val="006A1DFB"/>
    <w:rsid w:val="006A6CD3"/>
    <w:rsid w:val="006B4A7A"/>
    <w:rsid w:val="006F705D"/>
    <w:rsid w:val="00713649"/>
    <w:rsid w:val="0073369C"/>
    <w:rsid w:val="00742393"/>
    <w:rsid w:val="007529AF"/>
    <w:rsid w:val="007D079A"/>
    <w:rsid w:val="007F55D6"/>
    <w:rsid w:val="00834D94"/>
    <w:rsid w:val="00852955"/>
    <w:rsid w:val="008A4D82"/>
    <w:rsid w:val="008B4C02"/>
    <w:rsid w:val="008E3479"/>
    <w:rsid w:val="00932F53"/>
    <w:rsid w:val="009509AE"/>
    <w:rsid w:val="00951F5E"/>
    <w:rsid w:val="00976CF6"/>
    <w:rsid w:val="00A128E7"/>
    <w:rsid w:val="00A3203A"/>
    <w:rsid w:val="00A37D8B"/>
    <w:rsid w:val="00A47A74"/>
    <w:rsid w:val="00A52CE6"/>
    <w:rsid w:val="00A5375F"/>
    <w:rsid w:val="00A90952"/>
    <w:rsid w:val="00AF228A"/>
    <w:rsid w:val="00B345F5"/>
    <w:rsid w:val="00B70175"/>
    <w:rsid w:val="00BB6C0B"/>
    <w:rsid w:val="00C55131"/>
    <w:rsid w:val="00C74520"/>
    <w:rsid w:val="00C748F6"/>
    <w:rsid w:val="00C9150C"/>
    <w:rsid w:val="00C944B5"/>
    <w:rsid w:val="00CA7094"/>
    <w:rsid w:val="00CE6FBF"/>
    <w:rsid w:val="00CF777B"/>
    <w:rsid w:val="00D132E9"/>
    <w:rsid w:val="00D17EEA"/>
    <w:rsid w:val="00D7024B"/>
    <w:rsid w:val="00DD3A93"/>
    <w:rsid w:val="00E15E8A"/>
    <w:rsid w:val="00E17654"/>
    <w:rsid w:val="00E2088B"/>
    <w:rsid w:val="00E848F7"/>
    <w:rsid w:val="00EC251D"/>
    <w:rsid w:val="00EC6651"/>
    <w:rsid w:val="00ED18D7"/>
    <w:rsid w:val="00EE0993"/>
    <w:rsid w:val="00F25717"/>
    <w:rsid w:val="00F325D5"/>
    <w:rsid w:val="00F66BD8"/>
    <w:rsid w:val="00FC61A5"/>
    <w:rsid w:val="00FF0375"/>
    <w:rsid w:val="09FD0D99"/>
    <w:rsid w:val="0E047F6D"/>
    <w:rsid w:val="16D87629"/>
    <w:rsid w:val="1C6963B1"/>
    <w:rsid w:val="22D56551"/>
    <w:rsid w:val="272D2C19"/>
    <w:rsid w:val="2C0870EC"/>
    <w:rsid w:val="2CF077F9"/>
    <w:rsid w:val="325C2CBB"/>
    <w:rsid w:val="33554BCC"/>
    <w:rsid w:val="3BA80795"/>
    <w:rsid w:val="4F6F3786"/>
    <w:rsid w:val="5C502F60"/>
    <w:rsid w:val="5CD61BFF"/>
    <w:rsid w:val="5D6D2549"/>
    <w:rsid w:val="63DF7AF1"/>
    <w:rsid w:val="64AA2E81"/>
    <w:rsid w:val="65FB4B9B"/>
    <w:rsid w:val="6FCE6041"/>
    <w:rsid w:val="74865314"/>
    <w:rsid w:val="74BF20A3"/>
    <w:rsid w:val="77873F3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9"/>
    <w:pPr>
      <w:keepNext/>
      <w:keepLines/>
      <w:spacing w:line="360" w:lineRule="auto"/>
      <w:jc w:val="center"/>
      <w:outlineLvl w:val="0"/>
    </w:pPr>
    <w:rPr>
      <w:b/>
      <w:bCs/>
      <w:kern w:val="44"/>
      <w:sz w:val="36"/>
      <w:szCs w:val="44"/>
    </w:rPr>
  </w:style>
  <w:style w:type="character" w:default="1" w:styleId="8">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customStyle="1" w:styleId="2">
    <w:name w:val="A正文"/>
    <w:basedOn w:val="1"/>
    <w:qFormat/>
    <w:uiPriority w:val="0"/>
    <w:pPr>
      <w:ind w:firstLine="200" w:firstLineChars="200"/>
    </w:p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List Paragraph"/>
    <w:basedOn w:val="1"/>
    <w:qFormat/>
    <w:uiPriority w:val="34"/>
    <w:pPr>
      <w:ind w:firstLine="420" w:firstLineChars="200"/>
    </w:p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984</Words>
  <Characters>1128</Characters>
  <Lines>8</Lines>
  <Paragraphs>2</Paragraphs>
  <TotalTime>4</TotalTime>
  <ScaleCrop>false</ScaleCrop>
  <LinksUpToDate>false</LinksUpToDate>
  <CharactersWithSpaces>1164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2022-06-10T08:23:00Z</dcterms:created>
  <dc:creator>a</dc:creator>
  <cp:lastModifiedBy>咲颜啊！</cp:lastModifiedBy>
  <cp:lastPrinted>2021-02-02T12:29:00Z</cp:lastPrinted>
  <dcterms:modified xsi:type="dcterms:W3CDTF">2023-04-24T08:29:58Z</dcterms:modified>
  <dc:title>附件:6：</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1B1CE14352C64EC5AA80814169E7B795_13</vt:lpwstr>
  </property>
</Properties>
</file>