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color w:val="auto"/>
          <w:sz w:val="72"/>
          <w:szCs w:val="72"/>
          <w:highlight w:val="none"/>
        </w:rPr>
      </w:pPr>
    </w:p>
    <w:p>
      <w:pPr>
        <w:jc w:val="center"/>
        <w:rPr>
          <w:rFonts w:hint="eastAsia" w:ascii="黑体" w:eastAsia="黑体"/>
          <w:color w:val="auto"/>
          <w:sz w:val="72"/>
          <w:szCs w:val="72"/>
          <w:highlight w:val="none"/>
        </w:rPr>
      </w:pPr>
    </w:p>
    <w:p>
      <w:pPr>
        <w:jc w:val="center"/>
        <w:rPr>
          <w:rFonts w:hint="eastAsia" w:ascii="黑体" w:eastAsia="黑体"/>
          <w:color w:val="auto"/>
          <w:sz w:val="72"/>
          <w:szCs w:val="72"/>
          <w:highlight w:val="none"/>
        </w:rPr>
      </w:pPr>
    </w:p>
    <w:p>
      <w:pPr>
        <w:spacing w:line="800" w:lineRule="exact"/>
        <w:jc w:val="center"/>
        <w:rPr>
          <w:rFonts w:hint="eastAsia" w:ascii="黑体" w:eastAsia="黑体"/>
          <w:color w:val="auto"/>
          <w:sz w:val="72"/>
          <w:szCs w:val="72"/>
          <w:highlight w:val="none"/>
        </w:rPr>
      </w:pPr>
    </w:p>
    <w:p>
      <w:pPr>
        <w:jc w:val="center"/>
        <w:rPr>
          <w:rFonts w:hint="eastAsia" w:ascii="黑体" w:eastAsia="黑体"/>
          <w:color w:val="auto"/>
          <w:sz w:val="72"/>
          <w:szCs w:val="72"/>
          <w:highlight w:val="none"/>
        </w:rPr>
      </w:pPr>
      <w:r>
        <w:rPr>
          <w:rFonts w:hint="eastAsia" w:ascii="黑体" w:eastAsia="黑体"/>
          <w:color w:val="auto"/>
          <w:sz w:val="72"/>
          <w:szCs w:val="72"/>
          <w:highlight w:val="none"/>
        </w:rPr>
        <w:t>北京市大兴区</w:t>
      </w:r>
      <w:r>
        <w:rPr>
          <w:rFonts w:hint="eastAsia" w:ascii="黑体" w:eastAsia="黑体"/>
          <w:color w:val="auto"/>
          <w:sz w:val="72"/>
          <w:szCs w:val="72"/>
          <w:highlight w:val="none"/>
          <w:lang w:val="en-US" w:eastAsia="zh-CN"/>
        </w:rPr>
        <w:t>采育镇人民政府</w:t>
      </w:r>
    </w:p>
    <w:p>
      <w:pPr>
        <w:jc w:val="center"/>
        <w:rPr>
          <w:rFonts w:hint="eastAsia" w:ascii="黑体" w:eastAsia="黑体"/>
          <w:color w:val="auto"/>
          <w:sz w:val="52"/>
          <w:szCs w:val="52"/>
          <w:highlight w:val="none"/>
        </w:rPr>
      </w:pPr>
      <w:r>
        <w:rPr>
          <w:rFonts w:hint="eastAsia" w:ascii="黑体" w:eastAsia="黑体"/>
          <w:color w:val="auto"/>
          <w:sz w:val="72"/>
          <w:szCs w:val="72"/>
          <w:highlight w:val="none"/>
        </w:rPr>
        <w:t>2022年度部门决算公开报表及说明</w:t>
      </w:r>
    </w:p>
    <w:p>
      <w:pPr>
        <w:jc w:val="center"/>
        <w:rPr>
          <w:rFonts w:hint="eastAsia" w:ascii="黑体" w:eastAsia="黑体"/>
          <w:color w:val="auto"/>
          <w:sz w:val="52"/>
          <w:szCs w:val="52"/>
          <w:highlight w:val="none"/>
        </w:rPr>
      </w:pPr>
      <w:bookmarkStart w:id="68" w:name="_GoBack"/>
      <w:bookmarkEnd w:id="68"/>
    </w:p>
    <w:p>
      <w:pPr>
        <w:jc w:val="center"/>
        <w:rPr>
          <w:rFonts w:ascii="黑体" w:eastAsia="黑体"/>
          <w:color w:val="auto"/>
          <w:sz w:val="52"/>
          <w:szCs w:val="52"/>
          <w:highlight w:val="none"/>
        </w:rPr>
      </w:pPr>
    </w:p>
    <w:p>
      <w:pPr>
        <w:rPr>
          <w:rFonts w:ascii="黑体" w:eastAsia="黑体"/>
          <w:color w:val="auto"/>
          <w:sz w:val="52"/>
          <w:szCs w:val="52"/>
          <w:highlight w:val="none"/>
        </w:rPr>
        <w:sectPr>
          <w:pgSz w:w="16838" w:h="11906" w:orient="landscape"/>
          <w:pgMar w:top="1134" w:right="1134" w:bottom="1134" w:left="1134" w:header="851" w:footer="992" w:gutter="0"/>
          <w:cols w:space="720" w:num="1"/>
          <w:docGrid w:type="linesAndChars" w:linePitch="312" w:charSpace="0"/>
        </w:sectPr>
      </w:pPr>
    </w:p>
    <w:p>
      <w:pPr>
        <w:spacing w:line="500" w:lineRule="exact"/>
        <w:jc w:val="center"/>
        <w:rPr>
          <w:rFonts w:hint="eastAsia" w:ascii="宋体" w:hAnsi="宋体" w:cs="宋体"/>
          <w:b/>
          <w:bCs/>
          <w:color w:val="auto"/>
          <w:kern w:val="0"/>
          <w:sz w:val="44"/>
          <w:szCs w:val="44"/>
          <w:highlight w:val="none"/>
        </w:rPr>
      </w:pPr>
      <w:r>
        <w:rPr>
          <w:rFonts w:hint="eastAsia" w:ascii="宋体" w:hAnsi="宋体" w:cs="宋体"/>
          <w:b/>
          <w:bCs/>
          <w:color w:val="auto"/>
          <w:kern w:val="0"/>
          <w:sz w:val="44"/>
          <w:szCs w:val="44"/>
          <w:highlight w:val="none"/>
        </w:rPr>
        <w:t>目    录</w:t>
      </w:r>
    </w:p>
    <w:p>
      <w:pPr>
        <w:spacing w:line="500" w:lineRule="exact"/>
        <w:ind w:firstLine="1512" w:firstLineChars="378"/>
        <w:rPr>
          <w:rFonts w:hint="eastAsia" w:ascii="宋体" w:hAnsi="宋体" w:cs="宋体"/>
          <w:b/>
          <w:bCs/>
          <w:color w:val="auto"/>
          <w:kern w:val="0"/>
          <w:sz w:val="32"/>
          <w:szCs w:val="32"/>
          <w:highlight w:val="none"/>
        </w:rPr>
      </w:pPr>
      <w:r>
        <w:rPr>
          <w:rFonts w:hint="eastAsia" w:ascii="宋体" w:hAnsi="宋体" w:cs="宋体"/>
          <w:bCs/>
          <w:color w:val="auto"/>
          <w:spacing w:val="40"/>
          <w:kern w:val="0"/>
          <w:sz w:val="32"/>
          <w:szCs w:val="32"/>
          <w:highlight w:val="none"/>
        </w:rPr>
        <w:t>第一部分 2022年度部门决算报表</w:t>
      </w:r>
    </w:p>
    <w:p>
      <w:pPr>
        <w:tabs>
          <w:tab w:val="center" w:pos="6979"/>
        </w:tabs>
        <w:spacing w:line="500" w:lineRule="exact"/>
        <w:ind w:firstLine="2400" w:firstLineChars="600"/>
        <w:jc w:val="left"/>
        <w:rPr>
          <w:rFonts w:hint="eastAsia" w:ascii="仿宋_GB2312" w:hAnsi="仿宋" w:eastAsia="仿宋_GB2312"/>
          <w:color w:val="auto"/>
          <w:spacing w:val="40"/>
          <w:sz w:val="32"/>
          <w:szCs w:val="32"/>
          <w:highlight w:val="none"/>
        </w:rPr>
      </w:pPr>
      <w:r>
        <w:rPr>
          <w:rFonts w:hint="eastAsia" w:ascii="仿宋_GB2312" w:hAnsi="仿宋" w:eastAsia="仿宋_GB2312" w:cs="宋体"/>
          <w:bCs/>
          <w:color w:val="auto"/>
          <w:spacing w:val="40"/>
          <w:kern w:val="0"/>
          <w:sz w:val="32"/>
          <w:szCs w:val="32"/>
          <w:highlight w:val="none"/>
        </w:rPr>
        <w:t>一、收入支出决算总表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二、收入决算表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三、支出决算表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七、一般公共预算财政拨款</w:t>
      </w:r>
      <w:r>
        <w:rPr>
          <w:rFonts w:ascii="仿宋_GB2312" w:hAnsi="仿宋" w:eastAsia="仿宋_GB2312" w:cs="宋体"/>
          <w:bCs/>
          <w:color w:val="auto"/>
          <w:spacing w:val="40"/>
          <w:kern w:val="0"/>
          <w:sz w:val="32"/>
          <w:szCs w:val="32"/>
          <w:highlight w:val="none"/>
        </w:rPr>
        <w:t>基本支出决算表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八</w:t>
      </w:r>
      <w:r>
        <w:rPr>
          <w:rFonts w:ascii="仿宋_GB2312" w:hAnsi="仿宋" w:eastAsia="仿宋_GB2312" w:cs="宋体"/>
          <w:bCs/>
          <w:color w:val="auto"/>
          <w:spacing w:val="40"/>
          <w:kern w:val="0"/>
          <w:sz w:val="32"/>
          <w:szCs w:val="32"/>
          <w:highlight w:val="none"/>
        </w:rPr>
        <w:t>、</w:t>
      </w:r>
      <w:r>
        <w:rPr>
          <w:rFonts w:hint="eastAsia" w:ascii="仿宋_GB2312" w:hAnsi="仿宋" w:eastAsia="仿宋_GB2312" w:cs="宋体"/>
          <w:bCs/>
          <w:color w:val="auto"/>
          <w:spacing w:val="40"/>
          <w:kern w:val="0"/>
          <w:sz w:val="32"/>
          <w:szCs w:val="32"/>
          <w:highlight w:val="none"/>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九、</w:t>
      </w:r>
      <w:r>
        <w:rPr>
          <w:rFonts w:ascii="仿宋_GB2312" w:hAnsi="仿宋" w:eastAsia="仿宋_GB2312" w:cs="宋体"/>
          <w:bCs/>
          <w:color w:val="auto"/>
          <w:spacing w:val="40"/>
          <w:kern w:val="0"/>
          <w:sz w:val="32"/>
          <w:szCs w:val="32"/>
          <w:highlight w:val="none"/>
        </w:rPr>
        <w:t>政府性基金</w:t>
      </w:r>
      <w:r>
        <w:rPr>
          <w:rFonts w:hint="eastAsia" w:ascii="仿宋_GB2312" w:hAnsi="仿宋" w:eastAsia="仿宋_GB2312" w:cs="宋体"/>
          <w:bCs/>
          <w:color w:val="auto"/>
          <w:spacing w:val="40"/>
          <w:kern w:val="0"/>
          <w:sz w:val="32"/>
          <w:szCs w:val="32"/>
          <w:highlight w:val="none"/>
        </w:rPr>
        <w:t>预算</w:t>
      </w:r>
      <w:r>
        <w:rPr>
          <w:rFonts w:ascii="仿宋_GB2312" w:hAnsi="仿宋" w:eastAsia="仿宋_GB2312" w:cs="宋体"/>
          <w:bCs/>
          <w:color w:val="auto"/>
          <w:spacing w:val="40"/>
          <w:kern w:val="0"/>
          <w:sz w:val="32"/>
          <w:szCs w:val="32"/>
          <w:highlight w:val="none"/>
        </w:rPr>
        <w:t>财政拨款基本支出决算表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十一、财政拨款“三公”经费支出决算表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十二、政府采购情况表</w:t>
      </w:r>
    </w:p>
    <w:p>
      <w:pPr>
        <w:tabs>
          <w:tab w:val="center" w:pos="6979"/>
        </w:tabs>
        <w:spacing w:line="500" w:lineRule="exact"/>
        <w:ind w:firstLine="2400" w:firstLineChars="600"/>
        <w:jc w:val="left"/>
        <w:rPr>
          <w:rFonts w:ascii="仿宋_GB2312" w:hAnsi="仿宋" w:eastAsia="仿宋_GB2312" w:cs="宋体"/>
          <w:bCs/>
          <w:color w:val="auto"/>
          <w:spacing w:val="40"/>
          <w:kern w:val="0"/>
          <w:sz w:val="32"/>
          <w:szCs w:val="32"/>
          <w:highlight w:val="none"/>
        </w:rPr>
      </w:pPr>
      <w:r>
        <w:rPr>
          <w:rFonts w:hint="eastAsia" w:ascii="仿宋_GB2312" w:hAnsi="仿宋" w:eastAsia="仿宋_GB2312" w:cs="宋体"/>
          <w:bCs/>
          <w:color w:val="auto"/>
          <w:spacing w:val="40"/>
          <w:kern w:val="0"/>
          <w:sz w:val="32"/>
          <w:szCs w:val="32"/>
          <w:highlight w:val="none"/>
        </w:rPr>
        <w:t>十三、政府</w:t>
      </w:r>
      <w:r>
        <w:rPr>
          <w:rFonts w:ascii="仿宋_GB2312" w:hAnsi="仿宋" w:eastAsia="仿宋_GB2312" w:cs="宋体"/>
          <w:bCs/>
          <w:color w:val="auto"/>
          <w:spacing w:val="40"/>
          <w:kern w:val="0"/>
          <w:sz w:val="32"/>
          <w:szCs w:val="32"/>
          <w:highlight w:val="none"/>
        </w:rPr>
        <w:t>购买服务</w:t>
      </w:r>
      <w:r>
        <w:rPr>
          <w:rFonts w:hint="eastAsia" w:ascii="仿宋_GB2312" w:hAnsi="仿宋" w:eastAsia="仿宋_GB2312" w:cs="宋体"/>
          <w:bCs/>
          <w:color w:val="auto"/>
          <w:spacing w:val="40"/>
          <w:kern w:val="0"/>
          <w:sz w:val="32"/>
          <w:szCs w:val="32"/>
          <w:highlight w:val="none"/>
        </w:rPr>
        <w:t>决算公开情况</w:t>
      </w:r>
      <w:r>
        <w:rPr>
          <w:rFonts w:ascii="仿宋_GB2312" w:hAnsi="仿宋" w:eastAsia="仿宋_GB2312" w:cs="宋体"/>
          <w:bCs/>
          <w:color w:val="auto"/>
          <w:spacing w:val="40"/>
          <w:kern w:val="0"/>
          <w:sz w:val="32"/>
          <w:szCs w:val="32"/>
          <w:highlight w:val="none"/>
        </w:rPr>
        <w:t>表</w:t>
      </w:r>
    </w:p>
    <w:p>
      <w:pPr>
        <w:tabs>
          <w:tab w:val="center" w:pos="6979"/>
        </w:tabs>
        <w:spacing w:before="156" w:beforeLines="50" w:after="156" w:afterLines="50" w:line="500" w:lineRule="exact"/>
        <w:ind w:firstLine="1600" w:firstLineChars="400"/>
        <w:jc w:val="left"/>
        <w:rPr>
          <w:rFonts w:hint="eastAsia" w:ascii="宋体" w:hAnsi="宋体" w:cs="宋体"/>
          <w:bCs/>
          <w:color w:val="auto"/>
          <w:spacing w:val="40"/>
          <w:kern w:val="0"/>
          <w:sz w:val="32"/>
          <w:szCs w:val="32"/>
          <w:highlight w:val="none"/>
        </w:rPr>
      </w:pPr>
      <w:r>
        <w:rPr>
          <w:rFonts w:hint="eastAsia" w:ascii="宋体" w:hAnsi="宋体" w:cs="宋体"/>
          <w:bCs/>
          <w:color w:val="auto"/>
          <w:spacing w:val="40"/>
          <w:kern w:val="0"/>
          <w:sz w:val="32"/>
          <w:szCs w:val="32"/>
          <w:highlight w:val="none"/>
        </w:rPr>
        <w:t xml:space="preserve">第二部分 </w:t>
      </w:r>
      <w:r>
        <w:rPr>
          <w:rFonts w:hint="eastAsia" w:ascii="宋体" w:hAnsi="宋体"/>
          <w:color w:val="auto"/>
          <w:spacing w:val="40"/>
          <w:sz w:val="32"/>
          <w:szCs w:val="32"/>
          <w:highlight w:val="none"/>
        </w:rPr>
        <w:t>2022</w:t>
      </w:r>
      <w:r>
        <w:rPr>
          <w:rFonts w:hint="eastAsia" w:ascii="宋体" w:hAnsi="宋体" w:cs="宋体"/>
          <w:bCs/>
          <w:color w:val="auto"/>
          <w:spacing w:val="40"/>
          <w:kern w:val="0"/>
          <w:sz w:val="32"/>
          <w:szCs w:val="32"/>
          <w:highlight w:val="none"/>
        </w:rPr>
        <w:t>年度</w:t>
      </w:r>
      <w:r>
        <w:rPr>
          <w:rFonts w:hint="eastAsia" w:ascii="宋体" w:hAnsi="宋体"/>
          <w:color w:val="auto"/>
          <w:spacing w:val="40"/>
          <w:sz w:val="32"/>
          <w:szCs w:val="32"/>
          <w:highlight w:val="none"/>
        </w:rPr>
        <w:t>部门决算说明</w:t>
      </w:r>
    </w:p>
    <w:p>
      <w:pPr>
        <w:tabs>
          <w:tab w:val="center" w:pos="6979"/>
        </w:tabs>
        <w:spacing w:before="156" w:beforeLines="50" w:after="156" w:afterLines="50" w:line="500" w:lineRule="exact"/>
        <w:ind w:firstLine="1600" w:firstLineChars="400"/>
        <w:jc w:val="left"/>
        <w:rPr>
          <w:rFonts w:hint="eastAsia" w:ascii="宋体" w:hAnsi="宋体" w:cs="宋体"/>
          <w:color w:val="auto"/>
          <w:spacing w:val="40"/>
          <w:kern w:val="0"/>
          <w:sz w:val="32"/>
          <w:szCs w:val="32"/>
          <w:highlight w:val="none"/>
        </w:rPr>
      </w:pPr>
      <w:r>
        <w:rPr>
          <w:rFonts w:hint="eastAsia" w:ascii="宋体" w:hAnsi="宋体" w:cs="宋体"/>
          <w:bCs/>
          <w:color w:val="auto"/>
          <w:spacing w:val="40"/>
          <w:kern w:val="0"/>
          <w:sz w:val="32"/>
          <w:szCs w:val="32"/>
          <w:highlight w:val="none"/>
        </w:rPr>
        <w:t xml:space="preserve">第三部分 </w:t>
      </w:r>
      <w:r>
        <w:rPr>
          <w:rFonts w:hint="eastAsia" w:ascii="宋体" w:hAnsi="宋体"/>
          <w:color w:val="auto"/>
          <w:spacing w:val="40"/>
          <w:sz w:val="32"/>
          <w:szCs w:val="32"/>
          <w:highlight w:val="none"/>
        </w:rPr>
        <w:t>2022</w:t>
      </w:r>
      <w:r>
        <w:rPr>
          <w:rFonts w:hint="eastAsia" w:ascii="宋体" w:hAnsi="宋体" w:cs="宋体"/>
          <w:bCs/>
          <w:color w:val="auto"/>
          <w:spacing w:val="40"/>
          <w:kern w:val="0"/>
          <w:sz w:val="32"/>
          <w:szCs w:val="32"/>
          <w:highlight w:val="none"/>
        </w:rPr>
        <w:t>年度</w:t>
      </w:r>
      <w:r>
        <w:rPr>
          <w:rFonts w:hint="eastAsia" w:ascii="宋体" w:hAnsi="宋体" w:cs="宋体"/>
          <w:color w:val="auto"/>
          <w:spacing w:val="40"/>
          <w:kern w:val="0"/>
          <w:sz w:val="32"/>
          <w:szCs w:val="32"/>
          <w:highlight w:val="none"/>
        </w:rPr>
        <w:t>其他重要事项的情况说明</w:t>
      </w:r>
    </w:p>
    <w:p>
      <w:pPr>
        <w:tabs>
          <w:tab w:val="center" w:pos="6979"/>
        </w:tabs>
        <w:spacing w:before="156" w:beforeLines="50" w:after="156" w:afterLines="50" w:line="500" w:lineRule="exact"/>
        <w:ind w:firstLine="1600" w:firstLineChars="400"/>
        <w:jc w:val="left"/>
        <w:rPr>
          <w:rFonts w:hint="eastAsia" w:ascii="宋体" w:hAnsi="宋体" w:cs="宋体"/>
          <w:color w:val="auto"/>
          <w:spacing w:val="40"/>
          <w:kern w:val="0"/>
          <w:sz w:val="32"/>
          <w:szCs w:val="32"/>
          <w:highlight w:val="none"/>
        </w:rPr>
      </w:pPr>
      <w:r>
        <w:rPr>
          <w:rFonts w:hint="eastAsia" w:ascii="宋体" w:hAnsi="宋体" w:cs="宋体"/>
          <w:color w:val="auto"/>
          <w:spacing w:val="40"/>
          <w:kern w:val="0"/>
          <w:sz w:val="32"/>
          <w:szCs w:val="32"/>
          <w:highlight w:val="none"/>
        </w:rPr>
        <w:t>第四部分 2022</w:t>
      </w:r>
      <w:r>
        <w:rPr>
          <w:rFonts w:hint="eastAsia" w:ascii="宋体" w:hAnsi="宋体" w:cs="宋体"/>
          <w:bCs/>
          <w:color w:val="auto"/>
          <w:spacing w:val="40"/>
          <w:kern w:val="0"/>
          <w:sz w:val="32"/>
          <w:szCs w:val="32"/>
          <w:highlight w:val="none"/>
        </w:rPr>
        <w:t>年度</w:t>
      </w:r>
      <w:r>
        <w:rPr>
          <w:rFonts w:hint="eastAsia" w:ascii="宋体" w:hAnsi="宋体" w:cs="宋体"/>
          <w:color w:val="auto"/>
          <w:spacing w:val="40"/>
          <w:kern w:val="0"/>
          <w:sz w:val="32"/>
          <w:szCs w:val="32"/>
          <w:highlight w:val="none"/>
        </w:rPr>
        <w:t>部门绩效评价情况</w:t>
      </w:r>
    </w:p>
    <w:p>
      <w:pPr>
        <w:tabs>
          <w:tab w:val="center" w:pos="6979"/>
        </w:tabs>
        <w:spacing w:before="156" w:beforeLines="50" w:after="156" w:afterLines="50"/>
        <w:rPr>
          <w:rFonts w:ascii="宋体" w:hAnsi="宋体" w:cs="宋体"/>
          <w:b/>
          <w:bCs/>
          <w:color w:val="auto"/>
          <w:spacing w:val="40"/>
          <w:kern w:val="0"/>
          <w:sz w:val="32"/>
          <w:szCs w:val="32"/>
          <w:highlight w:val="none"/>
        </w:rPr>
      </w:pPr>
    </w:p>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p>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p>
    <w:p>
      <w:pPr>
        <w:tabs>
          <w:tab w:val="center" w:pos="6979"/>
        </w:tabs>
        <w:spacing w:before="156" w:beforeLines="50" w:after="156" w:afterLines="50"/>
        <w:rPr>
          <w:rFonts w:hint="eastAsia" w:ascii="宋体" w:hAnsi="宋体" w:cs="宋体"/>
          <w:b/>
          <w:bCs/>
          <w:color w:val="auto"/>
          <w:spacing w:val="40"/>
          <w:kern w:val="0"/>
          <w:sz w:val="32"/>
          <w:szCs w:val="32"/>
          <w:highlight w:val="none"/>
        </w:rPr>
      </w:pPr>
    </w:p>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r>
        <w:rPr>
          <w:rFonts w:hint="eastAsia" w:ascii="宋体" w:hAnsi="宋体" w:cs="宋体"/>
          <w:b/>
          <w:bCs/>
          <w:color w:val="auto"/>
          <w:spacing w:val="40"/>
          <w:kern w:val="0"/>
          <w:sz w:val="32"/>
          <w:szCs w:val="32"/>
          <w:highlight w:val="none"/>
        </w:rPr>
        <w:t>第一部分 2022年度部门决算报表</w:t>
      </w:r>
    </w:p>
    <w:p>
      <w:pPr>
        <w:tabs>
          <w:tab w:val="center" w:pos="6979"/>
        </w:tabs>
        <w:spacing w:before="156" w:beforeLines="50" w:after="156" w:afterLines="50"/>
        <w:jc w:val="center"/>
        <w:rPr>
          <w:rFonts w:ascii="宋体" w:hAnsi="宋体" w:cs="宋体"/>
          <w:b/>
          <w:bCs/>
          <w:color w:val="auto"/>
          <w:spacing w:val="40"/>
          <w:kern w:val="0"/>
          <w:sz w:val="44"/>
          <w:szCs w:val="44"/>
          <w:highlight w:val="none"/>
        </w:rPr>
      </w:pPr>
    </w:p>
    <w:p>
      <w:pPr>
        <w:tabs>
          <w:tab w:val="center" w:pos="6979"/>
        </w:tabs>
        <w:spacing w:before="156" w:beforeLines="50" w:after="156" w:afterLines="50"/>
        <w:ind w:firstLine="2400" w:firstLineChars="600"/>
        <w:rPr>
          <w:rFonts w:hint="eastAsia" w:ascii="仿宋_GB2312" w:hAnsi="宋体" w:eastAsia="仿宋_GB2312" w:cs="宋体"/>
          <w:bCs/>
          <w:color w:val="auto"/>
          <w:spacing w:val="40"/>
          <w:kern w:val="0"/>
          <w:sz w:val="32"/>
          <w:szCs w:val="32"/>
          <w:highlight w:val="none"/>
        </w:rPr>
      </w:pPr>
      <w:r>
        <w:rPr>
          <w:rFonts w:hint="eastAsia" w:ascii="仿宋_GB2312" w:hAnsi="宋体" w:eastAsia="仿宋_GB2312" w:cs="宋体"/>
          <w:bCs/>
          <w:color w:val="auto"/>
          <w:spacing w:val="40"/>
          <w:kern w:val="0"/>
          <w:sz w:val="32"/>
          <w:szCs w:val="32"/>
          <w:highlight w:val="none"/>
        </w:rPr>
        <w:t>报表详见附件。</w:t>
      </w:r>
    </w:p>
    <w:p>
      <w:pPr>
        <w:tabs>
          <w:tab w:val="center" w:pos="6979"/>
        </w:tabs>
        <w:spacing w:before="156" w:beforeLines="50" w:after="156" w:afterLines="50"/>
        <w:rPr>
          <w:rFonts w:hint="eastAsia" w:ascii="仿宋_GB2312" w:hAnsi="宋体" w:eastAsia="仿宋_GB2312" w:cs="宋体"/>
          <w:bCs/>
          <w:color w:val="auto"/>
          <w:spacing w:val="40"/>
          <w:kern w:val="0"/>
          <w:sz w:val="32"/>
          <w:szCs w:val="32"/>
          <w:highlight w:val="none"/>
        </w:rPr>
      </w:pPr>
    </w:p>
    <w:p>
      <w:pPr>
        <w:tabs>
          <w:tab w:val="center" w:pos="6979"/>
        </w:tabs>
        <w:spacing w:before="156" w:beforeLines="50" w:after="156" w:afterLines="50"/>
        <w:rPr>
          <w:rFonts w:hint="eastAsia" w:ascii="仿宋_GB2312" w:hAnsi="宋体" w:eastAsia="仿宋_GB2312" w:cs="宋体"/>
          <w:bCs/>
          <w:color w:val="auto"/>
          <w:spacing w:val="40"/>
          <w:kern w:val="0"/>
          <w:sz w:val="32"/>
          <w:szCs w:val="32"/>
          <w:highlight w:val="none"/>
        </w:rPr>
      </w:pPr>
    </w:p>
    <w:p>
      <w:pPr>
        <w:tabs>
          <w:tab w:val="center" w:pos="6979"/>
        </w:tabs>
        <w:spacing w:before="156" w:beforeLines="50" w:after="156" w:afterLines="50"/>
        <w:rPr>
          <w:rFonts w:hint="eastAsia" w:ascii="仿宋_GB2312" w:hAnsi="宋体" w:eastAsia="仿宋_GB2312" w:cs="宋体"/>
          <w:bCs/>
          <w:color w:val="auto"/>
          <w:spacing w:val="40"/>
          <w:kern w:val="0"/>
          <w:sz w:val="32"/>
          <w:szCs w:val="32"/>
          <w:highlight w:val="none"/>
        </w:rPr>
      </w:pPr>
    </w:p>
    <w:p>
      <w:pPr>
        <w:tabs>
          <w:tab w:val="center" w:pos="6979"/>
        </w:tabs>
        <w:spacing w:before="156" w:beforeLines="50" w:after="156" w:afterLines="50"/>
        <w:rPr>
          <w:rFonts w:hint="eastAsia" w:ascii="仿宋_GB2312" w:hAnsi="宋体" w:eastAsia="仿宋_GB2312" w:cs="宋体"/>
          <w:bCs/>
          <w:color w:val="auto"/>
          <w:spacing w:val="40"/>
          <w:kern w:val="0"/>
          <w:sz w:val="32"/>
          <w:szCs w:val="32"/>
          <w:highlight w:val="none"/>
        </w:rPr>
      </w:pPr>
    </w:p>
    <w:p>
      <w:pPr>
        <w:tabs>
          <w:tab w:val="center" w:pos="6979"/>
        </w:tabs>
        <w:spacing w:before="156" w:beforeLines="50" w:after="156" w:afterLines="50"/>
        <w:rPr>
          <w:rFonts w:hint="eastAsia" w:ascii="仿宋_GB2312" w:hAnsi="宋体" w:eastAsia="仿宋_GB2312" w:cs="宋体"/>
          <w:bCs/>
          <w:color w:val="auto"/>
          <w:spacing w:val="40"/>
          <w:kern w:val="0"/>
          <w:sz w:val="32"/>
          <w:szCs w:val="32"/>
          <w:highlight w:val="none"/>
        </w:rPr>
      </w:pPr>
    </w:p>
    <w:p>
      <w:pPr>
        <w:tabs>
          <w:tab w:val="center" w:pos="6979"/>
        </w:tabs>
        <w:spacing w:before="156" w:beforeLines="50" w:after="156" w:afterLines="50"/>
        <w:jc w:val="center"/>
        <w:rPr>
          <w:rFonts w:ascii="宋体" w:hAnsi="宋体"/>
          <w:b/>
          <w:color w:val="auto"/>
          <w:spacing w:val="40"/>
          <w:sz w:val="32"/>
          <w:szCs w:val="32"/>
          <w:highlight w:val="none"/>
        </w:rPr>
      </w:pPr>
      <w:r>
        <w:rPr>
          <w:rFonts w:hint="eastAsia" w:ascii="宋体" w:hAnsi="宋体" w:cs="宋体"/>
          <w:b/>
          <w:bCs/>
          <w:color w:val="auto"/>
          <w:spacing w:val="40"/>
          <w:kern w:val="0"/>
          <w:sz w:val="32"/>
          <w:szCs w:val="32"/>
          <w:highlight w:val="none"/>
        </w:rPr>
        <w:t xml:space="preserve">第二部分 </w:t>
      </w:r>
      <w:r>
        <w:rPr>
          <w:rFonts w:hint="eastAsia" w:ascii="宋体" w:hAnsi="宋体"/>
          <w:b/>
          <w:color w:val="auto"/>
          <w:spacing w:val="40"/>
          <w:sz w:val="32"/>
          <w:szCs w:val="32"/>
          <w:highlight w:val="none"/>
        </w:rPr>
        <w:t>2022年度部门决算说明</w:t>
      </w:r>
    </w:p>
    <w:p>
      <w:pPr>
        <w:tabs>
          <w:tab w:val="center" w:pos="6979"/>
        </w:tabs>
        <w:spacing w:line="580" w:lineRule="exact"/>
        <w:ind w:firstLine="548" w:firstLineChars="196"/>
        <w:rPr>
          <w:rFonts w:hint="eastAsia" w:ascii="黑体" w:eastAsia="黑体"/>
          <w:b/>
          <w:color w:val="auto"/>
          <w:sz w:val="28"/>
          <w:szCs w:val="28"/>
          <w:highlight w:val="none"/>
        </w:rPr>
      </w:pPr>
      <w:r>
        <w:rPr>
          <w:rFonts w:hint="eastAsia" w:ascii="黑体" w:eastAsia="黑体"/>
          <w:color w:val="auto"/>
          <w:sz w:val="28"/>
          <w:szCs w:val="28"/>
          <w:highlight w:val="none"/>
        </w:rPr>
        <w:t>一、部门基本情况</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kern w:val="0"/>
          <w:sz w:val="28"/>
          <w:szCs w:val="28"/>
          <w:highlight w:val="none"/>
        </w:rPr>
        <w:t>本部门职责</w:t>
      </w:r>
      <w:r>
        <w:rPr>
          <w:rFonts w:hint="eastAsia" w:ascii="仿宋_GB2312" w:hAnsi="仿宋_GB2312" w:eastAsia="仿宋_GB2312" w:cs="仿宋_GB2312"/>
          <w:color w:val="auto"/>
          <w:kern w:val="0"/>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一)贯彻执行上级的各项方针政策，保障公民享有宪法规定的经济、政治和文化权利；制定和组织实施经济、科技和社会发展计划，组织指导好各业生产，抓好招商引资，不断培育市场体系，组织经济运行，促进经济发展。</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二)负责本行政区域内的民政、计划生育、文化教育、卫生、体育等社会公益事业的综合性工作，维护一切经济单位和个人的正当经济权益，取缔非法经济活动，调解和处理民事纠纷，打击刑事犯罪维护社会稳定。</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(三)按计划组织本级财政收入和地方税的征收，完成国家财政计划，不断培植税源，管好财政资金，增强财政实力。</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(四)抓好精神文明建设，丰富群众文化生活，提倡移风易俗，反对封建迷信，破除陈规陋习，树立社会主义新风尚。</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kern w:val="0"/>
          <w:sz w:val="28"/>
          <w:szCs w:val="28"/>
          <w:highlight w:val="none"/>
          <w:lang w:eastAsia="zh-CN"/>
        </w:rPr>
      </w:pPr>
      <w:r>
        <w:rPr>
          <w:rFonts w:hint="eastAsia" w:ascii="仿宋_GB2312" w:hAnsi="仿宋_GB2312" w:eastAsia="仿宋_GB2312" w:cs="仿宋_GB2312"/>
          <w:color w:val="auto"/>
          <w:sz w:val="28"/>
          <w:szCs w:val="28"/>
          <w:highlight w:val="none"/>
        </w:rPr>
        <w:t>(五)加强综合治理，维护社会稳定，妥善处理突发性、群体性事件，调节和处理好各种利益矛盾和纠纷。</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机构设置情况</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sz w:val="28"/>
          <w:szCs w:val="28"/>
          <w:highlight w:val="none"/>
          <w:lang w:eastAsia="zh-CN"/>
        </w:rPr>
        <w:t>综合保障办公室，党群工作办公室，平安建设办公室，城乡建设办公室，市民活动中心，城镇建设服务中心，民生保障办公室，经济发展办公室，农业农村办公室，产业发展服务中心、市民诉求处置中心、便民服务中心</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rPr>
        <w:t>单位性质</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lang w:val="en-US" w:eastAsia="zh-CN"/>
        </w:rPr>
        <w:t>行政单位，</w:t>
      </w:r>
      <w:r>
        <w:rPr>
          <w:rFonts w:hint="eastAsia" w:ascii="仿宋_GB2312" w:hAnsi="仿宋_GB2312" w:eastAsia="仿宋_GB2312" w:cs="仿宋_GB2312"/>
          <w:color w:val="auto"/>
          <w:kern w:val="0"/>
          <w:sz w:val="28"/>
          <w:szCs w:val="28"/>
          <w:highlight w:val="none"/>
        </w:rPr>
        <w:t>人员情况</w:t>
      </w:r>
      <w:r>
        <w:rPr>
          <w:rFonts w:hint="eastAsia" w:ascii="仿宋_GB2312" w:hAnsi="仿宋_GB2312" w:eastAsia="仿宋_GB2312" w:cs="仿宋_GB2312"/>
          <w:color w:val="auto"/>
          <w:kern w:val="0"/>
          <w:sz w:val="28"/>
          <w:szCs w:val="28"/>
          <w:highlight w:val="none"/>
          <w:lang w:eastAsia="zh-CN"/>
        </w:rPr>
        <w:t>：</w:t>
      </w:r>
      <w:r>
        <w:rPr>
          <w:rFonts w:hint="eastAsia" w:ascii="仿宋_GB2312" w:hAnsi="仿宋_GB2312" w:eastAsia="仿宋_GB2312" w:cs="仿宋_GB2312"/>
          <w:color w:val="auto"/>
          <w:kern w:val="0"/>
          <w:sz w:val="28"/>
          <w:szCs w:val="28"/>
          <w:highlight w:val="none"/>
          <w:lang w:val="en-US" w:eastAsia="zh-CN"/>
        </w:rPr>
        <w:t>实有人数317人，编制人数342人。</w:t>
      </w:r>
    </w:p>
    <w:p>
      <w:pPr>
        <w:tabs>
          <w:tab w:val="center" w:pos="6979"/>
        </w:tabs>
        <w:spacing w:line="580" w:lineRule="exact"/>
        <w:ind w:firstLine="565" w:firstLineChars="202"/>
        <w:rPr>
          <w:rFonts w:hint="eastAsia" w:ascii="黑体" w:eastAsia="黑体"/>
          <w:color w:val="auto"/>
          <w:sz w:val="28"/>
          <w:szCs w:val="28"/>
          <w:highlight w:val="none"/>
        </w:rPr>
      </w:pPr>
      <w:r>
        <w:rPr>
          <w:rFonts w:hint="eastAsia" w:ascii="黑体" w:eastAsia="黑体"/>
          <w:color w:val="auto"/>
          <w:sz w:val="28"/>
          <w:szCs w:val="28"/>
          <w:highlight w:val="none"/>
        </w:rPr>
        <w:t>二、部门决算单位构成</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right="0" w:rightChars="0" w:firstLine="560" w:firstLineChars="200"/>
        <w:jc w:val="both"/>
        <w:textAlignment w:val="auto"/>
        <w:outlineLvl w:val="9"/>
        <w:rPr>
          <w:rFonts w:ascii="仿宋_GB2312" w:eastAsia="仿宋_GB2312"/>
          <w:color w:val="auto"/>
          <w:sz w:val="28"/>
          <w:szCs w:val="28"/>
          <w:highlight w:val="none"/>
        </w:rPr>
      </w:pPr>
      <w:r>
        <w:rPr>
          <w:rFonts w:hint="eastAsia" w:ascii="仿宋_GB2312" w:eastAsia="仿宋_GB2312"/>
          <w:color w:val="auto"/>
          <w:sz w:val="28"/>
          <w:szCs w:val="28"/>
          <w:highlight w:val="none"/>
        </w:rPr>
        <w:t>从预算单位构成看，</w:t>
      </w:r>
      <w:r>
        <w:rPr>
          <w:rFonts w:hint="eastAsia" w:ascii="仿宋_GB2312" w:eastAsia="仿宋_GB2312"/>
          <w:color w:val="auto"/>
          <w:kern w:val="0"/>
          <w:sz w:val="28"/>
          <w:szCs w:val="28"/>
          <w:highlight w:val="none"/>
        </w:rPr>
        <w:t>本部门</w:t>
      </w:r>
      <w:r>
        <w:rPr>
          <w:rFonts w:hint="eastAsia" w:ascii="仿宋_GB2312" w:eastAsia="仿宋_GB2312"/>
          <w:color w:val="auto"/>
          <w:sz w:val="28"/>
          <w:szCs w:val="28"/>
          <w:highlight w:val="none"/>
        </w:rPr>
        <w:t>决算包括</w:t>
      </w:r>
      <w:r>
        <w:rPr>
          <w:rFonts w:hint="eastAsia" w:ascii="仿宋_GB2312" w:eastAsia="仿宋_GB2312"/>
          <w:color w:val="auto"/>
          <w:sz w:val="28"/>
          <w:szCs w:val="28"/>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right="0" w:rightChars="0" w:firstLine="840" w:firstLineChars="300"/>
        <w:jc w:val="both"/>
        <w:textAlignment w:val="auto"/>
        <w:outlineLvl w:val="9"/>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1.</w:t>
      </w:r>
      <w:r>
        <w:rPr>
          <w:rFonts w:hint="eastAsia" w:ascii="仿宋_GB2312" w:hAnsi="仿宋_GB2312" w:eastAsia="仿宋_GB2312" w:cs="仿宋_GB2312"/>
          <w:color w:val="auto"/>
          <w:sz w:val="28"/>
          <w:szCs w:val="28"/>
          <w:highlight w:val="none"/>
          <w:lang w:eastAsia="zh-CN"/>
        </w:rPr>
        <w:t>采育镇人民政府（本级）</w:t>
      </w:r>
    </w:p>
    <w:p>
      <w:pPr>
        <w:keepNext w:val="0"/>
        <w:keepLines w:val="0"/>
        <w:pageBreakBefore w:val="0"/>
        <w:widowControl w:val="0"/>
        <w:kinsoku/>
        <w:wordWrap/>
        <w:overflowPunct/>
        <w:topLinePunct w:val="0"/>
        <w:autoSpaceDE/>
        <w:autoSpaceDN/>
        <w:bidi w:val="0"/>
        <w:adjustRightInd/>
        <w:snapToGrid/>
        <w:spacing w:line="580" w:lineRule="exact"/>
        <w:ind w:left="359" w:leftChars="171"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采育镇中心卫生院</w:t>
      </w:r>
    </w:p>
    <w:p>
      <w:pPr>
        <w:tabs>
          <w:tab w:val="center" w:pos="6979"/>
        </w:tabs>
        <w:spacing w:line="580" w:lineRule="exact"/>
        <w:ind w:firstLine="565" w:firstLineChars="202"/>
        <w:rPr>
          <w:rFonts w:hint="eastAsia" w:ascii="仿宋_GB2312" w:eastAsia="仿宋_GB2312"/>
          <w:color w:val="auto"/>
          <w:kern w:val="0"/>
          <w:sz w:val="28"/>
          <w:szCs w:val="28"/>
          <w:highlight w:val="none"/>
        </w:rPr>
      </w:pPr>
      <w:r>
        <w:rPr>
          <w:rFonts w:hint="eastAsia" w:ascii="黑体" w:eastAsia="黑体"/>
          <w:color w:val="auto"/>
          <w:sz w:val="28"/>
          <w:szCs w:val="28"/>
          <w:highlight w:val="none"/>
        </w:rPr>
        <w:t>三、收入支出决算总体情况说明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2022年度收入总计</w:t>
      </w:r>
      <w:r>
        <w:rPr>
          <w:rFonts w:hint="eastAsia" w:ascii="仿宋_GB2312" w:eastAsia="仿宋_GB2312"/>
          <w:color w:val="auto"/>
          <w:sz w:val="28"/>
          <w:szCs w:val="28"/>
          <w:highlight w:val="none"/>
          <w:lang w:val="en-US" w:eastAsia="zh-CN"/>
        </w:rPr>
        <w:t>88652.12</w:t>
      </w:r>
      <w:r>
        <w:rPr>
          <w:rFonts w:hint="eastAsia" w:ascii="仿宋_GB2312" w:eastAsia="仿宋_GB2312"/>
          <w:color w:val="auto"/>
          <w:sz w:val="28"/>
          <w:szCs w:val="28"/>
          <w:highlight w:val="none"/>
        </w:rPr>
        <w:t>万元，</w:t>
      </w:r>
      <w:r>
        <w:rPr>
          <w:rFonts w:ascii="仿宋_GB2312" w:eastAsia="仿宋_GB2312"/>
          <w:color w:val="auto"/>
          <w:sz w:val="28"/>
          <w:szCs w:val="28"/>
          <w:highlight w:val="none"/>
        </w:rPr>
        <w:t>比上年</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5770.88</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6.11</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教育体制上划，收入相应减少</w:t>
      </w:r>
      <w:r>
        <w:rPr>
          <w:rFonts w:hint="eastAsia" w:ascii="仿宋_GB2312" w:eastAsia="仿宋_GB2312"/>
          <w:color w:val="auto"/>
          <w:sz w:val="28"/>
          <w:szCs w:val="28"/>
          <w:highlight w:val="none"/>
        </w:rPr>
        <w:t>。2022年度支出总计</w:t>
      </w:r>
      <w:r>
        <w:rPr>
          <w:rFonts w:hint="eastAsia" w:ascii="仿宋_GB2312" w:eastAsia="仿宋_GB2312"/>
          <w:color w:val="auto"/>
          <w:sz w:val="28"/>
          <w:szCs w:val="28"/>
          <w:highlight w:val="none"/>
          <w:lang w:val="en-US" w:eastAsia="zh-CN"/>
        </w:rPr>
        <w:t>88652.12</w:t>
      </w:r>
      <w:r>
        <w:rPr>
          <w:rFonts w:hint="eastAsia" w:ascii="仿宋_GB2312" w:eastAsia="仿宋_GB2312"/>
          <w:color w:val="auto"/>
          <w:sz w:val="28"/>
          <w:szCs w:val="28"/>
          <w:highlight w:val="none"/>
        </w:rPr>
        <w:t>万元，</w:t>
      </w:r>
      <w:r>
        <w:rPr>
          <w:rFonts w:ascii="仿宋_GB2312" w:eastAsia="仿宋_GB2312"/>
          <w:color w:val="auto"/>
          <w:sz w:val="28"/>
          <w:szCs w:val="28"/>
          <w:highlight w:val="none"/>
        </w:rPr>
        <w:t>比上年</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5770.88</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6.11</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教育体制上划，支出相应减少</w:t>
      </w:r>
      <w:r>
        <w:rPr>
          <w:rFonts w:hint="eastAsia" w:ascii="仿宋_GB2312" w:eastAsia="仿宋_GB2312"/>
          <w:color w:val="auto"/>
          <w:sz w:val="28"/>
          <w:szCs w:val="28"/>
          <w:highlight w:val="none"/>
        </w:rPr>
        <w:t>。</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收入决算</w:t>
      </w:r>
      <w:r>
        <w:rPr>
          <w:rFonts w:ascii="仿宋_GB2312" w:eastAsia="仿宋_GB2312"/>
          <w:color w:val="auto"/>
          <w:sz w:val="28"/>
          <w:szCs w:val="28"/>
          <w:highlight w:val="none"/>
        </w:rPr>
        <w:t>说明</w:t>
      </w:r>
    </w:p>
    <w:p>
      <w:pPr>
        <w:tabs>
          <w:tab w:val="center" w:pos="6979"/>
        </w:tabs>
        <w:spacing w:line="580" w:lineRule="exact"/>
        <w:ind w:firstLine="570"/>
        <w:rPr>
          <w:rFonts w:ascii="仿宋_GB2312" w:eastAsia="仿宋_GB2312"/>
          <w:color w:val="auto"/>
          <w:sz w:val="28"/>
          <w:szCs w:val="28"/>
          <w:highlight w:val="none"/>
        </w:rPr>
      </w:pPr>
      <w:r>
        <w:rPr>
          <w:rFonts w:hint="eastAsia" w:ascii="仿宋_GB2312" w:eastAsia="仿宋_GB2312"/>
          <w:color w:val="auto"/>
          <w:sz w:val="28"/>
          <w:szCs w:val="28"/>
          <w:highlight w:val="none"/>
        </w:rPr>
        <w:t>2022年度本年收入合计</w:t>
      </w:r>
      <w:r>
        <w:rPr>
          <w:rFonts w:hint="eastAsia" w:ascii="仿宋_GB2312" w:eastAsia="仿宋_GB2312"/>
          <w:color w:val="auto"/>
          <w:sz w:val="28"/>
          <w:szCs w:val="28"/>
          <w:highlight w:val="none"/>
          <w:lang w:val="en-US" w:eastAsia="zh-CN"/>
        </w:rPr>
        <w:t>84076.34</w:t>
      </w:r>
      <w:r>
        <w:rPr>
          <w:rFonts w:hint="eastAsia" w:ascii="仿宋_GB2312" w:eastAsia="仿宋_GB2312"/>
          <w:color w:val="auto"/>
          <w:sz w:val="28"/>
          <w:szCs w:val="28"/>
          <w:highlight w:val="none"/>
        </w:rPr>
        <w:t>万元，减少</w:t>
      </w:r>
      <w:r>
        <w:rPr>
          <w:rFonts w:hint="eastAsia" w:ascii="仿宋_GB2312" w:eastAsia="仿宋_GB2312"/>
          <w:color w:val="auto"/>
          <w:sz w:val="28"/>
          <w:szCs w:val="28"/>
          <w:highlight w:val="none"/>
          <w:lang w:val="en-US" w:eastAsia="zh-CN"/>
        </w:rPr>
        <w:t>7986.93</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8.68</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教育体制上划，收入相应减少</w:t>
      </w:r>
      <w:r>
        <w:rPr>
          <w:rFonts w:hint="eastAsia" w:ascii="仿宋_GB2312" w:eastAsia="仿宋_GB2312"/>
          <w:color w:val="auto"/>
          <w:sz w:val="28"/>
          <w:szCs w:val="28"/>
          <w:highlight w:val="none"/>
        </w:rPr>
        <w:t>。其中：财政拨款收入</w:t>
      </w:r>
      <w:r>
        <w:rPr>
          <w:rFonts w:hint="eastAsia" w:ascii="仿宋_GB2312" w:eastAsia="仿宋_GB2312"/>
          <w:color w:val="auto"/>
          <w:sz w:val="28"/>
          <w:szCs w:val="28"/>
          <w:highlight w:val="none"/>
          <w:lang w:val="en-US" w:eastAsia="zh-CN"/>
        </w:rPr>
        <w:t>75613.13</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val="en-US" w:eastAsia="zh-CN"/>
        </w:rPr>
        <w:t>85.29</w:t>
      </w:r>
      <w:r>
        <w:rPr>
          <w:rFonts w:hint="eastAsia" w:ascii="仿宋_GB2312" w:eastAsia="仿宋_GB2312"/>
          <w:color w:val="auto"/>
          <w:sz w:val="28"/>
          <w:szCs w:val="28"/>
          <w:highlight w:val="none"/>
        </w:rPr>
        <w:t>%；事业收入</w:t>
      </w:r>
      <w:r>
        <w:rPr>
          <w:rFonts w:hint="eastAsia" w:ascii="仿宋_GB2312" w:eastAsia="仿宋_GB2312"/>
          <w:color w:val="auto"/>
          <w:sz w:val="28"/>
          <w:szCs w:val="28"/>
          <w:highlight w:val="none"/>
          <w:lang w:val="en-US" w:eastAsia="zh-CN"/>
        </w:rPr>
        <w:t>8326.90</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val="en-US" w:eastAsia="zh-CN"/>
        </w:rPr>
        <w:t>9.39</w:t>
      </w:r>
      <w:r>
        <w:rPr>
          <w:rFonts w:hint="eastAsia" w:ascii="仿宋_GB2312" w:eastAsia="仿宋_GB2312"/>
          <w:color w:val="auto"/>
          <w:sz w:val="28"/>
          <w:szCs w:val="28"/>
          <w:highlight w:val="none"/>
        </w:rPr>
        <w:t>%；其他收入</w:t>
      </w:r>
      <w:r>
        <w:rPr>
          <w:rFonts w:hint="eastAsia" w:ascii="仿宋_GB2312" w:eastAsia="仿宋_GB2312"/>
          <w:color w:val="auto"/>
          <w:sz w:val="28"/>
          <w:szCs w:val="28"/>
          <w:highlight w:val="none"/>
          <w:lang w:val="en-US" w:eastAsia="zh-CN"/>
        </w:rPr>
        <w:t>136.31</w:t>
      </w:r>
      <w:r>
        <w:rPr>
          <w:rFonts w:hint="eastAsia" w:ascii="仿宋_GB2312" w:eastAsia="仿宋_GB2312"/>
          <w:color w:val="auto"/>
          <w:sz w:val="28"/>
          <w:szCs w:val="28"/>
          <w:highlight w:val="none"/>
        </w:rPr>
        <w:t>万元，占收入合计的</w:t>
      </w:r>
      <w:r>
        <w:rPr>
          <w:rFonts w:hint="eastAsia" w:ascii="仿宋_GB2312" w:eastAsia="仿宋_GB2312"/>
          <w:color w:val="auto"/>
          <w:sz w:val="28"/>
          <w:szCs w:val="28"/>
          <w:highlight w:val="none"/>
          <w:lang w:val="en-US" w:eastAsia="zh-CN"/>
        </w:rPr>
        <w:t>0.15</w:t>
      </w:r>
      <w:r>
        <w:rPr>
          <w:rFonts w:hint="eastAsia" w:ascii="仿宋_GB2312" w:eastAsia="仿宋_GB2312"/>
          <w:color w:val="auto"/>
          <w:sz w:val="28"/>
          <w:szCs w:val="28"/>
          <w:highlight w:val="none"/>
        </w:rPr>
        <w:t>%。</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支出决算</w:t>
      </w:r>
      <w:r>
        <w:rPr>
          <w:rFonts w:ascii="仿宋_GB2312" w:eastAsia="仿宋_GB2312"/>
          <w:color w:val="auto"/>
          <w:sz w:val="28"/>
          <w:szCs w:val="28"/>
          <w:highlight w:val="none"/>
        </w:rPr>
        <w:t>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2022年度本年支出合计</w:t>
      </w:r>
      <w:r>
        <w:rPr>
          <w:rFonts w:hint="eastAsia" w:ascii="仿宋_GB2312" w:eastAsia="仿宋_GB2312"/>
          <w:color w:val="auto"/>
          <w:sz w:val="28"/>
          <w:szCs w:val="28"/>
          <w:highlight w:val="none"/>
          <w:lang w:val="en-US" w:eastAsia="zh-CN"/>
        </w:rPr>
        <w:t>86756.77</w:t>
      </w:r>
      <w:r>
        <w:rPr>
          <w:rFonts w:hint="eastAsia" w:ascii="仿宋_GB2312" w:eastAsia="仿宋_GB2312"/>
          <w:color w:val="auto"/>
          <w:sz w:val="28"/>
          <w:szCs w:val="28"/>
          <w:highlight w:val="none"/>
        </w:rPr>
        <w:t>万元，减少</w:t>
      </w:r>
      <w:r>
        <w:rPr>
          <w:rFonts w:hint="eastAsia" w:ascii="仿宋_GB2312" w:eastAsia="仿宋_GB2312"/>
          <w:color w:val="auto"/>
          <w:sz w:val="28"/>
          <w:szCs w:val="28"/>
          <w:highlight w:val="none"/>
          <w:lang w:val="en-US" w:eastAsia="zh-CN"/>
        </w:rPr>
        <w:t>2315.68</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2.60</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教育体制上划，支出相应减少</w:t>
      </w:r>
      <w:r>
        <w:rPr>
          <w:rFonts w:hint="eastAsia" w:ascii="仿宋_GB2312" w:eastAsia="仿宋_GB2312"/>
          <w:color w:val="auto"/>
          <w:sz w:val="28"/>
          <w:szCs w:val="28"/>
          <w:highlight w:val="none"/>
        </w:rPr>
        <w:t>。其中：基本支出</w:t>
      </w:r>
      <w:r>
        <w:rPr>
          <w:rFonts w:hint="eastAsia" w:ascii="仿宋_GB2312" w:eastAsia="仿宋_GB2312"/>
          <w:color w:val="auto"/>
          <w:sz w:val="28"/>
          <w:szCs w:val="28"/>
          <w:highlight w:val="none"/>
          <w:lang w:val="en-US" w:eastAsia="zh-CN"/>
        </w:rPr>
        <w:t>17926.79</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val="en-US" w:eastAsia="zh-CN"/>
        </w:rPr>
        <w:t>20.22</w:t>
      </w:r>
      <w:r>
        <w:rPr>
          <w:rFonts w:hint="eastAsia" w:ascii="仿宋_GB2312" w:eastAsia="仿宋_GB2312"/>
          <w:color w:val="auto"/>
          <w:sz w:val="28"/>
          <w:szCs w:val="28"/>
          <w:highlight w:val="none"/>
        </w:rPr>
        <w:t>%；项目支出</w:t>
      </w:r>
      <w:r>
        <w:rPr>
          <w:rFonts w:hint="eastAsia" w:ascii="仿宋_GB2312" w:eastAsia="仿宋_GB2312"/>
          <w:color w:val="auto"/>
          <w:sz w:val="28"/>
          <w:szCs w:val="28"/>
          <w:highlight w:val="none"/>
          <w:lang w:val="en-US" w:eastAsia="zh-CN"/>
        </w:rPr>
        <w:t>68829.</w:t>
      </w:r>
      <w:r>
        <w:rPr>
          <w:rFonts w:hint="eastAsia" w:ascii="仿宋_GB2312" w:eastAsia="仿宋_GB2312"/>
          <w:color w:val="auto"/>
          <w:sz w:val="28"/>
          <w:szCs w:val="28"/>
          <w:highlight w:val="none"/>
          <w:lang w:val="en-US" w:eastAsia="zh-CN"/>
        </w:rPr>
        <w:t>98</w:t>
      </w:r>
      <w:r>
        <w:rPr>
          <w:rFonts w:hint="eastAsia" w:ascii="仿宋_GB2312" w:eastAsia="仿宋_GB2312"/>
          <w:color w:val="auto"/>
          <w:sz w:val="28"/>
          <w:szCs w:val="28"/>
          <w:highlight w:val="none"/>
        </w:rPr>
        <w:t>万元，占支出合计的</w:t>
      </w:r>
      <w:r>
        <w:rPr>
          <w:rFonts w:hint="eastAsia" w:ascii="仿宋_GB2312" w:eastAsia="仿宋_GB2312"/>
          <w:color w:val="auto"/>
          <w:sz w:val="28"/>
          <w:szCs w:val="28"/>
          <w:highlight w:val="none"/>
          <w:lang w:val="en-US" w:eastAsia="zh-CN"/>
        </w:rPr>
        <w:t>77.64</w:t>
      </w:r>
      <w:r>
        <w:rPr>
          <w:rFonts w:hint="eastAsia" w:ascii="仿宋_GB2312" w:eastAsia="仿宋_GB2312"/>
          <w:color w:val="auto"/>
          <w:sz w:val="28"/>
          <w:szCs w:val="28"/>
          <w:highlight w:val="none"/>
        </w:rPr>
        <w:t>%。</w:t>
      </w:r>
    </w:p>
    <w:p>
      <w:pPr>
        <w:tabs>
          <w:tab w:val="center" w:pos="6979"/>
        </w:tabs>
        <w:spacing w:line="580" w:lineRule="exact"/>
        <w:ind w:firstLine="548" w:firstLineChars="196"/>
        <w:rPr>
          <w:rFonts w:hint="eastAsia" w:ascii="黑体" w:eastAsia="黑体"/>
          <w:color w:val="auto"/>
          <w:sz w:val="28"/>
          <w:szCs w:val="28"/>
          <w:highlight w:val="none"/>
        </w:rPr>
      </w:pPr>
      <w:r>
        <w:rPr>
          <w:rFonts w:hint="eastAsia" w:ascii="黑体" w:eastAsia="黑体"/>
          <w:color w:val="auto"/>
          <w:sz w:val="28"/>
          <w:szCs w:val="28"/>
          <w:highlight w:val="none"/>
        </w:rPr>
        <w:t>四</w:t>
      </w:r>
      <w:r>
        <w:rPr>
          <w:rFonts w:ascii="黑体" w:eastAsia="黑体"/>
          <w:color w:val="auto"/>
          <w:sz w:val="28"/>
          <w:szCs w:val="28"/>
          <w:highlight w:val="none"/>
        </w:rPr>
        <w:t>、财政拨款</w:t>
      </w:r>
      <w:r>
        <w:rPr>
          <w:rFonts w:hint="eastAsia" w:ascii="黑体" w:eastAsia="黑体"/>
          <w:color w:val="auto"/>
          <w:sz w:val="28"/>
          <w:szCs w:val="28"/>
          <w:highlight w:val="none"/>
        </w:rPr>
        <w:t>收入支出决算</w:t>
      </w:r>
      <w:r>
        <w:rPr>
          <w:rFonts w:ascii="黑体" w:eastAsia="黑体"/>
          <w:color w:val="auto"/>
          <w:sz w:val="28"/>
          <w:szCs w:val="28"/>
          <w:highlight w:val="none"/>
        </w:rPr>
        <w:t>总体情况说明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2022年度财政拨款收入总计</w:t>
      </w:r>
      <w:r>
        <w:rPr>
          <w:rFonts w:hint="eastAsia" w:ascii="仿宋_GB2312" w:eastAsia="仿宋_GB2312"/>
          <w:color w:val="auto"/>
          <w:sz w:val="28"/>
          <w:szCs w:val="28"/>
          <w:highlight w:val="none"/>
          <w:lang w:val="en-US" w:eastAsia="zh-CN"/>
        </w:rPr>
        <w:t>78777.68</w:t>
      </w:r>
      <w:r>
        <w:rPr>
          <w:rFonts w:hint="eastAsia" w:ascii="仿宋_GB2312" w:eastAsia="仿宋_GB2312"/>
          <w:color w:val="auto"/>
          <w:sz w:val="28"/>
          <w:szCs w:val="28"/>
          <w:highlight w:val="none"/>
        </w:rPr>
        <w:t>万元，比上年减少</w:t>
      </w:r>
      <w:r>
        <w:rPr>
          <w:rFonts w:hint="eastAsia" w:ascii="仿宋_GB2312" w:eastAsia="仿宋_GB2312"/>
          <w:color w:val="auto"/>
          <w:sz w:val="28"/>
          <w:szCs w:val="28"/>
          <w:highlight w:val="none"/>
          <w:lang w:val="en-US" w:eastAsia="zh-CN"/>
        </w:rPr>
        <w:t>7520.54</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9.55</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教育体制上划，收入相应减少</w:t>
      </w:r>
      <w:r>
        <w:rPr>
          <w:rFonts w:hint="eastAsia" w:ascii="仿宋_GB2312" w:eastAsia="仿宋_GB2312"/>
          <w:color w:val="auto"/>
          <w:sz w:val="28"/>
          <w:szCs w:val="28"/>
          <w:highlight w:val="none"/>
        </w:rPr>
        <w:t>。2022年度财政拨款支出总计</w:t>
      </w:r>
      <w:r>
        <w:rPr>
          <w:rFonts w:hint="eastAsia" w:ascii="仿宋_GB2312" w:eastAsia="仿宋_GB2312"/>
          <w:color w:val="auto"/>
          <w:sz w:val="28"/>
          <w:szCs w:val="28"/>
          <w:highlight w:val="none"/>
          <w:lang w:val="en-US" w:eastAsia="zh-CN"/>
        </w:rPr>
        <w:t>78777.68</w:t>
      </w:r>
      <w:r>
        <w:rPr>
          <w:rFonts w:hint="eastAsia" w:ascii="仿宋_GB2312" w:eastAsia="仿宋_GB2312"/>
          <w:color w:val="auto"/>
          <w:sz w:val="28"/>
          <w:szCs w:val="28"/>
          <w:highlight w:val="none"/>
        </w:rPr>
        <w:t>万元，比上年减少</w:t>
      </w:r>
      <w:r>
        <w:rPr>
          <w:rFonts w:hint="eastAsia" w:ascii="仿宋_GB2312" w:eastAsia="仿宋_GB2312"/>
          <w:color w:val="auto"/>
          <w:sz w:val="28"/>
          <w:szCs w:val="28"/>
          <w:highlight w:val="none"/>
          <w:lang w:val="en-US" w:eastAsia="zh-CN"/>
        </w:rPr>
        <w:t>7520.54</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9.55</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教育体制上划，支出相应减少</w:t>
      </w:r>
      <w:r>
        <w:rPr>
          <w:rFonts w:hint="eastAsia" w:ascii="仿宋_GB2312" w:eastAsia="仿宋_GB2312"/>
          <w:color w:val="auto"/>
          <w:sz w:val="28"/>
          <w:szCs w:val="28"/>
          <w:highlight w:val="none"/>
        </w:rPr>
        <w:t>。</w:t>
      </w:r>
    </w:p>
    <w:p>
      <w:pPr>
        <w:tabs>
          <w:tab w:val="center" w:pos="6979"/>
        </w:tabs>
        <w:spacing w:line="580" w:lineRule="exact"/>
        <w:ind w:firstLine="548" w:firstLineChars="196"/>
        <w:rPr>
          <w:rFonts w:hint="eastAsia" w:ascii="黑体" w:eastAsia="黑体"/>
          <w:color w:val="auto"/>
          <w:sz w:val="28"/>
          <w:szCs w:val="28"/>
          <w:highlight w:val="none"/>
        </w:rPr>
      </w:pPr>
      <w:r>
        <w:rPr>
          <w:rFonts w:hint="eastAsia" w:ascii="黑体" w:eastAsia="黑体"/>
          <w:color w:val="auto"/>
          <w:sz w:val="28"/>
          <w:szCs w:val="28"/>
          <w:highlight w:val="none"/>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（一）一般公共预算财政拨款支出决算总体情况</w:t>
      </w:r>
    </w:p>
    <w:p>
      <w:p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2022年度一般公共预算财政拨款支出</w:t>
      </w:r>
      <w:r>
        <w:rPr>
          <w:rFonts w:hint="eastAsia" w:ascii="仿宋_GB2312" w:eastAsia="仿宋_GB2312"/>
          <w:color w:val="auto"/>
          <w:sz w:val="28"/>
          <w:szCs w:val="28"/>
          <w:highlight w:val="none"/>
          <w:lang w:val="en-US" w:eastAsia="zh-CN"/>
        </w:rPr>
        <w:t>63509.55</w:t>
      </w:r>
      <w:r>
        <w:rPr>
          <w:rFonts w:hint="eastAsia" w:ascii="仿宋_GB2312" w:eastAsia="仿宋_GB2312"/>
          <w:color w:val="auto"/>
          <w:sz w:val="28"/>
          <w:szCs w:val="28"/>
          <w:highlight w:val="none"/>
        </w:rPr>
        <w:t>万元，主要用于以下方面（按大类）：一般公共服务支出</w:t>
      </w:r>
      <w:r>
        <w:rPr>
          <w:rFonts w:hint="eastAsia" w:ascii="仿宋_GB2312" w:eastAsia="仿宋_GB2312"/>
          <w:color w:val="auto"/>
          <w:sz w:val="28"/>
          <w:szCs w:val="28"/>
          <w:highlight w:val="none"/>
          <w:lang w:val="en-US" w:eastAsia="zh-CN"/>
        </w:rPr>
        <w:t>8072.60</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10.25</w:t>
      </w:r>
      <w:r>
        <w:rPr>
          <w:rFonts w:hint="eastAsia" w:ascii="仿宋_GB2312" w:eastAsia="仿宋_GB2312"/>
          <w:color w:val="auto"/>
          <w:sz w:val="28"/>
          <w:szCs w:val="28"/>
          <w:highlight w:val="none"/>
        </w:rPr>
        <w:t>%；公共安全支出</w:t>
      </w:r>
      <w:r>
        <w:rPr>
          <w:rFonts w:hint="eastAsia" w:ascii="仿宋_GB2312" w:eastAsia="仿宋_GB2312"/>
          <w:color w:val="auto"/>
          <w:sz w:val="28"/>
          <w:szCs w:val="28"/>
          <w:highlight w:val="none"/>
          <w:lang w:val="en-US" w:eastAsia="zh-CN"/>
        </w:rPr>
        <w:t>8.20</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0.01</w:t>
      </w:r>
      <w:r>
        <w:rPr>
          <w:rFonts w:hint="eastAsia" w:ascii="仿宋_GB2312" w:eastAsia="仿宋_GB2312"/>
          <w:color w:val="auto"/>
          <w:sz w:val="28"/>
          <w:szCs w:val="28"/>
          <w:highlight w:val="none"/>
        </w:rPr>
        <w:t>%；教育支出</w:t>
      </w:r>
      <w:r>
        <w:rPr>
          <w:rFonts w:hint="eastAsia" w:ascii="仿宋_GB2312" w:eastAsia="仿宋_GB2312"/>
          <w:color w:val="auto"/>
          <w:sz w:val="28"/>
          <w:szCs w:val="28"/>
          <w:highlight w:val="none"/>
          <w:lang w:val="en-US" w:eastAsia="zh-CN"/>
        </w:rPr>
        <w:t>2571.88</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3.26</w:t>
      </w:r>
      <w:r>
        <w:rPr>
          <w:rFonts w:hint="eastAsia" w:ascii="仿宋_GB2312" w:eastAsia="仿宋_GB2312"/>
          <w:color w:val="auto"/>
          <w:sz w:val="28"/>
          <w:szCs w:val="28"/>
          <w:highlight w:val="none"/>
        </w:rPr>
        <w:t>%；科学技术支出</w:t>
      </w:r>
      <w:r>
        <w:rPr>
          <w:rFonts w:hint="eastAsia" w:ascii="仿宋_GB2312" w:eastAsia="仿宋_GB2312"/>
          <w:color w:val="auto"/>
          <w:sz w:val="28"/>
          <w:szCs w:val="28"/>
          <w:highlight w:val="none"/>
          <w:lang w:val="en-US" w:eastAsia="zh-CN"/>
        </w:rPr>
        <w:t>1.99</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0.01</w:t>
      </w:r>
      <w:r>
        <w:rPr>
          <w:rFonts w:hint="eastAsia" w:ascii="仿宋_GB2312" w:eastAsia="仿宋_GB2312"/>
          <w:color w:val="auto"/>
          <w:sz w:val="28"/>
          <w:szCs w:val="28"/>
          <w:highlight w:val="none"/>
        </w:rPr>
        <w:t>%；文化旅游体育与传媒支出</w:t>
      </w:r>
      <w:r>
        <w:rPr>
          <w:rFonts w:hint="eastAsia" w:ascii="仿宋_GB2312" w:eastAsia="仿宋_GB2312"/>
          <w:color w:val="auto"/>
          <w:sz w:val="28"/>
          <w:szCs w:val="28"/>
          <w:highlight w:val="none"/>
          <w:lang w:val="en-US" w:eastAsia="zh-CN"/>
        </w:rPr>
        <w:t>366.99</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0.47</w:t>
      </w:r>
      <w:r>
        <w:rPr>
          <w:rFonts w:hint="eastAsia" w:ascii="仿宋_GB2312" w:eastAsia="仿宋_GB2312"/>
          <w:color w:val="auto"/>
          <w:sz w:val="28"/>
          <w:szCs w:val="28"/>
          <w:highlight w:val="none"/>
        </w:rPr>
        <w:t>%；社会保障和就业支出</w:t>
      </w:r>
      <w:r>
        <w:rPr>
          <w:rFonts w:hint="eastAsia" w:ascii="仿宋_GB2312" w:eastAsia="仿宋_GB2312"/>
          <w:color w:val="auto"/>
          <w:sz w:val="28"/>
          <w:szCs w:val="28"/>
          <w:highlight w:val="none"/>
          <w:lang w:val="en-US" w:eastAsia="zh-CN"/>
        </w:rPr>
        <w:t>2227.50</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2.83</w:t>
      </w:r>
      <w:r>
        <w:rPr>
          <w:rFonts w:hint="eastAsia" w:ascii="仿宋_GB2312" w:eastAsia="仿宋_GB2312"/>
          <w:color w:val="auto"/>
          <w:sz w:val="28"/>
          <w:szCs w:val="28"/>
          <w:highlight w:val="none"/>
        </w:rPr>
        <w:t>%；卫生健康支出</w:t>
      </w:r>
      <w:r>
        <w:rPr>
          <w:rFonts w:hint="eastAsia" w:ascii="仿宋_GB2312" w:eastAsia="仿宋_GB2312"/>
          <w:color w:val="auto"/>
          <w:sz w:val="28"/>
          <w:szCs w:val="28"/>
          <w:highlight w:val="none"/>
          <w:lang w:val="en-US" w:eastAsia="zh-CN"/>
        </w:rPr>
        <w:t>10103.88</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12.83</w:t>
      </w:r>
      <w:r>
        <w:rPr>
          <w:rFonts w:hint="eastAsia" w:ascii="仿宋_GB2312" w:eastAsia="仿宋_GB2312"/>
          <w:color w:val="auto"/>
          <w:sz w:val="28"/>
          <w:szCs w:val="28"/>
          <w:highlight w:val="none"/>
        </w:rPr>
        <w:t>%；节能环保支出</w:t>
      </w:r>
      <w:r>
        <w:rPr>
          <w:rFonts w:hint="eastAsia" w:ascii="仿宋_GB2312" w:eastAsia="仿宋_GB2312"/>
          <w:color w:val="auto"/>
          <w:sz w:val="28"/>
          <w:szCs w:val="28"/>
          <w:highlight w:val="none"/>
          <w:lang w:val="en-US" w:eastAsia="zh-CN"/>
        </w:rPr>
        <w:t>750.83</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0.95</w:t>
      </w:r>
      <w:r>
        <w:rPr>
          <w:rFonts w:hint="eastAsia" w:ascii="仿宋_GB2312" w:eastAsia="仿宋_GB2312"/>
          <w:color w:val="auto"/>
          <w:sz w:val="28"/>
          <w:szCs w:val="28"/>
          <w:highlight w:val="none"/>
        </w:rPr>
        <w:t>%；城乡社区支出</w:t>
      </w:r>
      <w:r>
        <w:rPr>
          <w:rFonts w:hint="eastAsia" w:ascii="仿宋_GB2312" w:eastAsia="仿宋_GB2312"/>
          <w:color w:val="auto"/>
          <w:sz w:val="28"/>
          <w:szCs w:val="28"/>
          <w:highlight w:val="none"/>
          <w:lang w:val="en-US" w:eastAsia="zh-CN"/>
        </w:rPr>
        <w:t>11635.65</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14.77</w:t>
      </w:r>
      <w:r>
        <w:rPr>
          <w:rFonts w:hint="eastAsia" w:ascii="仿宋_GB2312" w:eastAsia="仿宋_GB2312"/>
          <w:color w:val="auto"/>
          <w:sz w:val="28"/>
          <w:szCs w:val="28"/>
          <w:highlight w:val="none"/>
        </w:rPr>
        <w:t>%；农林水支出</w:t>
      </w:r>
      <w:r>
        <w:rPr>
          <w:rFonts w:hint="eastAsia" w:ascii="仿宋_GB2312" w:eastAsia="仿宋_GB2312"/>
          <w:color w:val="auto"/>
          <w:sz w:val="28"/>
          <w:szCs w:val="28"/>
          <w:highlight w:val="none"/>
          <w:lang w:val="en-US" w:eastAsia="zh-CN"/>
        </w:rPr>
        <w:t>27723.84</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35.19</w:t>
      </w:r>
      <w:r>
        <w:rPr>
          <w:rFonts w:hint="eastAsia" w:ascii="仿宋_GB2312" w:eastAsia="仿宋_GB2312"/>
          <w:color w:val="auto"/>
          <w:sz w:val="28"/>
          <w:szCs w:val="28"/>
          <w:highlight w:val="none"/>
        </w:rPr>
        <w:t>%；住房保障支出</w:t>
      </w:r>
      <w:r>
        <w:rPr>
          <w:rFonts w:hint="eastAsia" w:ascii="仿宋_GB2312" w:eastAsia="仿宋_GB2312"/>
          <w:color w:val="auto"/>
          <w:sz w:val="28"/>
          <w:szCs w:val="28"/>
          <w:highlight w:val="none"/>
          <w:lang w:val="en-US" w:eastAsia="zh-CN"/>
        </w:rPr>
        <w:t>16.78</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0.02</w:t>
      </w:r>
      <w:r>
        <w:rPr>
          <w:rFonts w:hint="eastAsia" w:ascii="仿宋_GB2312" w:eastAsia="仿宋_GB2312"/>
          <w:color w:val="auto"/>
          <w:sz w:val="28"/>
          <w:szCs w:val="28"/>
          <w:highlight w:val="none"/>
        </w:rPr>
        <w:t>%；其他支出</w:t>
      </w:r>
      <w:r>
        <w:rPr>
          <w:rFonts w:hint="eastAsia" w:ascii="仿宋_GB2312" w:eastAsia="仿宋_GB2312"/>
          <w:color w:val="auto"/>
          <w:sz w:val="28"/>
          <w:szCs w:val="28"/>
          <w:highlight w:val="none"/>
          <w:lang w:val="en-US" w:eastAsia="zh-CN"/>
        </w:rPr>
        <w:t>29.41</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0.04</w:t>
      </w:r>
      <w:r>
        <w:rPr>
          <w:rFonts w:hint="eastAsia" w:ascii="仿宋_GB2312" w:eastAsia="仿宋_GB2312"/>
          <w:color w:val="auto"/>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“一般公共服务支出”（类）2022年度决算</w:t>
      </w:r>
      <w:r>
        <w:rPr>
          <w:rFonts w:hint="eastAsia" w:ascii="仿宋_GB2312" w:eastAsia="仿宋_GB2312"/>
          <w:color w:val="auto"/>
          <w:sz w:val="28"/>
          <w:szCs w:val="28"/>
          <w:highlight w:val="none"/>
          <w:lang w:val="en-US" w:eastAsia="zh-CN"/>
        </w:rPr>
        <w:t>8072.60</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597.04</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7.99</w:t>
      </w:r>
      <w:r>
        <w:rPr>
          <w:rFonts w:hint="eastAsia" w:ascii="仿宋_GB2312" w:eastAsia="仿宋_GB2312"/>
          <w:color w:val="auto"/>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政府办公厅（室）及相关机构事务（款，下同）2022年度决算</w:t>
      </w:r>
      <w:r>
        <w:rPr>
          <w:rFonts w:hint="eastAsia" w:ascii="仿宋_GB2312" w:eastAsia="仿宋_GB2312"/>
          <w:color w:val="auto"/>
          <w:sz w:val="28"/>
          <w:szCs w:val="28"/>
          <w:highlight w:val="none"/>
          <w:lang w:val="en-US" w:eastAsia="zh-CN"/>
        </w:rPr>
        <w:t>5175.60</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801.38</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18.32</w:t>
      </w:r>
      <w:r>
        <w:rPr>
          <w:rFonts w:hint="eastAsia" w:ascii="仿宋_GB2312" w:eastAsia="仿宋_GB2312"/>
          <w:color w:val="auto"/>
          <w:sz w:val="28"/>
          <w:szCs w:val="28"/>
          <w:highlight w:val="none"/>
        </w:rPr>
        <w:t>%。主要原因：</w:t>
      </w:r>
      <w:r>
        <w:rPr>
          <w:rFonts w:hint="eastAsia" w:ascii="仿宋_GB2312" w:hAnsi="仿宋_GB2312" w:eastAsia="仿宋_GB2312" w:cs="仿宋_GB2312"/>
          <w:color w:val="auto"/>
          <w:sz w:val="28"/>
          <w:szCs w:val="28"/>
          <w:highlight w:val="none"/>
          <w:lang w:eastAsia="zh-CN"/>
        </w:rPr>
        <w:t>绩效工资、津贴补贴等增加</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统计信息事务（款）2022年度决算</w:t>
      </w:r>
      <w:r>
        <w:rPr>
          <w:rFonts w:hint="eastAsia" w:ascii="仿宋_GB2312" w:eastAsia="仿宋_GB2312"/>
          <w:color w:val="auto"/>
          <w:sz w:val="28"/>
          <w:szCs w:val="28"/>
          <w:highlight w:val="none"/>
          <w:lang w:val="en-US" w:eastAsia="zh-CN"/>
        </w:rPr>
        <w:t>89.76</w:t>
      </w:r>
      <w:r>
        <w:rPr>
          <w:rFonts w:hint="eastAsia" w:ascii="仿宋_GB2312" w:eastAsia="仿宋_GB2312"/>
          <w:color w:val="auto"/>
          <w:sz w:val="28"/>
          <w:szCs w:val="28"/>
          <w:highlight w:val="none"/>
        </w:rPr>
        <w:t>万元，比2022年度年初预算减少</w:t>
      </w:r>
      <w:r>
        <w:rPr>
          <w:rFonts w:hint="eastAsia" w:ascii="仿宋_GB2312" w:eastAsia="仿宋_GB2312"/>
          <w:color w:val="auto"/>
          <w:sz w:val="28"/>
          <w:szCs w:val="28"/>
          <w:highlight w:val="none"/>
          <w:lang w:val="en-US" w:eastAsia="zh-CN"/>
        </w:rPr>
        <w:t>11.24</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11.13</w:t>
      </w:r>
      <w:r>
        <w:rPr>
          <w:rFonts w:hint="eastAsia" w:ascii="仿宋_GB2312" w:eastAsia="仿宋_GB2312"/>
          <w:color w:val="auto"/>
          <w:sz w:val="28"/>
          <w:szCs w:val="28"/>
          <w:highlight w:val="none"/>
        </w:rPr>
        <w:t>%。主要原因：</w:t>
      </w:r>
      <w:r>
        <w:rPr>
          <w:rFonts w:hint="eastAsia" w:ascii="仿宋_GB2312" w:hAnsi="仿宋_GB2312" w:eastAsia="仿宋_GB2312" w:cs="仿宋_GB2312"/>
          <w:color w:val="auto"/>
          <w:sz w:val="28"/>
          <w:szCs w:val="28"/>
          <w:highlight w:val="none"/>
          <w:lang w:val="en-US" w:eastAsia="zh-CN"/>
        </w:rPr>
        <w:t>临时辅助人员减少</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“财政事务”202</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年度决算</w:t>
      </w:r>
      <w:r>
        <w:rPr>
          <w:rFonts w:hint="eastAsia" w:ascii="仿宋_GB2312" w:hAnsi="仿宋_GB2312" w:eastAsia="仿宋_GB2312" w:cs="仿宋_GB2312"/>
          <w:color w:val="auto"/>
          <w:sz w:val="28"/>
          <w:szCs w:val="28"/>
          <w:highlight w:val="none"/>
          <w:lang w:val="en-US" w:eastAsia="zh-CN"/>
        </w:rPr>
        <w:t>0</w:t>
      </w:r>
      <w:r>
        <w:rPr>
          <w:rFonts w:hint="eastAsia" w:ascii="仿宋_GB2312" w:hAnsi="仿宋_GB2312" w:eastAsia="仿宋_GB2312" w:cs="仿宋_GB2312"/>
          <w:color w:val="auto"/>
          <w:sz w:val="28"/>
          <w:szCs w:val="28"/>
          <w:highlight w:val="none"/>
          <w:lang w:eastAsia="zh-CN"/>
        </w:rPr>
        <w:t>万元，比202</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减少23.52</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下降100</w:t>
      </w:r>
      <w:r>
        <w:rPr>
          <w:rFonts w:hint="eastAsia" w:ascii="仿宋_GB2312" w:hAnsi="仿宋_GB2312" w:eastAsia="仿宋_GB2312" w:cs="仿宋_GB2312"/>
          <w:color w:val="auto"/>
          <w:sz w:val="28"/>
          <w:szCs w:val="28"/>
          <w:highlight w:val="none"/>
          <w:lang w:eastAsia="zh-CN"/>
        </w:rPr>
        <w:t>%。主要原因：人员</w:t>
      </w:r>
      <w:r>
        <w:rPr>
          <w:rFonts w:hint="eastAsia" w:ascii="仿宋_GB2312" w:hAnsi="仿宋_GB2312" w:eastAsia="仿宋_GB2312" w:cs="仿宋_GB2312"/>
          <w:color w:val="auto"/>
          <w:sz w:val="28"/>
          <w:szCs w:val="28"/>
          <w:highlight w:val="none"/>
          <w:lang w:val="en-US" w:eastAsia="zh-CN"/>
        </w:rPr>
        <w:t>减少</w:t>
      </w:r>
      <w:r>
        <w:rPr>
          <w:rFonts w:hint="eastAsia" w:ascii="仿宋_GB2312" w:hAnsi="仿宋_GB2312" w:eastAsia="仿宋_GB2312" w:cs="仿宋_GB2312"/>
          <w:color w:val="auto"/>
          <w:sz w:val="28"/>
          <w:szCs w:val="28"/>
          <w:highlight w:val="none"/>
          <w:lang w:eastAsia="zh-CN"/>
        </w:rPr>
        <w:t>基本支出相应</w:t>
      </w:r>
      <w:r>
        <w:rPr>
          <w:rFonts w:hint="eastAsia" w:ascii="仿宋_GB2312" w:hAnsi="仿宋_GB2312" w:eastAsia="仿宋_GB2312" w:cs="仿宋_GB2312"/>
          <w:color w:val="auto"/>
          <w:sz w:val="28"/>
          <w:szCs w:val="28"/>
          <w:highlight w:val="none"/>
          <w:lang w:val="en-US" w:eastAsia="zh-CN"/>
        </w:rPr>
        <w:t>减少</w:t>
      </w:r>
      <w:r>
        <w:rPr>
          <w:rFonts w:hint="eastAsia" w:ascii="仿宋_GB2312" w:hAnsi="仿宋_GB2312" w:eastAsia="仿宋_GB2312" w:cs="仿宋_GB2312"/>
          <w:color w:val="auto"/>
          <w:sz w:val="28"/>
          <w:szCs w:val="28"/>
          <w:highlight w:val="none"/>
          <w:lang w:eastAsia="zh-CN"/>
        </w:rPr>
        <w:t>。</w:t>
      </w:r>
    </w:p>
    <w:p>
      <w:pPr>
        <w:spacing w:line="580" w:lineRule="exact"/>
        <w:ind w:firstLine="560" w:firstLineChars="20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t>群众团体事务（款）2022年度决算</w:t>
      </w:r>
      <w:r>
        <w:rPr>
          <w:rFonts w:hint="eastAsia" w:ascii="仿宋_GB2312" w:eastAsia="仿宋_GB2312"/>
          <w:color w:val="auto"/>
          <w:sz w:val="28"/>
          <w:szCs w:val="28"/>
          <w:highlight w:val="none"/>
          <w:lang w:val="en-US" w:eastAsia="zh-CN"/>
        </w:rPr>
        <w:t>5.85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与</w:t>
      </w:r>
      <w:r>
        <w:rPr>
          <w:rFonts w:hint="eastAsia" w:ascii="仿宋_GB2312" w:eastAsia="仿宋_GB2312"/>
          <w:color w:val="auto"/>
          <w:sz w:val="28"/>
          <w:szCs w:val="28"/>
          <w:highlight w:val="none"/>
        </w:rPr>
        <w:t>2022年度年初预算</w:t>
      </w:r>
      <w:r>
        <w:rPr>
          <w:rFonts w:hint="eastAsia" w:ascii="仿宋_GB2312" w:eastAsia="仿宋_GB2312"/>
          <w:color w:val="auto"/>
          <w:sz w:val="28"/>
          <w:szCs w:val="28"/>
          <w:highlight w:val="none"/>
          <w:lang w:val="en-US" w:eastAsia="zh-CN"/>
        </w:rPr>
        <w:t>持平。</w:t>
      </w:r>
    </w:p>
    <w:p>
      <w:pPr>
        <w:spacing w:line="580" w:lineRule="exact"/>
        <w:ind w:firstLine="560" w:firstLineChars="200"/>
        <w:rPr>
          <w:rFonts w:hint="eastAsia" w:ascii="仿宋_GB2312" w:eastAsia="仿宋_GB2312"/>
          <w:color w:val="auto"/>
          <w:sz w:val="28"/>
          <w:szCs w:val="28"/>
          <w:highlight w:val="none"/>
          <w:lang w:val="en-US" w:eastAsia="zh-CN"/>
        </w:rPr>
      </w:pPr>
      <w:r>
        <w:rPr>
          <w:rFonts w:hint="eastAsia" w:ascii="仿宋_GB2312" w:eastAsia="仿宋_GB2312"/>
          <w:color w:val="auto"/>
          <w:sz w:val="28"/>
          <w:szCs w:val="28"/>
          <w:highlight w:val="none"/>
        </w:rPr>
        <w:t>党委办公厅（室）及相关机构事务（款）2022年度决算</w:t>
      </w:r>
      <w:r>
        <w:rPr>
          <w:rFonts w:hint="eastAsia" w:ascii="仿宋_GB2312" w:eastAsia="仿宋_GB2312"/>
          <w:color w:val="auto"/>
          <w:sz w:val="28"/>
          <w:szCs w:val="28"/>
          <w:highlight w:val="none"/>
          <w:lang w:val="en-US" w:eastAsia="zh-CN"/>
        </w:rPr>
        <w:t>26.64</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与</w:t>
      </w:r>
      <w:r>
        <w:rPr>
          <w:rFonts w:hint="eastAsia" w:ascii="仿宋_GB2312" w:eastAsia="仿宋_GB2312"/>
          <w:color w:val="auto"/>
          <w:sz w:val="28"/>
          <w:szCs w:val="28"/>
          <w:highlight w:val="none"/>
        </w:rPr>
        <w:t>2022年度年初预算</w:t>
      </w:r>
      <w:r>
        <w:rPr>
          <w:rFonts w:hint="eastAsia" w:ascii="仿宋_GB2312" w:eastAsia="仿宋_GB2312"/>
          <w:color w:val="auto"/>
          <w:sz w:val="28"/>
          <w:szCs w:val="28"/>
          <w:highlight w:val="none"/>
          <w:lang w:val="en-US" w:eastAsia="zh-CN"/>
        </w:rPr>
        <w:t>持平。</w:t>
      </w:r>
    </w:p>
    <w:p>
      <w:pPr>
        <w:spacing w:line="580" w:lineRule="exact"/>
        <w:ind w:firstLine="560" w:firstLineChars="200"/>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组织事务（款）2022年度决算</w:t>
      </w:r>
      <w:r>
        <w:rPr>
          <w:rFonts w:hint="eastAsia" w:ascii="仿宋_GB2312" w:eastAsia="仿宋_GB2312"/>
          <w:color w:val="auto"/>
          <w:sz w:val="28"/>
          <w:szCs w:val="28"/>
          <w:highlight w:val="none"/>
          <w:lang w:val="en-US" w:eastAsia="zh-CN"/>
        </w:rPr>
        <w:t>2562.75</w:t>
      </w:r>
      <w:r>
        <w:rPr>
          <w:rFonts w:hint="eastAsia" w:ascii="仿宋_GB2312" w:eastAsia="仿宋_GB2312"/>
          <w:color w:val="auto"/>
          <w:sz w:val="28"/>
          <w:szCs w:val="28"/>
          <w:highlight w:val="none"/>
        </w:rPr>
        <w:t>万元，比2022年度年初预算</w:t>
      </w:r>
      <w:r>
        <w:rPr>
          <w:rFonts w:hint="eastAsia" w:ascii="仿宋_GB2312" w:hAnsi="仿宋_GB2312" w:eastAsia="仿宋_GB2312" w:cs="仿宋_GB2312"/>
          <w:color w:val="auto"/>
          <w:sz w:val="28"/>
          <w:szCs w:val="28"/>
          <w:highlight w:val="none"/>
          <w:lang w:val="en-US" w:eastAsia="zh-CN"/>
        </w:rPr>
        <w:t>减少62.25</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val="en-US" w:eastAsia="zh-CN"/>
        </w:rPr>
        <w:t>下降2.37</w:t>
      </w:r>
      <w:r>
        <w:rPr>
          <w:rFonts w:hint="eastAsia" w:ascii="仿宋_GB2312" w:hAnsi="仿宋_GB2312" w:eastAsia="仿宋_GB2312" w:cs="仿宋_GB2312"/>
          <w:color w:val="auto"/>
          <w:sz w:val="28"/>
          <w:szCs w:val="28"/>
          <w:highlight w:val="none"/>
          <w:lang w:eastAsia="zh-CN"/>
        </w:rPr>
        <w:t>%</w:t>
      </w:r>
      <w:r>
        <w:rPr>
          <w:rFonts w:hint="eastAsia" w:ascii="仿宋_GB2312" w:eastAsia="仿宋_GB2312"/>
          <w:color w:val="auto"/>
          <w:sz w:val="28"/>
          <w:szCs w:val="28"/>
          <w:highlight w:val="none"/>
        </w:rPr>
        <w:t>。主要原因：</w:t>
      </w:r>
      <w:r>
        <w:rPr>
          <w:rFonts w:hint="eastAsia" w:ascii="仿宋_GB2312" w:hAnsi="仿宋_GB2312" w:eastAsia="仿宋_GB2312" w:cs="仿宋_GB2312"/>
          <w:color w:val="auto"/>
          <w:sz w:val="28"/>
          <w:szCs w:val="28"/>
          <w:highlight w:val="none"/>
          <w:lang w:eastAsia="zh-CN"/>
        </w:rPr>
        <w:t>部分村、社区党组织服务群众经费项目未</w:t>
      </w:r>
      <w:r>
        <w:rPr>
          <w:rFonts w:hint="eastAsia" w:ascii="仿宋_GB2312" w:hAnsi="仿宋_GB2312" w:eastAsia="仿宋_GB2312" w:cs="仿宋_GB2312"/>
          <w:color w:val="auto"/>
          <w:sz w:val="28"/>
          <w:szCs w:val="28"/>
          <w:highlight w:val="none"/>
          <w:lang w:val="en-US" w:eastAsia="zh-CN"/>
        </w:rPr>
        <w:t>支出</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其他共产党事务支出（款）2022年度决算</w:t>
      </w:r>
      <w:r>
        <w:rPr>
          <w:rFonts w:hint="eastAsia" w:ascii="仿宋_GB2312" w:eastAsia="仿宋_GB2312"/>
          <w:color w:val="auto"/>
          <w:sz w:val="28"/>
          <w:szCs w:val="28"/>
          <w:highlight w:val="none"/>
          <w:lang w:val="en-US" w:eastAsia="zh-CN"/>
        </w:rPr>
        <w:t>212.01</w:t>
      </w:r>
      <w:r>
        <w:rPr>
          <w:rFonts w:hint="eastAsia" w:ascii="仿宋_GB2312" w:eastAsia="仿宋_GB2312"/>
          <w:color w:val="auto"/>
          <w:sz w:val="28"/>
          <w:szCs w:val="28"/>
          <w:highlight w:val="none"/>
        </w:rPr>
        <w:t>万元，比2022年度年初预算</w:t>
      </w:r>
      <w:r>
        <w:rPr>
          <w:rFonts w:hint="eastAsia" w:ascii="仿宋_GB2312" w:hAnsi="仿宋_GB2312" w:eastAsia="仿宋_GB2312" w:cs="仿宋_GB2312"/>
          <w:color w:val="auto"/>
          <w:sz w:val="28"/>
          <w:szCs w:val="28"/>
          <w:highlight w:val="none"/>
          <w:lang w:val="en-US" w:eastAsia="zh-CN"/>
        </w:rPr>
        <w:t>增加212.01</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增长100</w:t>
      </w:r>
      <w:r>
        <w:rPr>
          <w:rFonts w:hint="eastAsia" w:ascii="仿宋_GB2312" w:hAnsi="仿宋_GB2312" w:eastAsia="仿宋_GB2312" w:cs="仿宋_GB2312"/>
          <w:color w:val="auto"/>
          <w:sz w:val="28"/>
          <w:szCs w:val="28"/>
          <w:highlight w:val="none"/>
          <w:lang w:eastAsia="zh-CN"/>
        </w:rPr>
        <w:t>%。主要原因：专项资</w:t>
      </w:r>
      <w:r>
        <w:rPr>
          <w:rFonts w:hint="eastAsia" w:ascii="仿宋_GB2312" w:hAnsi="仿宋_GB2312" w:eastAsia="仿宋_GB2312" w:cs="仿宋_GB2312"/>
          <w:color w:val="auto"/>
          <w:sz w:val="28"/>
          <w:szCs w:val="28"/>
          <w:highlight w:val="none"/>
          <w:lang w:eastAsia="zh-CN"/>
        </w:rPr>
        <w:t>金</w:t>
      </w:r>
      <w:r>
        <w:rPr>
          <w:rFonts w:hint="eastAsia" w:ascii="仿宋_GB2312" w:hAnsi="仿宋_GB2312" w:eastAsia="仿宋_GB2312" w:cs="仿宋_GB2312"/>
          <w:color w:val="auto"/>
          <w:sz w:val="28"/>
          <w:szCs w:val="28"/>
          <w:highlight w:val="none"/>
          <w:lang w:val="en-US" w:eastAsia="zh-CN"/>
        </w:rPr>
        <w:t>增加</w:t>
      </w:r>
      <w:r>
        <w:rPr>
          <w:rFonts w:hint="eastAsia" w:ascii="仿宋_GB2312" w:hAnsi="仿宋_GB2312" w:eastAsia="仿宋_GB2312" w:cs="仿宋_GB2312"/>
          <w:color w:val="auto"/>
          <w:sz w:val="28"/>
          <w:szCs w:val="28"/>
          <w:highlight w:val="none"/>
          <w:lang w:eastAsia="zh-CN"/>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“公共安全支出”(类) 2022年度决算</w:t>
      </w:r>
      <w:r>
        <w:rPr>
          <w:rFonts w:hint="eastAsia" w:ascii="仿宋_GB2312" w:eastAsia="仿宋_GB2312"/>
          <w:color w:val="auto"/>
          <w:sz w:val="28"/>
          <w:szCs w:val="28"/>
          <w:highlight w:val="none"/>
          <w:lang w:val="en-US" w:eastAsia="zh-CN"/>
        </w:rPr>
        <w:t>8.20</w:t>
      </w:r>
      <w:r>
        <w:rPr>
          <w:rFonts w:hint="eastAsia" w:ascii="仿宋_GB2312" w:eastAsia="仿宋_GB2312"/>
          <w:color w:val="auto"/>
          <w:sz w:val="28"/>
          <w:szCs w:val="28"/>
          <w:highlight w:val="none"/>
        </w:rPr>
        <w:t>万元，比2022年度年初预算</w:t>
      </w:r>
      <w:r>
        <w:rPr>
          <w:rFonts w:hint="eastAsia" w:ascii="仿宋_GB2312" w:eastAsia="仿宋_GB2312"/>
          <w:color w:val="auto"/>
          <w:sz w:val="28"/>
          <w:szCs w:val="28"/>
          <w:highlight w:val="none"/>
          <w:lang w:val="en-US" w:eastAsia="zh-CN"/>
        </w:rPr>
        <w:t>减少</w:t>
      </w:r>
      <w:r>
        <w:rPr>
          <w:rFonts w:hint="eastAsia" w:ascii="仿宋_GB2312" w:eastAsia="仿宋_GB2312"/>
          <w:color w:val="auto"/>
          <w:sz w:val="28"/>
          <w:szCs w:val="28"/>
          <w:highlight w:val="none"/>
          <w:lang w:val="en-US" w:eastAsia="zh-CN"/>
        </w:rPr>
        <w:t>20.34</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下降71.28</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rPr>
        <w:t>其中：</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“司法”（款）2022年度决算</w:t>
      </w:r>
      <w:r>
        <w:rPr>
          <w:rFonts w:hint="eastAsia" w:ascii="仿宋_GB2312" w:eastAsia="仿宋_GB2312"/>
          <w:color w:val="auto"/>
          <w:sz w:val="28"/>
          <w:szCs w:val="28"/>
          <w:highlight w:val="none"/>
          <w:lang w:val="en-US" w:eastAsia="zh-CN"/>
        </w:rPr>
        <w:t>8.20</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rPr>
        <w:t>比2022年度年初预算</w:t>
      </w:r>
      <w:r>
        <w:rPr>
          <w:rFonts w:hint="eastAsia" w:ascii="仿宋_GB2312" w:eastAsia="仿宋_GB2312"/>
          <w:color w:val="auto"/>
          <w:sz w:val="28"/>
          <w:szCs w:val="28"/>
          <w:highlight w:val="none"/>
          <w:lang w:val="en-US" w:eastAsia="zh-CN"/>
        </w:rPr>
        <w:t>减少20.34</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下降71.28</w:t>
      </w:r>
      <w:r>
        <w:rPr>
          <w:rFonts w:hint="eastAsia" w:ascii="仿宋_GB2312" w:eastAsia="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项目</w:t>
      </w:r>
      <w:r>
        <w:rPr>
          <w:rFonts w:hint="eastAsia" w:ascii="仿宋_GB2312" w:hAnsi="仿宋_GB2312" w:eastAsia="仿宋_GB2312" w:cs="仿宋_GB2312"/>
          <w:color w:val="auto"/>
          <w:sz w:val="28"/>
          <w:szCs w:val="28"/>
          <w:highlight w:val="none"/>
          <w:lang w:eastAsia="zh-CN"/>
        </w:rPr>
        <w:t>资金</w:t>
      </w:r>
      <w:r>
        <w:rPr>
          <w:rFonts w:hint="eastAsia" w:ascii="仿宋_GB2312" w:hAnsi="仿宋_GB2312" w:eastAsia="仿宋_GB2312" w:cs="仿宋_GB2312"/>
          <w:color w:val="auto"/>
          <w:sz w:val="28"/>
          <w:szCs w:val="28"/>
          <w:highlight w:val="none"/>
          <w:lang w:val="en-US" w:eastAsia="zh-CN"/>
        </w:rPr>
        <w:t>减少</w:t>
      </w:r>
      <w:r>
        <w:rPr>
          <w:rFonts w:hint="eastAsia" w:ascii="仿宋_GB2312" w:hAnsi="仿宋_GB2312" w:eastAsia="仿宋_GB2312" w:cs="仿宋_GB2312"/>
          <w:color w:val="auto"/>
          <w:sz w:val="28"/>
          <w:szCs w:val="28"/>
          <w:highlight w:val="none"/>
          <w:lang w:eastAsia="zh-CN"/>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“教育支出”(类) 2022年度决算</w:t>
      </w:r>
      <w:r>
        <w:rPr>
          <w:rFonts w:hint="eastAsia" w:ascii="仿宋_GB2312" w:eastAsia="仿宋_GB2312"/>
          <w:color w:val="auto"/>
          <w:sz w:val="28"/>
          <w:szCs w:val="28"/>
          <w:highlight w:val="none"/>
          <w:lang w:val="en-US" w:eastAsia="zh-CN"/>
        </w:rPr>
        <w:t>2571.88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rPr>
        <w:t>比2022年度年初预算增加2571.8</w:t>
      </w: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rPr>
        <w:t>其中：</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“普通教育”（款）2022年度决算</w:t>
      </w:r>
      <w:r>
        <w:rPr>
          <w:rFonts w:hint="eastAsia" w:ascii="仿宋_GB2312" w:eastAsia="仿宋_GB2312"/>
          <w:color w:val="auto"/>
          <w:sz w:val="28"/>
          <w:szCs w:val="28"/>
          <w:highlight w:val="none"/>
          <w:lang w:val="en-US" w:eastAsia="zh-CN"/>
        </w:rPr>
        <w:t>2571.88</w:t>
      </w:r>
      <w:r>
        <w:rPr>
          <w:rFonts w:hint="eastAsia" w:ascii="仿宋_GB2312" w:eastAsia="仿宋_GB2312"/>
          <w:color w:val="auto"/>
          <w:sz w:val="28"/>
          <w:szCs w:val="28"/>
          <w:highlight w:val="none"/>
        </w:rPr>
        <w:t>万元，比2022年度年初预算</w:t>
      </w:r>
      <w:r>
        <w:rPr>
          <w:rFonts w:hint="eastAsia" w:ascii="仿宋_GB2312" w:eastAsia="仿宋_GB2312"/>
          <w:color w:val="auto"/>
          <w:sz w:val="28"/>
          <w:szCs w:val="28"/>
          <w:highlight w:val="none"/>
        </w:rPr>
        <w:t>增加2571.8</w:t>
      </w: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%。主要原因：</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区级拨付教育资金，</w:t>
      </w:r>
      <w:r>
        <w:rPr>
          <w:rFonts w:hint="eastAsia" w:ascii="仿宋_GB2312" w:hAnsi="仿宋_GB2312" w:eastAsia="仿宋_GB2312" w:cs="仿宋_GB2312"/>
          <w:color w:val="auto"/>
          <w:sz w:val="28"/>
          <w:szCs w:val="28"/>
          <w:highlight w:val="none"/>
          <w:lang w:eastAsia="zh-CN"/>
        </w:rPr>
        <w:t>学前教育、</w:t>
      </w:r>
      <w:r>
        <w:rPr>
          <w:rFonts w:hint="eastAsia" w:ascii="仿宋_GB2312" w:hAnsi="仿宋_GB2312" w:eastAsia="仿宋_GB2312" w:cs="仿宋_GB2312"/>
          <w:color w:val="auto"/>
          <w:sz w:val="28"/>
          <w:szCs w:val="28"/>
          <w:highlight w:val="none"/>
          <w:lang w:val="en-US" w:eastAsia="zh-CN"/>
        </w:rPr>
        <w:t>小学</w:t>
      </w:r>
      <w:r>
        <w:rPr>
          <w:rFonts w:hint="eastAsia" w:ascii="仿宋_GB2312" w:hAnsi="仿宋_GB2312" w:eastAsia="仿宋_GB2312" w:cs="仿宋_GB2312"/>
          <w:color w:val="auto"/>
          <w:sz w:val="28"/>
          <w:szCs w:val="28"/>
          <w:highlight w:val="none"/>
          <w:lang w:eastAsia="zh-CN"/>
        </w:rPr>
        <w:t>教育、</w:t>
      </w:r>
      <w:r>
        <w:rPr>
          <w:rFonts w:hint="eastAsia" w:ascii="仿宋_GB2312" w:hAnsi="仿宋_GB2312" w:eastAsia="仿宋_GB2312" w:cs="仿宋_GB2312"/>
          <w:color w:val="auto"/>
          <w:sz w:val="28"/>
          <w:szCs w:val="28"/>
          <w:highlight w:val="none"/>
          <w:lang w:val="en-US" w:eastAsia="zh-CN"/>
        </w:rPr>
        <w:t>初中</w:t>
      </w:r>
      <w:r>
        <w:rPr>
          <w:rFonts w:hint="eastAsia" w:ascii="仿宋_GB2312" w:hAnsi="仿宋_GB2312" w:eastAsia="仿宋_GB2312" w:cs="仿宋_GB2312"/>
          <w:color w:val="auto"/>
          <w:sz w:val="28"/>
          <w:szCs w:val="28"/>
          <w:highlight w:val="none"/>
          <w:lang w:eastAsia="zh-CN"/>
        </w:rPr>
        <w:t>教育</w:t>
      </w:r>
      <w:r>
        <w:rPr>
          <w:rFonts w:hint="eastAsia" w:ascii="仿宋_GB2312" w:hAnsi="仿宋_GB2312" w:eastAsia="仿宋_GB2312" w:cs="仿宋_GB2312"/>
          <w:color w:val="auto"/>
          <w:sz w:val="28"/>
          <w:szCs w:val="28"/>
          <w:highlight w:val="none"/>
          <w:lang w:val="en-US" w:eastAsia="zh-CN"/>
        </w:rPr>
        <w:t>等项目</w:t>
      </w:r>
      <w:r>
        <w:rPr>
          <w:rFonts w:hint="eastAsia" w:ascii="仿宋_GB2312" w:hAnsi="仿宋_GB2312" w:eastAsia="仿宋_GB2312" w:cs="仿宋_GB2312"/>
          <w:color w:val="auto"/>
          <w:sz w:val="28"/>
          <w:szCs w:val="28"/>
          <w:highlight w:val="none"/>
          <w:lang w:eastAsia="zh-CN"/>
        </w:rPr>
        <w:t>增加。</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“科学技术支出”(类) 2022年度决算</w:t>
      </w:r>
      <w:r>
        <w:rPr>
          <w:rFonts w:hint="eastAsia" w:ascii="仿宋_GB2312" w:eastAsia="仿宋_GB2312"/>
          <w:color w:val="auto"/>
          <w:sz w:val="28"/>
          <w:szCs w:val="28"/>
          <w:highlight w:val="none"/>
          <w:lang w:val="en-US" w:eastAsia="zh-CN"/>
        </w:rPr>
        <w:t>1.99</w:t>
      </w:r>
      <w:r>
        <w:rPr>
          <w:rFonts w:hint="eastAsia" w:ascii="仿宋_GB2312" w:eastAsia="仿宋_GB2312"/>
          <w:color w:val="auto"/>
          <w:sz w:val="28"/>
          <w:szCs w:val="28"/>
          <w:highlight w:val="none"/>
        </w:rPr>
        <w:t>万元，比2022年度年初预算</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0.01</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0.59</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rPr>
        <w:t>其中：</w:t>
      </w:r>
    </w:p>
    <w:p>
      <w:pPr>
        <w:spacing w:line="580" w:lineRule="exact"/>
        <w:ind w:firstLine="560" w:firstLineChars="200"/>
        <w:rPr>
          <w:rFonts w:hint="default" w:ascii="仿宋_GB2312" w:eastAsia="仿宋_GB2312"/>
          <w:color w:val="auto"/>
          <w:sz w:val="28"/>
          <w:szCs w:val="28"/>
          <w:highlight w:val="none"/>
          <w:lang w:val="en-US"/>
        </w:rPr>
      </w:pPr>
      <w:r>
        <w:rPr>
          <w:rFonts w:hint="eastAsia" w:ascii="仿宋_GB2312" w:eastAsia="仿宋_GB2312"/>
          <w:color w:val="auto"/>
          <w:sz w:val="28"/>
          <w:szCs w:val="28"/>
          <w:highlight w:val="none"/>
        </w:rPr>
        <w:t>“科学技术普及”（款）2022年度决算</w:t>
      </w:r>
      <w:r>
        <w:rPr>
          <w:rFonts w:hint="eastAsia" w:ascii="仿宋_GB2312" w:eastAsia="仿宋_GB2312"/>
          <w:color w:val="auto"/>
          <w:sz w:val="28"/>
          <w:szCs w:val="28"/>
          <w:highlight w:val="none"/>
          <w:lang w:val="en-US" w:eastAsia="zh-CN"/>
        </w:rPr>
        <w:t>1.99</w:t>
      </w:r>
      <w:r>
        <w:rPr>
          <w:rFonts w:hint="eastAsia" w:ascii="仿宋_GB2312" w:eastAsia="仿宋_GB2312"/>
          <w:color w:val="auto"/>
          <w:sz w:val="28"/>
          <w:szCs w:val="28"/>
          <w:highlight w:val="none"/>
        </w:rPr>
        <w:t>万元，比2022年度年初预算</w:t>
      </w:r>
      <w:r>
        <w:rPr>
          <w:rFonts w:hint="eastAsia" w:ascii="仿宋_GB2312" w:eastAsia="仿宋_GB2312"/>
          <w:color w:val="auto"/>
          <w:sz w:val="28"/>
          <w:szCs w:val="28"/>
          <w:highlight w:val="none"/>
        </w:rPr>
        <w:t>减少</w:t>
      </w:r>
      <w:r>
        <w:rPr>
          <w:rFonts w:hint="eastAsia" w:ascii="仿宋_GB2312" w:eastAsia="仿宋_GB2312"/>
          <w:color w:val="auto"/>
          <w:sz w:val="28"/>
          <w:szCs w:val="28"/>
          <w:highlight w:val="none"/>
          <w:lang w:val="en-US" w:eastAsia="zh-CN"/>
        </w:rPr>
        <w:t>0.01</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0.59</w:t>
      </w:r>
      <w:r>
        <w:rPr>
          <w:rFonts w:hint="eastAsia" w:ascii="仿宋_GB2312" w:eastAsia="仿宋_GB2312"/>
          <w:color w:val="auto"/>
          <w:sz w:val="28"/>
          <w:szCs w:val="28"/>
          <w:highlight w:val="none"/>
        </w:rPr>
        <w:t>%。</w:t>
      </w:r>
      <w:r>
        <w:rPr>
          <w:rFonts w:hint="eastAsia" w:ascii="仿宋_GB2312" w:hAnsi="仿宋_GB2312" w:eastAsia="仿宋_GB2312" w:cs="仿宋_GB2312"/>
          <w:color w:val="auto"/>
          <w:sz w:val="28"/>
          <w:szCs w:val="28"/>
          <w:highlight w:val="none"/>
          <w:lang w:val="en-US" w:eastAsia="zh-CN"/>
        </w:rPr>
        <w:t>与上年基本持平。</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5</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“文化旅游体育与传媒支出”(类) 2022年度决算</w:t>
      </w:r>
      <w:r>
        <w:rPr>
          <w:rFonts w:hint="eastAsia" w:ascii="仿宋_GB2312" w:eastAsia="仿宋_GB2312"/>
          <w:color w:val="auto"/>
          <w:sz w:val="28"/>
          <w:szCs w:val="28"/>
          <w:highlight w:val="none"/>
          <w:lang w:val="en-US" w:eastAsia="zh-CN"/>
        </w:rPr>
        <w:t>366.99</w:t>
      </w:r>
      <w:r>
        <w:rPr>
          <w:rFonts w:hint="eastAsia" w:ascii="仿宋_GB2312" w:eastAsia="仿宋_GB2312"/>
          <w:color w:val="auto"/>
          <w:sz w:val="28"/>
          <w:szCs w:val="28"/>
          <w:highlight w:val="none"/>
        </w:rPr>
        <w:t>万元，比2022年度年初预算</w:t>
      </w:r>
      <w:r>
        <w:rPr>
          <w:rFonts w:hint="eastAsia" w:ascii="仿宋_GB2312" w:eastAsia="仿宋_GB2312"/>
          <w:color w:val="auto"/>
          <w:sz w:val="28"/>
          <w:szCs w:val="28"/>
          <w:highlight w:val="none"/>
          <w:lang w:val="en-US" w:eastAsia="zh-CN"/>
        </w:rPr>
        <w:t>减少97.30</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下降20.96</w:t>
      </w:r>
      <w:r>
        <w:rPr>
          <w:rFonts w:hint="eastAsia" w:ascii="仿宋_GB2312" w:eastAsia="仿宋_GB2312"/>
          <w:color w:val="auto"/>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“文化和旅游”（款）2022年度决算</w:t>
      </w:r>
      <w:r>
        <w:rPr>
          <w:rFonts w:hint="eastAsia" w:ascii="仿宋_GB2312" w:eastAsia="仿宋_GB2312"/>
          <w:color w:val="auto"/>
          <w:sz w:val="28"/>
          <w:szCs w:val="28"/>
          <w:highlight w:val="none"/>
          <w:lang w:val="en-US" w:eastAsia="zh-CN"/>
        </w:rPr>
        <w:t>366.99</w:t>
      </w:r>
      <w:r>
        <w:rPr>
          <w:rFonts w:hint="eastAsia" w:ascii="仿宋_GB2312" w:eastAsia="仿宋_GB2312"/>
          <w:color w:val="auto"/>
          <w:sz w:val="28"/>
          <w:szCs w:val="28"/>
          <w:highlight w:val="none"/>
        </w:rPr>
        <w:t>万元，比2022年度年初预算</w:t>
      </w:r>
      <w:r>
        <w:rPr>
          <w:rFonts w:hint="eastAsia" w:ascii="仿宋_GB2312" w:eastAsia="仿宋_GB2312"/>
          <w:color w:val="auto"/>
          <w:sz w:val="28"/>
          <w:szCs w:val="28"/>
          <w:highlight w:val="none"/>
          <w:lang w:val="en-US" w:eastAsia="zh-CN"/>
        </w:rPr>
        <w:t>减少97.30</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下降20.96</w:t>
      </w:r>
      <w:r>
        <w:rPr>
          <w:rFonts w:hint="eastAsia" w:ascii="仿宋_GB2312" w:eastAsia="仿宋_GB2312"/>
          <w:color w:val="auto"/>
          <w:sz w:val="28"/>
          <w:szCs w:val="28"/>
          <w:highlight w:val="none"/>
        </w:rPr>
        <w:t>%。主要原因：</w:t>
      </w:r>
      <w:r>
        <w:rPr>
          <w:rFonts w:hint="eastAsia" w:ascii="仿宋_GB2312" w:hAnsi="仿宋_GB2312" w:eastAsia="仿宋_GB2312" w:cs="仿宋_GB2312"/>
          <w:color w:val="auto"/>
          <w:sz w:val="28"/>
          <w:szCs w:val="28"/>
          <w:highlight w:val="none"/>
          <w:lang w:val="en-US" w:eastAsia="zh-CN"/>
        </w:rPr>
        <w:t>文旅项目</w:t>
      </w:r>
      <w:r>
        <w:rPr>
          <w:rFonts w:hint="eastAsia" w:ascii="仿宋_GB2312" w:hAnsi="仿宋_GB2312" w:eastAsia="仿宋_GB2312" w:cs="仿宋_GB2312"/>
          <w:color w:val="auto"/>
          <w:sz w:val="28"/>
          <w:szCs w:val="28"/>
          <w:highlight w:val="none"/>
          <w:lang w:eastAsia="zh-CN"/>
        </w:rPr>
        <w:t>支出</w:t>
      </w:r>
      <w:r>
        <w:rPr>
          <w:rFonts w:hint="eastAsia" w:ascii="仿宋_GB2312" w:hAnsi="仿宋_GB2312" w:eastAsia="仿宋_GB2312" w:cs="仿宋_GB2312"/>
          <w:color w:val="auto"/>
          <w:sz w:val="28"/>
          <w:szCs w:val="28"/>
          <w:highlight w:val="none"/>
          <w:lang w:val="en-US" w:eastAsia="zh-CN"/>
        </w:rPr>
        <w:t>减少</w:t>
      </w:r>
      <w:r>
        <w:rPr>
          <w:rFonts w:hint="eastAsia" w:ascii="仿宋_GB2312" w:hAnsi="仿宋_GB2312" w:eastAsia="仿宋_GB2312" w:cs="仿宋_GB2312"/>
          <w:color w:val="auto"/>
          <w:sz w:val="28"/>
          <w:szCs w:val="28"/>
          <w:highlight w:val="none"/>
          <w:lang w:eastAsia="zh-CN"/>
        </w:rPr>
        <w:t>。</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6</w:t>
      </w:r>
      <w:r>
        <w:rPr>
          <w:rFonts w:hint="eastAsia" w:ascii="仿宋_GB2312" w:eastAsia="仿宋_GB2312"/>
          <w:color w:val="auto"/>
          <w:sz w:val="28"/>
          <w:szCs w:val="28"/>
          <w:highlight w:val="none"/>
        </w:rPr>
        <w:t>、“社会保障和就业支出”(类) 2022年度决算</w:t>
      </w:r>
      <w:r>
        <w:rPr>
          <w:rFonts w:hint="eastAsia" w:ascii="仿宋_GB2312" w:eastAsia="仿宋_GB2312"/>
          <w:color w:val="auto"/>
          <w:sz w:val="28"/>
          <w:szCs w:val="28"/>
          <w:highlight w:val="none"/>
          <w:lang w:val="en-US" w:eastAsia="zh-CN"/>
        </w:rPr>
        <w:t>2227.50</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211.56</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10.49</w:t>
      </w:r>
      <w:r>
        <w:rPr>
          <w:rFonts w:hint="eastAsia" w:ascii="仿宋_GB2312" w:eastAsia="仿宋_GB2312"/>
          <w:color w:val="auto"/>
          <w:sz w:val="28"/>
          <w:szCs w:val="28"/>
          <w:highlight w:val="none"/>
        </w:rPr>
        <w:t>%。其中：</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“人力资源和社会保障管理事务”（款）2022年度决算</w:t>
      </w:r>
      <w:r>
        <w:rPr>
          <w:rFonts w:hint="eastAsia" w:ascii="仿宋_GB2312" w:eastAsia="仿宋_GB2312"/>
          <w:color w:val="auto"/>
          <w:sz w:val="28"/>
          <w:szCs w:val="28"/>
          <w:highlight w:val="none"/>
          <w:lang w:val="en-US" w:eastAsia="zh-CN"/>
        </w:rPr>
        <w:t>3.10</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减少1.90</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下降38.08</w:t>
      </w:r>
      <w:r>
        <w:rPr>
          <w:rFonts w:hint="eastAsia" w:ascii="仿宋_GB2312" w:hAnsi="仿宋_GB2312" w:eastAsia="仿宋_GB2312" w:cs="仿宋_GB2312"/>
          <w:color w:val="auto"/>
          <w:sz w:val="28"/>
          <w:szCs w:val="28"/>
          <w:highlight w:val="none"/>
          <w:lang w:eastAsia="zh-CN"/>
        </w:rPr>
        <w:t>%。主要原因：社保所建设等项目</w:t>
      </w:r>
      <w:r>
        <w:rPr>
          <w:rFonts w:hint="eastAsia" w:ascii="仿宋_GB2312" w:hAnsi="仿宋_GB2312" w:eastAsia="仿宋_GB2312" w:cs="仿宋_GB2312"/>
          <w:color w:val="auto"/>
          <w:sz w:val="28"/>
          <w:szCs w:val="28"/>
          <w:highlight w:val="none"/>
          <w:lang w:val="en-US" w:eastAsia="zh-CN"/>
        </w:rPr>
        <w:t>减少</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“民政管理事务”（款）2022年度决算</w:t>
      </w:r>
      <w:r>
        <w:rPr>
          <w:rFonts w:hint="eastAsia" w:ascii="仿宋_GB2312" w:eastAsia="仿宋_GB2312"/>
          <w:color w:val="auto"/>
          <w:sz w:val="28"/>
          <w:szCs w:val="28"/>
          <w:highlight w:val="none"/>
          <w:lang w:val="en-US" w:eastAsia="zh-CN"/>
        </w:rPr>
        <w:t>158.94</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增加30.44</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增长23.69</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民政管理事务与退役安置科目之间调整</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“行政事业单位养老支出”（款）</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年度决算</w:t>
      </w:r>
      <w:r>
        <w:rPr>
          <w:rFonts w:hint="eastAsia" w:ascii="仿宋_GB2312" w:hAnsi="仿宋_GB2312" w:eastAsia="仿宋_GB2312" w:cs="仿宋_GB2312"/>
          <w:color w:val="auto"/>
          <w:sz w:val="28"/>
          <w:szCs w:val="28"/>
          <w:highlight w:val="none"/>
          <w:lang w:val="en-US" w:eastAsia="zh-CN"/>
        </w:rPr>
        <w:t>1420.73</w:t>
      </w:r>
      <w:r>
        <w:rPr>
          <w:rFonts w:hint="eastAsia" w:ascii="仿宋_GB2312" w:hAnsi="仿宋_GB2312" w:eastAsia="仿宋_GB2312" w:cs="仿宋_GB2312"/>
          <w:color w:val="auto"/>
          <w:sz w:val="28"/>
          <w:szCs w:val="28"/>
          <w:highlight w:val="none"/>
          <w:lang w:eastAsia="zh-CN"/>
        </w:rPr>
        <w:t>万元，比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增加313.49</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增长28.31</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人员支出增加</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“就业补助”（款）2022年度决算</w:t>
      </w:r>
      <w:r>
        <w:rPr>
          <w:rFonts w:hint="eastAsia" w:ascii="仿宋_GB2312" w:eastAsia="仿宋_GB2312"/>
          <w:color w:val="auto"/>
          <w:sz w:val="28"/>
          <w:szCs w:val="28"/>
          <w:highlight w:val="none"/>
          <w:lang w:val="en-US" w:eastAsia="zh-CN"/>
        </w:rPr>
        <w:t>101.45</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减少54.85</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下降35.093</w:t>
      </w:r>
      <w:r>
        <w:rPr>
          <w:rFonts w:hint="eastAsia" w:ascii="仿宋_GB2312" w:hAnsi="仿宋_GB2312" w:eastAsia="仿宋_GB2312" w:cs="仿宋_GB2312"/>
          <w:color w:val="auto"/>
          <w:sz w:val="28"/>
          <w:szCs w:val="28"/>
          <w:highlight w:val="none"/>
          <w:lang w:eastAsia="zh-CN"/>
        </w:rPr>
        <w:t>%。主要原因：绿色就业补贴、职业技能培训等项目</w:t>
      </w:r>
      <w:r>
        <w:rPr>
          <w:rFonts w:hint="eastAsia" w:ascii="仿宋_GB2312" w:hAnsi="仿宋_GB2312" w:eastAsia="仿宋_GB2312" w:cs="仿宋_GB2312"/>
          <w:color w:val="auto"/>
          <w:sz w:val="28"/>
          <w:szCs w:val="28"/>
          <w:highlight w:val="none"/>
          <w:lang w:val="en-US" w:eastAsia="zh-CN"/>
        </w:rPr>
        <w:t>减少</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“抚恤”（款）2022年度决算</w:t>
      </w:r>
      <w:r>
        <w:rPr>
          <w:rFonts w:hint="eastAsia" w:ascii="仿宋_GB2312" w:eastAsia="仿宋_GB2312"/>
          <w:color w:val="auto"/>
          <w:sz w:val="28"/>
          <w:szCs w:val="28"/>
          <w:highlight w:val="none"/>
          <w:lang w:val="en-US" w:eastAsia="zh-CN"/>
        </w:rPr>
        <w:t>114.56</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增加69.06</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增长151.77</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专项</w:t>
      </w:r>
      <w:r>
        <w:rPr>
          <w:rFonts w:hint="eastAsia" w:ascii="仿宋_GB2312" w:hAnsi="仿宋_GB2312" w:eastAsia="仿宋_GB2312" w:cs="仿宋_GB2312"/>
          <w:color w:val="auto"/>
          <w:sz w:val="28"/>
          <w:szCs w:val="28"/>
          <w:highlight w:val="none"/>
          <w:lang w:eastAsia="zh-CN"/>
        </w:rPr>
        <w:t>项目</w:t>
      </w:r>
      <w:r>
        <w:rPr>
          <w:rFonts w:hint="eastAsia" w:ascii="仿宋_GB2312" w:hAnsi="仿宋_GB2312" w:eastAsia="仿宋_GB2312" w:cs="仿宋_GB2312"/>
          <w:color w:val="auto"/>
          <w:sz w:val="28"/>
          <w:szCs w:val="28"/>
          <w:highlight w:val="none"/>
          <w:lang w:val="en-US" w:eastAsia="zh-CN"/>
        </w:rPr>
        <w:t>增加</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“退役安置”（款）2022年度决算</w:t>
      </w:r>
      <w:r>
        <w:rPr>
          <w:rFonts w:hint="eastAsia" w:ascii="仿宋_GB2312" w:eastAsia="仿宋_GB2312"/>
          <w:color w:val="auto"/>
          <w:sz w:val="28"/>
          <w:szCs w:val="28"/>
          <w:highlight w:val="none"/>
          <w:lang w:val="en-US" w:eastAsia="zh-CN"/>
        </w:rPr>
        <w:t>85.34</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减少48.16</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下降36.07</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民政管理事务与退役安置科目之间调整</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“社会福利”（款）2022年度决算</w:t>
      </w:r>
      <w:r>
        <w:rPr>
          <w:rFonts w:hint="eastAsia" w:ascii="仿宋_GB2312" w:eastAsia="仿宋_GB2312"/>
          <w:color w:val="auto"/>
          <w:sz w:val="28"/>
          <w:szCs w:val="28"/>
          <w:highlight w:val="none"/>
          <w:lang w:val="en-US" w:eastAsia="zh-CN"/>
        </w:rPr>
        <w:t>58.80</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减少6.20</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下降9.53</w:t>
      </w:r>
      <w:r>
        <w:rPr>
          <w:rFonts w:hint="eastAsia" w:ascii="仿宋_GB2312" w:hAnsi="仿宋_GB2312" w:eastAsia="仿宋_GB2312" w:cs="仿宋_GB2312"/>
          <w:color w:val="auto"/>
          <w:sz w:val="28"/>
          <w:szCs w:val="28"/>
          <w:highlight w:val="none"/>
          <w:lang w:eastAsia="zh-CN"/>
        </w:rPr>
        <w:t>%。主要原因：老龄业务经费</w:t>
      </w:r>
      <w:r>
        <w:rPr>
          <w:rFonts w:hint="eastAsia" w:ascii="仿宋_GB2312" w:hAnsi="仿宋_GB2312" w:eastAsia="仿宋_GB2312" w:cs="仿宋_GB2312"/>
          <w:color w:val="auto"/>
          <w:sz w:val="28"/>
          <w:szCs w:val="28"/>
          <w:highlight w:val="none"/>
          <w:lang w:val="en-US" w:eastAsia="zh-CN"/>
        </w:rPr>
        <w:t>减少</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“残疾人事业”（款）2022年度决算</w:t>
      </w:r>
      <w:r>
        <w:rPr>
          <w:rFonts w:hint="eastAsia" w:ascii="仿宋_GB2312" w:eastAsia="仿宋_GB2312"/>
          <w:color w:val="auto"/>
          <w:sz w:val="28"/>
          <w:szCs w:val="28"/>
          <w:highlight w:val="none"/>
          <w:lang w:val="en-US" w:eastAsia="zh-CN"/>
        </w:rPr>
        <w:t>123.78</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减少40.42</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下降24.61</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职康站运行经费减少</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“最低生活保障”（款）2022年度决算</w:t>
      </w:r>
      <w:r>
        <w:rPr>
          <w:rFonts w:hint="eastAsia" w:ascii="仿宋_GB2312" w:eastAsia="仿宋_GB2312"/>
          <w:color w:val="auto"/>
          <w:sz w:val="28"/>
          <w:szCs w:val="28"/>
          <w:highlight w:val="none"/>
          <w:lang w:val="en-US" w:eastAsia="zh-CN"/>
        </w:rPr>
        <w:t>69.35</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减少28.65</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下降29.23</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关于社救对象</w:t>
      </w:r>
      <w:r>
        <w:rPr>
          <w:rFonts w:hint="eastAsia" w:ascii="仿宋_GB2312" w:hAnsi="仿宋_GB2312" w:eastAsia="仿宋_GB2312" w:cs="仿宋_GB2312"/>
          <w:color w:val="auto"/>
          <w:sz w:val="28"/>
          <w:szCs w:val="28"/>
          <w:highlight w:val="none"/>
          <w:lang w:eastAsia="zh-CN"/>
        </w:rPr>
        <w:t>项目</w:t>
      </w:r>
      <w:r>
        <w:rPr>
          <w:rFonts w:hint="eastAsia" w:ascii="仿宋_GB2312" w:hAnsi="仿宋_GB2312" w:eastAsia="仿宋_GB2312" w:cs="仿宋_GB2312"/>
          <w:color w:val="auto"/>
          <w:sz w:val="28"/>
          <w:szCs w:val="28"/>
          <w:highlight w:val="none"/>
          <w:lang w:val="en-US" w:eastAsia="zh-CN"/>
        </w:rPr>
        <w:t>经费减少</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“其他社会保障和就业支出”（款）2022年度决算</w:t>
      </w:r>
      <w:r>
        <w:rPr>
          <w:rFonts w:hint="eastAsia" w:ascii="仿宋_GB2312" w:eastAsia="仿宋_GB2312"/>
          <w:color w:val="auto"/>
          <w:sz w:val="28"/>
          <w:szCs w:val="28"/>
          <w:highlight w:val="none"/>
          <w:lang w:val="en-US" w:eastAsia="zh-CN"/>
        </w:rPr>
        <w:t>91.44</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增加48.74</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增长114.15</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专项</w:t>
      </w:r>
      <w:r>
        <w:rPr>
          <w:rFonts w:hint="eastAsia" w:ascii="仿宋_GB2312" w:hAnsi="仿宋_GB2312" w:eastAsia="仿宋_GB2312" w:cs="仿宋_GB2312"/>
          <w:color w:val="auto"/>
          <w:sz w:val="28"/>
          <w:szCs w:val="28"/>
          <w:highlight w:val="none"/>
          <w:lang w:eastAsia="zh-CN"/>
        </w:rPr>
        <w:t>等项目</w:t>
      </w:r>
      <w:r>
        <w:rPr>
          <w:rFonts w:hint="eastAsia" w:ascii="仿宋_GB2312" w:hAnsi="仿宋_GB2312" w:eastAsia="仿宋_GB2312" w:cs="仿宋_GB2312"/>
          <w:color w:val="auto"/>
          <w:sz w:val="28"/>
          <w:szCs w:val="28"/>
          <w:highlight w:val="none"/>
          <w:lang w:val="en-US" w:eastAsia="zh-CN"/>
        </w:rPr>
        <w:t>增加</w:t>
      </w:r>
      <w:r>
        <w:rPr>
          <w:rFonts w:hint="eastAsia" w:ascii="仿宋_GB2312" w:hAnsi="仿宋_GB2312" w:eastAsia="仿宋_GB2312" w:cs="仿宋_GB2312"/>
          <w:color w:val="auto"/>
          <w:sz w:val="28"/>
          <w:szCs w:val="28"/>
          <w:highlight w:val="none"/>
          <w:lang w:eastAsia="zh-CN"/>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“卫生健康支出”(类) 2022年度决算</w:t>
      </w:r>
      <w:r>
        <w:rPr>
          <w:rFonts w:hint="eastAsia" w:ascii="仿宋_GB2312" w:eastAsia="仿宋_GB2312"/>
          <w:color w:val="auto"/>
          <w:sz w:val="28"/>
          <w:szCs w:val="28"/>
          <w:highlight w:val="none"/>
          <w:lang w:val="en-US" w:eastAsia="zh-CN"/>
        </w:rPr>
        <w:t>10103.88</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5805.93</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135.09%</w:t>
      </w:r>
      <w:r>
        <w:rPr>
          <w:rFonts w:hint="eastAsia" w:ascii="仿宋_GB2312" w:eastAsia="仿宋_GB2312"/>
          <w:color w:val="auto"/>
          <w:sz w:val="28"/>
          <w:szCs w:val="28"/>
          <w:highlight w:val="none"/>
        </w:rPr>
        <w:t>。其中：</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“卫生健康管理事务”（款）2022年度决算</w:t>
      </w:r>
      <w:r>
        <w:rPr>
          <w:rFonts w:hint="eastAsia" w:ascii="仿宋_GB2312" w:eastAsia="仿宋_GB2312"/>
          <w:color w:val="auto"/>
          <w:sz w:val="28"/>
          <w:szCs w:val="28"/>
          <w:highlight w:val="none"/>
          <w:lang w:val="en-US" w:eastAsia="zh-CN"/>
        </w:rPr>
        <w:t>15.00</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减少97.99</w:t>
      </w:r>
      <w:r>
        <w:rPr>
          <w:rFonts w:hint="eastAsia" w:ascii="仿宋_GB2312" w:hAnsi="仿宋_GB2312" w:eastAsia="仿宋_GB2312" w:cs="仿宋_GB2312"/>
          <w:color w:val="auto"/>
          <w:sz w:val="28"/>
          <w:szCs w:val="28"/>
          <w:highlight w:val="none"/>
          <w:lang w:eastAsia="zh-CN"/>
        </w:rPr>
        <w:t>元，</w:t>
      </w:r>
      <w:r>
        <w:rPr>
          <w:rFonts w:hint="eastAsia" w:ascii="仿宋_GB2312" w:hAnsi="仿宋_GB2312" w:eastAsia="仿宋_GB2312" w:cs="仿宋_GB2312"/>
          <w:color w:val="auto"/>
          <w:sz w:val="28"/>
          <w:szCs w:val="28"/>
          <w:highlight w:val="none"/>
          <w:lang w:val="en-US" w:eastAsia="zh-CN"/>
        </w:rPr>
        <w:t>下降86.720</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市场运维经费的减少</w:t>
      </w:r>
      <w:r>
        <w:rPr>
          <w:rFonts w:hint="eastAsia" w:ascii="仿宋_GB2312" w:hAnsi="仿宋_GB2312" w:eastAsia="仿宋_GB2312" w:cs="仿宋_GB2312"/>
          <w:color w:val="auto"/>
          <w:sz w:val="28"/>
          <w:szCs w:val="28"/>
          <w:highlight w:val="none"/>
          <w:lang w:eastAsia="zh-CN"/>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“基层医疗卫生机构”（款）2022年度决算</w:t>
      </w:r>
      <w:r>
        <w:rPr>
          <w:rFonts w:hint="eastAsia" w:ascii="仿宋_GB2312" w:eastAsia="仿宋_GB2312"/>
          <w:color w:val="auto"/>
          <w:sz w:val="28"/>
          <w:szCs w:val="28"/>
          <w:highlight w:val="none"/>
          <w:lang w:val="en-US" w:eastAsia="zh-CN"/>
        </w:rPr>
        <w:t>2176.21</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412.55</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23.39</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在编在职人员调整，及补发2021年度绩效工资</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“公共卫生”（款）2022年度决算</w:t>
      </w:r>
      <w:r>
        <w:rPr>
          <w:rFonts w:hint="eastAsia" w:ascii="仿宋_GB2312" w:eastAsia="仿宋_GB2312"/>
          <w:color w:val="auto"/>
          <w:sz w:val="28"/>
          <w:szCs w:val="28"/>
          <w:highlight w:val="none"/>
          <w:lang w:val="en-US" w:eastAsia="zh-CN"/>
        </w:rPr>
        <w:t>5796.03</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4576.03</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375.08</w:t>
      </w:r>
      <w:r>
        <w:rPr>
          <w:rFonts w:hint="eastAsia" w:ascii="仿宋_GB2312" w:eastAsia="仿宋_GB2312"/>
          <w:color w:val="auto"/>
          <w:sz w:val="28"/>
          <w:szCs w:val="28"/>
          <w:highlight w:val="none"/>
        </w:rPr>
        <w:t>%。主要原因：</w:t>
      </w:r>
      <w:r>
        <w:rPr>
          <w:rFonts w:hint="eastAsia" w:ascii="仿宋_GB2312" w:hAnsi="仿宋_GB2312" w:eastAsia="仿宋_GB2312" w:cs="仿宋_GB2312"/>
          <w:color w:val="auto"/>
          <w:sz w:val="28"/>
          <w:szCs w:val="28"/>
          <w:highlight w:val="none"/>
          <w:lang w:eastAsia="zh-CN"/>
        </w:rPr>
        <w:t>防疫专项资金增加。</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“中医药”（款）2022年度决算</w:t>
      </w:r>
      <w:r>
        <w:rPr>
          <w:rFonts w:hint="eastAsia" w:ascii="仿宋_GB2312" w:eastAsia="仿宋_GB2312"/>
          <w:color w:val="auto"/>
          <w:sz w:val="28"/>
          <w:szCs w:val="28"/>
          <w:highlight w:val="none"/>
          <w:lang w:val="en-US" w:eastAsia="zh-CN"/>
        </w:rPr>
        <w:t>1.15</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1.15</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专项增加</w:t>
      </w:r>
      <w:r>
        <w:rPr>
          <w:rFonts w:hint="eastAsia" w:ascii="仿宋_GB2312" w:eastAsia="仿宋_GB2312"/>
          <w:color w:val="auto"/>
          <w:sz w:val="28"/>
          <w:szCs w:val="28"/>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“计划生育事务”（款）2022年度决算</w:t>
      </w:r>
      <w:r>
        <w:rPr>
          <w:rFonts w:hint="eastAsia" w:ascii="仿宋_GB2312" w:eastAsia="仿宋_GB2312"/>
          <w:color w:val="auto"/>
          <w:sz w:val="28"/>
          <w:szCs w:val="28"/>
          <w:highlight w:val="none"/>
          <w:lang w:val="en-US" w:eastAsia="zh-CN"/>
        </w:rPr>
        <w:t>382.16</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288.23</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306.858</w:t>
      </w:r>
      <w:r>
        <w:rPr>
          <w:rFonts w:hint="eastAsia" w:ascii="仿宋_GB2312" w:hAnsi="仿宋_GB2312" w:eastAsia="仿宋_GB2312" w:cs="仿宋_GB2312"/>
          <w:color w:val="auto"/>
          <w:sz w:val="28"/>
          <w:szCs w:val="28"/>
          <w:highlight w:val="none"/>
          <w:lang w:eastAsia="zh-CN"/>
        </w:rPr>
        <w:t>%。主要原因：专项资金增加。</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“行政事业单位医疗”（款）2022年度决算</w:t>
      </w:r>
      <w:r>
        <w:rPr>
          <w:rFonts w:hint="eastAsia" w:ascii="仿宋_GB2312" w:eastAsia="仿宋_GB2312"/>
          <w:color w:val="auto"/>
          <w:sz w:val="28"/>
          <w:szCs w:val="28"/>
          <w:highlight w:val="none"/>
          <w:lang w:val="en-US" w:eastAsia="zh-CN"/>
        </w:rPr>
        <w:t>883.16</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328.83</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59.32</w:t>
      </w:r>
      <w:r>
        <w:rPr>
          <w:rFonts w:hint="eastAsia" w:ascii="仿宋_GB2312" w:eastAsia="仿宋_GB2312"/>
          <w:color w:val="auto"/>
          <w:sz w:val="28"/>
          <w:szCs w:val="28"/>
          <w:highlight w:val="none"/>
        </w:rPr>
        <w:t>%。主要原因：</w:t>
      </w:r>
      <w:r>
        <w:rPr>
          <w:rFonts w:hint="eastAsia" w:ascii="仿宋_GB2312" w:hAnsi="仿宋_GB2312" w:eastAsia="仿宋_GB2312" w:cs="仿宋_GB2312"/>
          <w:color w:val="auto"/>
          <w:sz w:val="28"/>
          <w:szCs w:val="28"/>
          <w:highlight w:val="none"/>
          <w:lang w:eastAsia="zh-CN"/>
        </w:rPr>
        <w:t>人员增加，医疗支出增加。</w:t>
      </w:r>
      <w:r>
        <w:rPr>
          <w:rFonts w:hint="eastAsia" w:ascii="仿宋_GB2312" w:eastAsia="仿宋_GB2312"/>
          <w:color w:val="auto"/>
          <w:sz w:val="28"/>
          <w:szCs w:val="28"/>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“医疗救助”（款）2022年度决算</w:t>
      </w:r>
      <w:r>
        <w:rPr>
          <w:rFonts w:hint="eastAsia" w:ascii="仿宋_GB2312" w:eastAsia="仿宋_GB2312"/>
          <w:color w:val="auto"/>
          <w:sz w:val="28"/>
          <w:szCs w:val="28"/>
          <w:highlight w:val="none"/>
          <w:lang w:val="en-US" w:eastAsia="zh-CN"/>
        </w:rPr>
        <w:t>208.24</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增加208.24</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eastAsia="zh-CN"/>
        </w:rPr>
        <w:t>%。主要原因：专项资金增加。</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“优抚对象医疗”（款）2022年度决算</w:t>
      </w:r>
      <w:r>
        <w:rPr>
          <w:rFonts w:hint="eastAsia" w:ascii="仿宋_GB2312" w:eastAsia="仿宋_GB2312"/>
          <w:color w:val="auto"/>
          <w:sz w:val="28"/>
          <w:szCs w:val="28"/>
          <w:highlight w:val="none"/>
          <w:lang w:val="en-US" w:eastAsia="zh-CN"/>
        </w:rPr>
        <w:t>10.5</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增加10.5</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eastAsia="zh-CN"/>
        </w:rPr>
        <w:t>%。主要原因：专项资金增加。</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“其他卫生健康支出”（款）2022年度决算</w:t>
      </w:r>
      <w:r>
        <w:rPr>
          <w:rFonts w:hint="eastAsia" w:ascii="仿宋_GB2312" w:eastAsia="仿宋_GB2312"/>
          <w:color w:val="auto"/>
          <w:sz w:val="28"/>
          <w:szCs w:val="28"/>
          <w:highlight w:val="none"/>
          <w:lang w:val="en-US" w:eastAsia="zh-CN"/>
        </w:rPr>
        <w:t>631.43</w:t>
      </w:r>
      <w:r>
        <w:rPr>
          <w:rFonts w:hint="eastAsia" w:ascii="仿宋_GB2312" w:eastAsia="仿宋_GB2312"/>
          <w:color w:val="auto"/>
          <w:sz w:val="28"/>
          <w:szCs w:val="28"/>
          <w:highlight w:val="none"/>
        </w:rPr>
        <w:t>万元，比2022年度年初预算减少</w:t>
      </w:r>
      <w:r>
        <w:rPr>
          <w:rFonts w:hint="eastAsia" w:ascii="仿宋_GB2312" w:eastAsia="仿宋_GB2312"/>
          <w:color w:val="auto"/>
          <w:sz w:val="28"/>
          <w:szCs w:val="28"/>
          <w:highlight w:val="none"/>
          <w:lang w:val="en-US" w:eastAsia="zh-CN"/>
        </w:rPr>
        <w:t>34.6</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5.19</w:t>
      </w:r>
      <w:r>
        <w:rPr>
          <w:rFonts w:hint="eastAsia" w:ascii="仿宋_GB2312" w:eastAsia="仿宋_GB2312"/>
          <w:color w:val="auto"/>
          <w:sz w:val="28"/>
          <w:szCs w:val="28"/>
          <w:highlight w:val="none"/>
        </w:rPr>
        <w:t>%。主要原因：</w:t>
      </w:r>
      <w:r>
        <w:rPr>
          <w:rFonts w:hint="eastAsia" w:ascii="仿宋_GB2312" w:hAnsi="仿宋_GB2312" w:eastAsia="仿宋_GB2312" w:cs="仿宋_GB2312"/>
          <w:color w:val="auto"/>
          <w:sz w:val="28"/>
          <w:szCs w:val="28"/>
          <w:highlight w:val="none"/>
          <w:lang w:eastAsia="zh-CN"/>
        </w:rPr>
        <w:t>爱卫经费</w:t>
      </w:r>
      <w:r>
        <w:rPr>
          <w:rFonts w:hint="eastAsia" w:ascii="仿宋_GB2312" w:hAnsi="仿宋_GB2312" w:eastAsia="仿宋_GB2312" w:cs="仿宋_GB2312"/>
          <w:color w:val="auto"/>
          <w:sz w:val="28"/>
          <w:szCs w:val="28"/>
          <w:highlight w:val="none"/>
          <w:lang w:val="en-US" w:eastAsia="zh-CN"/>
        </w:rPr>
        <w:t>减少</w:t>
      </w:r>
      <w:r>
        <w:rPr>
          <w:rFonts w:hint="eastAsia" w:ascii="仿宋_GB2312" w:hAnsi="仿宋_GB2312" w:eastAsia="仿宋_GB2312" w:cs="仿宋_GB2312"/>
          <w:color w:val="auto"/>
          <w:sz w:val="28"/>
          <w:szCs w:val="28"/>
          <w:highlight w:val="none"/>
          <w:lang w:eastAsia="zh-CN"/>
        </w:rPr>
        <w:t>。</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“节能环保支出”(类) 2022年度决算</w:t>
      </w:r>
      <w:r>
        <w:rPr>
          <w:rFonts w:hint="eastAsia" w:ascii="仿宋_GB2312" w:eastAsia="仿宋_GB2312"/>
          <w:color w:val="auto"/>
          <w:sz w:val="28"/>
          <w:szCs w:val="28"/>
          <w:highlight w:val="none"/>
          <w:lang w:val="en-US" w:eastAsia="zh-CN"/>
        </w:rPr>
        <w:t>750.83</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rPr>
        <w:t>比2022年度年初预算增加750.83万元，增长</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rPr>
        <w:t>其中：</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“污染防治”（款）2022年度决算</w:t>
      </w:r>
      <w:r>
        <w:rPr>
          <w:rFonts w:hint="eastAsia" w:ascii="仿宋_GB2312" w:eastAsia="仿宋_GB2312"/>
          <w:color w:val="auto"/>
          <w:sz w:val="28"/>
          <w:szCs w:val="28"/>
          <w:highlight w:val="none"/>
          <w:lang w:val="en-US" w:eastAsia="zh-CN"/>
        </w:rPr>
        <w:t>750.83</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比202</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750.83</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eastAsia="zh-CN"/>
        </w:rPr>
        <w:t>%。主要原因：专项资金增加。</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“城乡社区支出”(类) 2022年度决算</w:t>
      </w:r>
      <w:r>
        <w:rPr>
          <w:rFonts w:hint="eastAsia" w:ascii="仿宋_GB2312" w:eastAsia="仿宋_GB2312"/>
          <w:color w:val="auto"/>
          <w:sz w:val="28"/>
          <w:szCs w:val="28"/>
          <w:highlight w:val="none"/>
          <w:lang w:val="en-US" w:eastAsia="zh-CN"/>
        </w:rPr>
        <w:t>11635.65</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rPr>
        <w:t>比2022年度年初预算</w:t>
      </w:r>
      <w:r>
        <w:rPr>
          <w:rFonts w:hint="eastAsia" w:ascii="仿宋_GB2312" w:eastAsia="仿宋_GB2312"/>
          <w:color w:val="auto"/>
          <w:sz w:val="28"/>
          <w:szCs w:val="28"/>
          <w:highlight w:val="none"/>
          <w:lang w:val="en-US" w:eastAsia="zh-CN"/>
        </w:rPr>
        <w:t>增加1658.39</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lang w:val="en-US" w:eastAsia="zh-CN"/>
        </w:rPr>
        <w:t>增长14.253</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rPr>
        <w:t>其中：</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“城乡社区管理事务”（款）2022年度决算</w:t>
      </w:r>
      <w:r>
        <w:rPr>
          <w:rFonts w:hint="eastAsia" w:ascii="仿宋_GB2312" w:eastAsia="仿宋_GB2312"/>
          <w:color w:val="auto"/>
          <w:sz w:val="28"/>
          <w:szCs w:val="28"/>
          <w:highlight w:val="none"/>
          <w:lang w:val="en-US" w:eastAsia="zh-CN"/>
        </w:rPr>
        <w:t>8715.73</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减少14.52</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下降0.166</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专项资金增加</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“城乡社区规划与管理”（款）2022年度决算</w:t>
      </w:r>
      <w:r>
        <w:rPr>
          <w:rFonts w:hint="eastAsia" w:ascii="仿宋_GB2312" w:eastAsia="仿宋_GB2312"/>
          <w:color w:val="auto"/>
          <w:sz w:val="28"/>
          <w:szCs w:val="28"/>
          <w:highlight w:val="none"/>
          <w:lang w:val="en-US" w:eastAsia="zh-CN"/>
        </w:rPr>
        <w:t>35.20</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35.20</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eastAsia="zh-CN"/>
        </w:rPr>
        <w:t>%。主要原因：专项资金增加。</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“城乡社区公共设施”（款）2022年度决算</w:t>
      </w:r>
      <w:r>
        <w:rPr>
          <w:rFonts w:hint="eastAsia" w:ascii="仿宋_GB2312" w:eastAsia="仿宋_GB2312"/>
          <w:color w:val="auto"/>
          <w:sz w:val="28"/>
          <w:szCs w:val="28"/>
          <w:highlight w:val="none"/>
          <w:lang w:val="en-US" w:eastAsia="zh-CN"/>
        </w:rPr>
        <w:t>1342.03</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1342.03</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eastAsia="zh-CN"/>
        </w:rPr>
        <w:t>%。主要原因：专项资金增加。</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“城乡社区环境卫生”（款）2022年度决算</w:t>
      </w:r>
      <w:r>
        <w:rPr>
          <w:rFonts w:hint="eastAsia" w:ascii="仿宋_GB2312" w:eastAsia="仿宋_GB2312"/>
          <w:color w:val="auto"/>
          <w:sz w:val="28"/>
          <w:szCs w:val="28"/>
          <w:highlight w:val="none"/>
          <w:lang w:val="en-US" w:eastAsia="zh-CN"/>
        </w:rPr>
        <w:t>1542.68</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增加295.68万</w:t>
      </w:r>
      <w:r>
        <w:rPr>
          <w:rFonts w:hint="eastAsia" w:ascii="仿宋_GB2312" w:hAnsi="仿宋_GB2312" w:eastAsia="仿宋_GB2312" w:cs="仿宋_GB2312"/>
          <w:color w:val="auto"/>
          <w:sz w:val="28"/>
          <w:szCs w:val="28"/>
          <w:highlight w:val="none"/>
          <w:lang w:eastAsia="zh-CN"/>
        </w:rPr>
        <w:t>元，增长</w:t>
      </w:r>
      <w:r>
        <w:rPr>
          <w:rFonts w:hint="eastAsia" w:ascii="仿宋_GB2312" w:hAnsi="仿宋_GB2312" w:eastAsia="仿宋_GB2312" w:cs="仿宋_GB2312"/>
          <w:color w:val="auto"/>
          <w:sz w:val="28"/>
          <w:szCs w:val="28"/>
          <w:highlight w:val="none"/>
          <w:lang w:val="en-US" w:eastAsia="zh-CN"/>
        </w:rPr>
        <w:t>23.712</w:t>
      </w:r>
      <w:r>
        <w:rPr>
          <w:rFonts w:hint="eastAsia" w:ascii="仿宋_GB2312" w:hAnsi="仿宋_GB2312" w:eastAsia="仿宋_GB2312" w:cs="仿宋_GB2312"/>
          <w:color w:val="auto"/>
          <w:sz w:val="28"/>
          <w:szCs w:val="28"/>
          <w:highlight w:val="none"/>
          <w:lang w:eastAsia="zh-CN"/>
        </w:rPr>
        <w:t>%。主要原因：专项支出增加。</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lang w:val="en-US" w:eastAsia="zh-CN"/>
        </w:rPr>
        <w:t>10</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“农林水支出”(类) 2022年度决算</w:t>
      </w:r>
      <w:r>
        <w:rPr>
          <w:rFonts w:hint="eastAsia" w:ascii="仿宋_GB2312" w:eastAsia="仿宋_GB2312"/>
          <w:color w:val="auto"/>
          <w:sz w:val="28"/>
          <w:szCs w:val="28"/>
          <w:highlight w:val="none"/>
          <w:lang w:val="en-US" w:eastAsia="zh-CN"/>
        </w:rPr>
        <w:t>27723.84</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rPr>
        <w:t>比2022年度年初预算增加</w:t>
      </w:r>
      <w:r>
        <w:rPr>
          <w:rFonts w:hint="eastAsia" w:ascii="仿宋_GB2312" w:eastAsia="仿宋_GB2312"/>
          <w:color w:val="auto"/>
          <w:sz w:val="28"/>
          <w:szCs w:val="28"/>
          <w:highlight w:val="none"/>
          <w:lang w:val="en-US" w:eastAsia="zh-CN"/>
        </w:rPr>
        <w:t>10012.10</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56.528</w:t>
      </w:r>
      <w:r>
        <w:rPr>
          <w:rFonts w:hint="eastAsia" w:ascii="仿宋_GB2312" w:eastAsia="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其中：</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“农业农村”（款）2022年度决算</w:t>
      </w:r>
      <w:r>
        <w:rPr>
          <w:rFonts w:hint="eastAsia" w:ascii="仿宋_GB2312" w:eastAsia="仿宋_GB2312"/>
          <w:color w:val="auto"/>
          <w:sz w:val="28"/>
          <w:szCs w:val="28"/>
          <w:highlight w:val="none"/>
          <w:lang w:val="en-US" w:eastAsia="zh-CN"/>
        </w:rPr>
        <w:t>12963.02</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8838.43</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214.286</w:t>
      </w:r>
      <w:r>
        <w:rPr>
          <w:rFonts w:hint="eastAsia" w:ascii="仿宋_GB2312" w:hAnsi="仿宋_GB2312" w:eastAsia="仿宋_GB2312" w:cs="仿宋_GB2312"/>
          <w:color w:val="auto"/>
          <w:sz w:val="28"/>
          <w:szCs w:val="28"/>
          <w:highlight w:val="none"/>
          <w:lang w:eastAsia="zh-CN"/>
        </w:rPr>
        <w:t>%。主要原因：专项资金增加。</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“林业和草原”（款）2022年度决算</w:t>
      </w:r>
      <w:r>
        <w:rPr>
          <w:rFonts w:hint="eastAsia" w:ascii="仿宋_GB2312" w:eastAsia="仿宋_GB2312"/>
          <w:color w:val="auto"/>
          <w:sz w:val="28"/>
          <w:szCs w:val="28"/>
          <w:highlight w:val="none"/>
          <w:lang w:val="en-US" w:eastAsia="zh-CN"/>
        </w:rPr>
        <w:t>11528.15</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915.40</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8.625</w:t>
      </w:r>
      <w:r>
        <w:rPr>
          <w:rFonts w:hint="eastAsia" w:ascii="仿宋_GB2312" w:hAnsi="仿宋_GB2312" w:eastAsia="仿宋_GB2312" w:cs="仿宋_GB2312"/>
          <w:color w:val="auto"/>
          <w:sz w:val="28"/>
          <w:szCs w:val="28"/>
          <w:highlight w:val="none"/>
          <w:lang w:eastAsia="zh-CN"/>
        </w:rPr>
        <w:t>%。主要原因：专项资金增加。</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“水利”（款）2022年度决算</w:t>
      </w:r>
      <w:r>
        <w:rPr>
          <w:rFonts w:hint="eastAsia" w:ascii="仿宋_GB2312" w:eastAsia="仿宋_GB2312"/>
          <w:color w:val="auto"/>
          <w:sz w:val="28"/>
          <w:szCs w:val="28"/>
          <w:highlight w:val="none"/>
          <w:lang w:val="en-US" w:eastAsia="zh-CN"/>
        </w:rPr>
        <w:t>286.02</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39.82</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16.174</w:t>
      </w:r>
      <w:r>
        <w:rPr>
          <w:rFonts w:hint="eastAsia" w:ascii="仿宋_GB2312" w:hAnsi="仿宋_GB2312" w:eastAsia="仿宋_GB2312" w:cs="仿宋_GB2312"/>
          <w:color w:val="auto"/>
          <w:sz w:val="28"/>
          <w:szCs w:val="28"/>
          <w:highlight w:val="none"/>
          <w:lang w:eastAsia="zh-CN"/>
        </w:rPr>
        <w:t>%。主要原因：专项资金增加。</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val="en-US" w:eastAsia="zh-CN"/>
        </w:rPr>
      </w:pPr>
      <w:r>
        <w:rPr>
          <w:rFonts w:hint="eastAsia" w:ascii="仿宋_GB2312" w:eastAsia="仿宋_GB2312"/>
          <w:color w:val="auto"/>
          <w:sz w:val="28"/>
          <w:szCs w:val="28"/>
          <w:highlight w:val="none"/>
        </w:rPr>
        <w:t>“巩固脱贫衔接乡村振兴”（款）2022年度决算</w:t>
      </w:r>
      <w:r>
        <w:rPr>
          <w:rFonts w:hint="eastAsia" w:ascii="仿宋_GB2312" w:eastAsia="仿宋_GB2312"/>
          <w:color w:val="auto"/>
          <w:sz w:val="28"/>
          <w:szCs w:val="28"/>
          <w:highlight w:val="none"/>
          <w:lang w:val="en-US" w:eastAsia="zh-CN"/>
        </w:rPr>
        <w:t>75.52</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val="en-US" w:eastAsia="zh-CN"/>
        </w:rPr>
        <w:t>与</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持平。</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“农村综合改革”（款）2022年度决算</w:t>
      </w:r>
      <w:r>
        <w:rPr>
          <w:rFonts w:hint="eastAsia" w:ascii="仿宋_GB2312" w:eastAsia="仿宋_GB2312"/>
          <w:color w:val="auto"/>
          <w:sz w:val="28"/>
          <w:szCs w:val="28"/>
          <w:highlight w:val="none"/>
          <w:lang w:val="en-US" w:eastAsia="zh-CN"/>
        </w:rPr>
        <w:t>2863.09</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243.42</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9.292</w:t>
      </w:r>
      <w:r>
        <w:rPr>
          <w:rFonts w:hint="eastAsia" w:ascii="仿宋_GB2312" w:hAnsi="仿宋_GB2312" w:eastAsia="仿宋_GB2312" w:cs="仿宋_GB2312"/>
          <w:color w:val="auto"/>
          <w:sz w:val="28"/>
          <w:szCs w:val="28"/>
          <w:highlight w:val="none"/>
          <w:lang w:eastAsia="zh-CN"/>
        </w:rPr>
        <w:t>%。主要原因：专项资金增加。</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“普惠金融发展支出”（款）2022年度决算</w:t>
      </w:r>
      <w:r>
        <w:rPr>
          <w:rFonts w:hint="eastAsia" w:ascii="仿宋_GB2312" w:eastAsia="仿宋_GB2312"/>
          <w:color w:val="auto"/>
          <w:sz w:val="28"/>
          <w:szCs w:val="28"/>
          <w:highlight w:val="none"/>
          <w:lang w:val="en-US" w:eastAsia="zh-CN"/>
        </w:rPr>
        <w:t>8.04</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8.04</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eastAsia="zh-CN"/>
        </w:rPr>
        <w:t>%。主要原因：专项资金增加。</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hAnsi="仿宋_GB2312" w:eastAsia="仿宋_GB2312" w:cs="仿宋_GB2312"/>
          <w:color w:val="auto"/>
          <w:sz w:val="28"/>
          <w:szCs w:val="28"/>
          <w:highlight w:val="none"/>
          <w:lang w:eastAsia="zh-CN"/>
        </w:rPr>
        <w:t>“</w:t>
      </w:r>
      <w:r>
        <w:rPr>
          <w:rFonts w:hint="eastAsia" w:ascii="仿宋_GB2312" w:hAnsi="仿宋_GB2312" w:eastAsia="仿宋_GB2312" w:cs="仿宋_GB2312"/>
          <w:color w:val="auto"/>
          <w:sz w:val="28"/>
          <w:szCs w:val="28"/>
          <w:highlight w:val="none"/>
          <w:lang w:val="en-US" w:eastAsia="zh-CN"/>
        </w:rPr>
        <w:t>其他农林水支出</w:t>
      </w:r>
      <w:r>
        <w:rPr>
          <w:rFonts w:hint="eastAsia" w:ascii="仿宋_GB2312" w:hAnsi="仿宋_GB2312" w:eastAsia="仿宋_GB2312" w:cs="仿宋_GB2312"/>
          <w:color w:val="auto"/>
          <w:sz w:val="28"/>
          <w:szCs w:val="28"/>
          <w:highlight w:val="none"/>
          <w:lang w:eastAsia="zh-CN"/>
        </w:rPr>
        <w:t>”（款）</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年度决算</w:t>
      </w:r>
      <w:r>
        <w:rPr>
          <w:rFonts w:hint="eastAsia" w:ascii="仿宋_GB2312" w:hAnsi="仿宋_GB2312" w:eastAsia="仿宋_GB2312" w:cs="仿宋_GB2312"/>
          <w:color w:val="auto"/>
          <w:sz w:val="28"/>
          <w:szCs w:val="28"/>
          <w:highlight w:val="none"/>
          <w:lang w:val="en-US" w:eastAsia="zh-CN"/>
        </w:rPr>
        <w:t>0</w:t>
      </w:r>
      <w:r>
        <w:rPr>
          <w:rFonts w:hint="eastAsia" w:ascii="仿宋_GB2312" w:hAnsi="仿宋_GB2312" w:eastAsia="仿宋_GB2312" w:cs="仿宋_GB2312"/>
          <w:color w:val="auto"/>
          <w:sz w:val="28"/>
          <w:szCs w:val="28"/>
          <w:highlight w:val="none"/>
          <w:lang w:eastAsia="zh-CN"/>
        </w:rPr>
        <w:t>万元，比</w:t>
      </w:r>
      <w:r>
        <w:rPr>
          <w:rFonts w:hint="eastAsia" w:ascii="仿宋_GB2312" w:eastAsia="仿宋_GB2312"/>
          <w:color w:val="auto"/>
          <w:sz w:val="28"/>
          <w:szCs w:val="28"/>
          <w:highlight w:val="none"/>
        </w:rPr>
        <w:t>2022</w:t>
      </w:r>
      <w:r>
        <w:rPr>
          <w:rFonts w:hint="eastAsia" w:ascii="仿宋_GB2312" w:hAnsi="仿宋_GB2312" w:eastAsia="仿宋_GB2312" w:cs="仿宋_GB2312"/>
          <w:color w:val="auto"/>
          <w:sz w:val="28"/>
          <w:szCs w:val="28"/>
          <w:highlight w:val="none"/>
          <w:lang w:eastAsia="zh-CN"/>
        </w:rPr>
        <w:t>年年初预算</w:t>
      </w:r>
      <w:r>
        <w:rPr>
          <w:rFonts w:hint="eastAsia" w:ascii="仿宋_GB2312" w:hAnsi="仿宋_GB2312" w:eastAsia="仿宋_GB2312" w:cs="仿宋_GB2312"/>
          <w:color w:val="auto"/>
          <w:sz w:val="28"/>
          <w:szCs w:val="28"/>
          <w:highlight w:val="none"/>
          <w:lang w:val="en-US" w:eastAsia="zh-CN"/>
        </w:rPr>
        <w:t>减少33</w:t>
      </w:r>
      <w:r>
        <w:rPr>
          <w:rFonts w:hint="eastAsia" w:ascii="仿宋_GB2312" w:hAnsi="仿宋_GB2312" w:eastAsia="仿宋_GB2312" w:cs="仿宋_GB2312"/>
          <w:color w:val="auto"/>
          <w:sz w:val="28"/>
          <w:szCs w:val="28"/>
          <w:highlight w:val="none"/>
          <w:lang w:eastAsia="zh-CN"/>
        </w:rPr>
        <w:t>万元，</w:t>
      </w:r>
      <w:r>
        <w:rPr>
          <w:rFonts w:hint="eastAsia" w:ascii="仿宋_GB2312" w:hAnsi="仿宋_GB2312" w:eastAsia="仿宋_GB2312" w:cs="仿宋_GB2312"/>
          <w:color w:val="auto"/>
          <w:sz w:val="28"/>
          <w:szCs w:val="28"/>
          <w:highlight w:val="none"/>
          <w:lang w:val="en-US" w:eastAsia="zh-CN"/>
        </w:rPr>
        <w:t>下降100</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项目资金减少</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lang w:val="en-US" w:eastAsia="zh-CN"/>
        </w:rPr>
        <w:t>11</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“住房保障支出”(类) 2022年度决算</w:t>
      </w:r>
      <w:r>
        <w:rPr>
          <w:rFonts w:hint="eastAsia" w:ascii="仿宋_GB2312" w:eastAsia="仿宋_GB2312"/>
          <w:color w:val="auto"/>
          <w:sz w:val="28"/>
          <w:szCs w:val="28"/>
          <w:highlight w:val="none"/>
          <w:lang w:val="en-US" w:eastAsia="zh-CN"/>
        </w:rPr>
        <w:t>16.78</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rPr>
        <w:t>比2022年度年初预算增加16.78万元，增长</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其中：</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rPr>
        <w:t>“保障性安居工程支出”（款）2022年度决算</w:t>
      </w:r>
      <w:r>
        <w:rPr>
          <w:rFonts w:hint="eastAsia" w:ascii="仿宋_GB2312" w:eastAsia="仿宋_GB2312"/>
          <w:color w:val="auto"/>
          <w:sz w:val="28"/>
          <w:szCs w:val="28"/>
          <w:highlight w:val="none"/>
          <w:lang w:val="en-US" w:eastAsia="zh-CN"/>
        </w:rPr>
        <w:t>13.92</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比202</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13.92</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eastAsia="zh-CN"/>
        </w:rPr>
        <w:t>%。主要原因：专项资金</w:t>
      </w:r>
      <w:r>
        <w:rPr>
          <w:rFonts w:hint="eastAsia" w:ascii="仿宋_GB2312" w:hAnsi="仿宋_GB2312" w:eastAsia="仿宋_GB2312" w:cs="仿宋_GB2312"/>
          <w:color w:val="auto"/>
          <w:sz w:val="28"/>
          <w:szCs w:val="28"/>
          <w:highlight w:val="none"/>
          <w:lang w:val="en-US" w:eastAsia="zh-CN"/>
        </w:rPr>
        <w:t>增加</w:t>
      </w:r>
      <w:r>
        <w:rPr>
          <w:rFonts w:hint="eastAsia" w:ascii="仿宋_GB2312" w:hAnsi="仿宋_GB2312" w:eastAsia="仿宋_GB2312" w:cs="仿宋_GB2312"/>
          <w:color w:val="auto"/>
          <w:sz w:val="28"/>
          <w:szCs w:val="28"/>
          <w:highlight w:val="none"/>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ascii="仿宋_GB2312" w:eastAsia="仿宋_GB2312"/>
          <w:color w:val="auto"/>
          <w:sz w:val="28"/>
          <w:szCs w:val="28"/>
          <w:highlight w:val="none"/>
        </w:rPr>
      </w:pPr>
      <w:r>
        <w:rPr>
          <w:rFonts w:hint="eastAsia" w:ascii="仿宋_GB2312" w:eastAsia="仿宋_GB2312"/>
          <w:color w:val="auto"/>
          <w:sz w:val="28"/>
          <w:szCs w:val="28"/>
          <w:highlight w:val="none"/>
        </w:rPr>
        <w:t>“住房改革支出”（款）2022年度决算</w:t>
      </w:r>
      <w:r>
        <w:rPr>
          <w:rFonts w:hint="eastAsia" w:ascii="仿宋_GB2312" w:eastAsia="仿宋_GB2312"/>
          <w:color w:val="auto"/>
          <w:sz w:val="28"/>
          <w:szCs w:val="28"/>
          <w:highlight w:val="none"/>
          <w:lang w:val="en-US" w:eastAsia="zh-CN"/>
        </w:rPr>
        <w:t>2.87</w:t>
      </w:r>
      <w:r>
        <w:rPr>
          <w:rFonts w:hint="eastAsia" w:ascii="仿宋_GB2312" w:eastAsia="仿宋_GB2312"/>
          <w:color w:val="auto"/>
          <w:sz w:val="28"/>
          <w:szCs w:val="28"/>
          <w:highlight w:val="none"/>
        </w:rPr>
        <w:t>万元，</w:t>
      </w:r>
      <w:r>
        <w:rPr>
          <w:rFonts w:hint="eastAsia" w:ascii="仿宋_GB2312" w:hAnsi="仿宋_GB2312" w:eastAsia="仿宋_GB2312" w:cs="仿宋_GB2312"/>
          <w:color w:val="auto"/>
          <w:sz w:val="28"/>
          <w:szCs w:val="28"/>
          <w:highlight w:val="none"/>
          <w:lang w:eastAsia="zh-CN"/>
        </w:rPr>
        <w:t>比202</w:t>
      </w: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lang w:eastAsia="zh-CN"/>
        </w:rPr>
        <w:t>年年初预算增加</w:t>
      </w:r>
      <w:r>
        <w:rPr>
          <w:rFonts w:hint="eastAsia" w:ascii="仿宋_GB2312" w:hAnsi="仿宋_GB2312" w:eastAsia="仿宋_GB2312" w:cs="仿宋_GB2312"/>
          <w:color w:val="auto"/>
          <w:sz w:val="28"/>
          <w:szCs w:val="28"/>
          <w:highlight w:val="none"/>
          <w:lang w:val="en-US" w:eastAsia="zh-CN"/>
        </w:rPr>
        <w:t>2.87</w:t>
      </w:r>
      <w:r>
        <w:rPr>
          <w:rFonts w:hint="eastAsia" w:ascii="仿宋_GB2312" w:hAnsi="仿宋_GB2312" w:eastAsia="仿宋_GB2312" w:cs="仿宋_GB2312"/>
          <w:color w:val="auto"/>
          <w:sz w:val="28"/>
          <w:szCs w:val="28"/>
          <w:highlight w:val="none"/>
          <w:lang w:eastAsia="zh-CN"/>
        </w:rPr>
        <w:t>万元，增长</w:t>
      </w:r>
      <w:r>
        <w:rPr>
          <w:rFonts w:hint="eastAsia" w:ascii="仿宋_GB2312" w:hAnsi="仿宋_GB2312" w:eastAsia="仿宋_GB2312" w:cs="仿宋_GB2312"/>
          <w:color w:val="auto"/>
          <w:sz w:val="28"/>
          <w:szCs w:val="28"/>
          <w:highlight w:val="none"/>
          <w:lang w:val="en-US" w:eastAsia="zh-CN"/>
        </w:rPr>
        <w:t>100</w:t>
      </w:r>
      <w:r>
        <w:rPr>
          <w:rFonts w:hint="eastAsia" w:ascii="仿宋_GB2312" w:hAnsi="仿宋_GB2312" w:eastAsia="仿宋_GB2312" w:cs="仿宋_GB2312"/>
          <w:color w:val="auto"/>
          <w:sz w:val="28"/>
          <w:szCs w:val="28"/>
          <w:highlight w:val="none"/>
          <w:lang w:eastAsia="zh-CN"/>
        </w:rPr>
        <w:t>%。主要原因：发放购房补贴。</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sz w:val="28"/>
          <w:szCs w:val="28"/>
          <w:highlight w:val="none"/>
          <w:lang w:eastAsia="zh-CN"/>
        </w:rPr>
      </w:pPr>
      <w:r>
        <w:rPr>
          <w:rFonts w:hint="eastAsia" w:ascii="仿宋_GB2312" w:eastAsia="仿宋_GB2312"/>
          <w:color w:val="auto"/>
          <w:sz w:val="28"/>
          <w:szCs w:val="28"/>
          <w:highlight w:val="none"/>
          <w:lang w:val="en-US" w:eastAsia="zh-CN"/>
        </w:rPr>
        <w:t>12</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“其他支出”(类) 2022年度决算</w:t>
      </w:r>
      <w:r>
        <w:rPr>
          <w:rFonts w:hint="eastAsia" w:ascii="仿宋_GB2312" w:eastAsia="仿宋_GB2312"/>
          <w:color w:val="auto"/>
          <w:sz w:val="28"/>
          <w:szCs w:val="28"/>
          <w:highlight w:val="none"/>
          <w:lang w:val="en-US" w:eastAsia="zh-CN"/>
        </w:rPr>
        <w:t>29.41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rPr>
        <w:t>比2022年度年初预算减少</w:t>
      </w:r>
      <w:r>
        <w:rPr>
          <w:rFonts w:hint="eastAsia" w:ascii="仿宋_GB2312" w:eastAsia="仿宋_GB2312"/>
          <w:color w:val="auto"/>
          <w:sz w:val="28"/>
          <w:szCs w:val="28"/>
          <w:highlight w:val="none"/>
          <w:lang w:val="en-US" w:eastAsia="zh-CN"/>
        </w:rPr>
        <w:t>16.59</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36.06</w:t>
      </w:r>
      <w:r>
        <w:rPr>
          <w:rFonts w:hint="eastAsia" w:ascii="仿宋_GB2312" w:eastAsia="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“其他支出”（款）2022年度决算</w:t>
      </w:r>
      <w:r>
        <w:rPr>
          <w:rFonts w:hint="eastAsia" w:ascii="仿宋_GB2312" w:eastAsia="仿宋_GB2312"/>
          <w:color w:val="auto"/>
          <w:sz w:val="28"/>
          <w:szCs w:val="28"/>
          <w:highlight w:val="none"/>
          <w:lang w:val="en-US" w:eastAsia="zh-CN"/>
        </w:rPr>
        <w:t>29.41</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rPr>
        <w:t>比2022年度年初预算减少</w:t>
      </w:r>
      <w:r>
        <w:rPr>
          <w:rFonts w:hint="eastAsia" w:ascii="仿宋_GB2312" w:eastAsia="仿宋_GB2312"/>
          <w:color w:val="auto"/>
          <w:sz w:val="28"/>
          <w:szCs w:val="28"/>
          <w:highlight w:val="none"/>
          <w:lang w:val="en-US" w:eastAsia="zh-CN"/>
        </w:rPr>
        <w:t>16.59</w:t>
      </w:r>
      <w:r>
        <w:rPr>
          <w:rFonts w:hint="eastAsia" w:ascii="仿宋_GB2312" w:eastAsia="仿宋_GB2312"/>
          <w:color w:val="auto"/>
          <w:sz w:val="28"/>
          <w:szCs w:val="28"/>
          <w:highlight w:val="none"/>
        </w:rPr>
        <w:t>万元，下降</w:t>
      </w:r>
      <w:r>
        <w:rPr>
          <w:rFonts w:hint="eastAsia" w:ascii="仿宋_GB2312" w:eastAsia="仿宋_GB2312"/>
          <w:color w:val="auto"/>
          <w:sz w:val="28"/>
          <w:szCs w:val="28"/>
          <w:highlight w:val="none"/>
          <w:lang w:val="en-US" w:eastAsia="zh-CN"/>
        </w:rPr>
        <w:t>36.06</w:t>
      </w:r>
      <w:r>
        <w:rPr>
          <w:rFonts w:hint="eastAsia" w:ascii="仿宋_GB2312" w:eastAsia="仿宋_GB2312"/>
          <w:color w:val="auto"/>
          <w:sz w:val="28"/>
          <w:szCs w:val="28"/>
          <w:highlight w:val="none"/>
        </w:rPr>
        <w:t>%</w:t>
      </w:r>
      <w:r>
        <w:rPr>
          <w:rFonts w:hint="eastAsia" w:ascii="仿宋_GB2312" w:hAnsi="仿宋_GB2312" w:eastAsia="仿宋_GB2312" w:cs="仿宋_GB2312"/>
          <w:color w:val="auto"/>
          <w:sz w:val="28"/>
          <w:szCs w:val="28"/>
          <w:highlight w:val="none"/>
          <w:lang w:eastAsia="zh-CN"/>
        </w:rPr>
        <w:t>。主要原因：</w:t>
      </w:r>
      <w:r>
        <w:rPr>
          <w:rFonts w:hint="eastAsia" w:ascii="仿宋_GB2312" w:hAnsi="仿宋_GB2312" w:eastAsia="仿宋_GB2312" w:cs="仿宋_GB2312"/>
          <w:color w:val="auto"/>
          <w:sz w:val="28"/>
          <w:szCs w:val="28"/>
          <w:highlight w:val="none"/>
          <w:lang w:val="en-US" w:eastAsia="zh-CN"/>
        </w:rPr>
        <w:t>征兵经费、民兵军事训练经费减少等</w:t>
      </w:r>
      <w:r>
        <w:rPr>
          <w:rFonts w:hint="eastAsia" w:ascii="仿宋_GB2312" w:hAnsi="仿宋_GB2312" w:eastAsia="仿宋_GB2312" w:cs="仿宋_GB2312"/>
          <w:color w:val="auto"/>
          <w:sz w:val="28"/>
          <w:szCs w:val="28"/>
          <w:highlight w:val="none"/>
          <w:lang w:eastAsia="zh-CN"/>
        </w:rPr>
        <w:t>。</w:t>
      </w:r>
    </w:p>
    <w:p>
      <w:pPr>
        <w:spacing w:line="560" w:lineRule="exact"/>
        <w:rPr>
          <w:rFonts w:ascii="仿宋_GB2312" w:eastAsia="仿宋_GB2312"/>
          <w:color w:val="auto"/>
          <w:sz w:val="28"/>
          <w:szCs w:val="28"/>
          <w:highlight w:val="none"/>
        </w:rPr>
      </w:pPr>
      <w:r>
        <w:rPr>
          <w:rFonts w:hint="eastAsia" w:ascii="黑体" w:eastAsia="黑体"/>
          <w:color w:val="auto"/>
          <w:sz w:val="28"/>
          <w:szCs w:val="28"/>
          <w:highlight w:val="none"/>
          <w:lang w:val="en-US" w:eastAsia="zh-CN"/>
        </w:rPr>
        <w:t xml:space="preserve">   </w:t>
      </w:r>
      <w:r>
        <w:rPr>
          <w:rFonts w:hint="eastAsia" w:ascii="黑体" w:eastAsia="黑体"/>
          <w:color w:val="auto"/>
          <w:sz w:val="28"/>
          <w:szCs w:val="28"/>
          <w:highlight w:val="none"/>
          <w:lang w:val="en-US" w:eastAsia="zh-CN"/>
        </w:rPr>
        <w:t xml:space="preserve"> </w:t>
      </w:r>
      <w:r>
        <w:rPr>
          <w:rFonts w:hint="eastAsia" w:ascii="黑体" w:eastAsia="黑体"/>
          <w:color w:val="auto"/>
          <w:sz w:val="28"/>
          <w:szCs w:val="28"/>
          <w:highlight w:val="none"/>
        </w:rPr>
        <w:t>六、</w:t>
      </w:r>
      <w:r>
        <w:rPr>
          <w:rFonts w:hint="eastAsia" w:ascii="黑体" w:eastAsia="黑体"/>
          <w:color w:val="auto"/>
          <w:sz w:val="28"/>
          <w:szCs w:val="28"/>
          <w:highlight w:val="none"/>
        </w:rPr>
        <w:t>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（一）政府性基金预算财政拨款支出决算总体情况</w:t>
      </w:r>
    </w:p>
    <w:p>
      <w:pPr>
        <w:tabs>
          <w:tab w:val="center" w:pos="6979"/>
        </w:tabs>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2022年度政府性基金预算财政拨款支出</w:t>
      </w:r>
      <w:r>
        <w:rPr>
          <w:rFonts w:hint="eastAsia" w:ascii="仿宋_GB2312" w:eastAsia="仿宋_GB2312"/>
          <w:color w:val="auto"/>
          <w:sz w:val="28"/>
          <w:szCs w:val="28"/>
          <w:highlight w:val="none"/>
          <w:lang w:val="en-US" w:eastAsia="zh-CN"/>
        </w:rPr>
        <w:t>15268.13</w:t>
      </w:r>
      <w:r>
        <w:rPr>
          <w:rFonts w:hint="eastAsia" w:ascii="仿宋_GB2312" w:eastAsia="仿宋_GB2312"/>
          <w:color w:val="auto"/>
          <w:sz w:val="28"/>
          <w:szCs w:val="28"/>
          <w:highlight w:val="none"/>
        </w:rPr>
        <w:t>万元，主要用于以下方面（按大类）：</w:t>
      </w:r>
      <w:r>
        <w:rPr>
          <w:rFonts w:hint="eastAsia" w:ascii="仿宋_GB2312" w:eastAsia="仿宋_GB2312"/>
          <w:color w:val="auto"/>
          <w:sz w:val="28"/>
          <w:szCs w:val="28"/>
          <w:highlight w:val="none"/>
        </w:rPr>
        <w:t>城乡社区支出15218.13万元，占本年财政拨款支出</w:t>
      </w:r>
      <w:r>
        <w:rPr>
          <w:rFonts w:hint="eastAsia" w:ascii="仿宋_GB2312" w:eastAsia="仿宋_GB2312"/>
          <w:color w:val="auto"/>
          <w:sz w:val="28"/>
          <w:szCs w:val="28"/>
          <w:highlight w:val="none"/>
          <w:lang w:val="en-US" w:eastAsia="zh-CN"/>
        </w:rPr>
        <w:t>20.45</w:t>
      </w:r>
      <w:r>
        <w:rPr>
          <w:rFonts w:hint="eastAsia" w:ascii="仿宋_GB2312" w:eastAsia="仿宋_GB2312"/>
          <w:color w:val="auto"/>
          <w:sz w:val="28"/>
          <w:szCs w:val="28"/>
          <w:highlight w:val="none"/>
        </w:rPr>
        <w:t>%；</w:t>
      </w:r>
      <w:r>
        <w:rPr>
          <w:rFonts w:hint="eastAsia" w:ascii="仿宋_GB2312" w:eastAsia="仿宋_GB2312"/>
          <w:color w:val="auto"/>
          <w:sz w:val="28"/>
          <w:szCs w:val="28"/>
          <w:highlight w:val="none"/>
          <w:lang w:val="en-US" w:eastAsia="zh-CN"/>
        </w:rPr>
        <w:t>其他</w:t>
      </w:r>
      <w:r>
        <w:rPr>
          <w:rFonts w:hint="eastAsia" w:ascii="仿宋_GB2312" w:eastAsia="仿宋_GB2312"/>
          <w:color w:val="auto"/>
          <w:sz w:val="28"/>
          <w:szCs w:val="28"/>
          <w:highlight w:val="none"/>
        </w:rPr>
        <w:t>支出</w:t>
      </w:r>
      <w:r>
        <w:rPr>
          <w:rFonts w:hint="eastAsia" w:ascii="仿宋_GB2312" w:eastAsia="仿宋_GB2312"/>
          <w:color w:val="auto"/>
          <w:sz w:val="28"/>
          <w:szCs w:val="28"/>
          <w:highlight w:val="none"/>
          <w:lang w:val="en-US" w:eastAsia="zh-CN"/>
        </w:rPr>
        <w:t>50</w:t>
      </w:r>
      <w:r>
        <w:rPr>
          <w:rFonts w:hint="eastAsia" w:ascii="仿宋_GB2312" w:eastAsia="仿宋_GB2312"/>
          <w:color w:val="auto"/>
          <w:sz w:val="28"/>
          <w:szCs w:val="28"/>
          <w:highlight w:val="none"/>
        </w:rPr>
        <w:t>万元，占本年财政拨款支出</w:t>
      </w:r>
      <w:r>
        <w:rPr>
          <w:rFonts w:hint="eastAsia" w:ascii="仿宋_GB2312" w:eastAsia="仿宋_GB2312"/>
          <w:color w:val="auto"/>
          <w:sz w:val="28"/>
          <w:szCs w:val="28"/>
          <w:highlight w:val="none"/>
          <w:lang w:val="en-US" w:eastAsia="zh-CN"/>
        </w:rPr>
        <w:t>0.06</w:t>
      </w:r>
      <w:r>
        <w:rPr>
          <w:rFonts w:hint="eastAsia" w:ascii="仿宋_GB2312" w:eastAsia="仿宋_GB2312"/>
          <w:color w:val="auto"/>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“城乡社区支出”（类，下同）2022年度决算</w:t>
      </w:r>
      <w:r>
        <w:rPr>
          <w:rFonts w:hint="eastAsia" w:ascii="仿宋_GB2312" w:eastAsia="仿宋_GB2312"/>
          <w:color w:val="auto"/>
          <w:sz w:val="28"/>
          <w:szCs w:val="28"/>
          <w:highlight w:val="none"/>
          <w:lang w:val="en-US" w:eastAsia="zh-CN"/>
        </w:rPr>
        <w:t>15218.13</w:t>
      </w:r>
      <w:r>
        <w:rPr>
          <w:rFonts w:hint="eastAsia" w:ascii="仿宋_GB2312" w:eastAsia="仿宋_GB2312"/>
          <w:color w:val="auto"/>
          <w:sz w:val="28"/>
          <w:szCs w:val="28"/>
          <w:highlight w:val="none"/>
        </w:rPr>
        <w:t>元，</w:t>
      </w:r>
      <w:r>
        <w:rPr>
          <w:rFonts w:hint="eastAsia" w:ascii="仿宋_GB2312" w:eastAsia="仿宋_GB2312"/>
          <w:color w:val="auto"/>
          <w:sz w:val="28"/>
          <w:szCs w:val="28"/>
          <w:highlight w:val="none"/>
        </w:rPr>
        <w:t>比2022年度年初预算增加</w:t>
      </w:r>
      <w:r>
        <w:rPr>
          <w:rFonts w:hint="eastAsia" w:ascii="仿宋_GB2312" w:eastAsia="仿宋_GB2312"/>
          <w:color w:val="auto"/>
          <w:sz w:val="28"/>
          <w:szCs w:val="28"/>
          <w:highlight w:val="none"/>
          <w:lang w:val="en-US" w:eastAsia="zh-CN"/>
        </w:rPr>
        <w:t>9728.63</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177.22</w:t>
      </w:r>
      <w:r>
        <w:rPr>
          <w:rFonts w:hint="eastAsia" w:ascii="仿宋_GB2312" w:eastAsia="仿宋_GB2312"/>
          <w:color w:val="auto"/>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“国有土地使用权出让收入安排的支出”（款，下同）2022年度决算15218.13万元，比2022年度年初预算增加</w:t>
      </w:r>
      <w:r>
        <w:rPr>
          <w:rFonts w:hint="eastAsia" w:ascii="仿宋_GB2312" w:eastAsia="仿宋_GB2312"/>
          <w:color w:val="auto"/>
          <w:sz w:val="28"/>
          <w:szCs w:val="28"/>
          <w:highlight w:val="none"/>
          <w:lang w:val="en-US" w:eastAsia="zh-CN"/>
        </w:rPr>
        <w:t>9728.63</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177.22</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val="en-US" w:eastAsia="zh-CN"/>
        </w:rPr>
        <w:t>专项项目的增加</w:t>
      </w:r>
      <w:r>
        <w:rPr>
          <w:rFonts w:hint="eastAsia" w:ascii="仿宋_GB2312" w:eastAsia="仿宋_GB2312"/>
          <w:color w:val="auto"/>
          <w:sz w:val="28"/>
          <w:szCs w:val="28"/>
          <w:highlight w:val="none"/>
        </w:rPr>
        <w:t>。</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“其他支出”（类）2022年度决算</w:t>
      </w:r>
      <w:r>
        <w:rPr>
          <w:rFonts w:hint="eastAsia" w:ascii="仿宋_GB2312" w:eastAsia="仿宋_GB2312"/>
          <w:color w:val="auto"/>
          <w:sz w:val="28"/>
          <w:szCs w:val="28"/>
          <w:highlight w:val="none"/>
          <w:lang w:val="en-US" w:eastAsia="zh-CN"/>
        </w:rPr>
        <w:t>50</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50</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%。其中：</w:t>
      </w:r>
    </w:p>
    <w:p>
      <w:pPr>
        <w:spacing w:line="58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“彩票公益金安排的支出”（款）2022年度决算</w:t>
      </w:r>
      <w:r>
        <w:rPr>
          <w:rFonts w:hint="eastAsia" w:ascii="仿宋_GB2312" w:eastAsia="仿宋_GB2312"/>
          <w:color w:val="auto"/>
          <w:sz w:val="28"/>
          <w:szCs w:val="28"/>
          <w:highlight w:val="none"/>
          <w:lang w:val="en-US" w:eastAsia="zh-CN"/>
        </w:rPr>
        <w:t>50</w:t>
      </w:r>
      <w:r>
        <w:rPr>
          <w:rFonts w:hint="eastAsia" w:ascii="仿宋_GB2312" w:eastAsia="仿宋_GB2312"/>
          <w:color w:val="auto"/>
          <w:sz w:val="28"/>
          <w:szCs w:val="28"/>
          <w:highlight w:val="none"/>
        </w:rPr>
        <w:t>万元，比2022年度年初预算增加</w:t>
      </w:r>
      <w:r>
        <w:rPr>
          <w:rFonts w:hint="eastAsia" w:ascii="仿宋_GB2312" w:eastAsia="仿宋_GB2312"/>
          <w:color w:val="auto"/>
          <w:sz w:val="28"/>
          <w:szCs w:val="28"/>
          <w:highlight w:val="none"/>
          <w:lang w:val="en-US" w:eastAsia="zh-CN"/>
        </w:rPr>
        <w:t>50</w:t>
      </w:r>
      <w:r>
        <w:rPr>
          <w:rFonts w:hint="eastAsia" w:ascii="仿宋_GB2312" w:eastAsia="仿宋_GB2312"/>
          <w:color w:val="auto"/>
          <w:sz w:val="28"/>
          <w:szCs w:val="28"/>
          <w:highlight w:val="none"/>
        </w:rPr>
        <w:t>万元，增长</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%。主要原因：用于体育事业的彩票公益金支出</w:t>
      </w:r>
      <w:r>
        <w:rPr>
          <w:rFonts w:hint="eastAsia" w:ascii="仿宋_GB2312" w:eastAsia="仿宋_GB2312"/>
          <w:color w:val="auto"/>
          <w:sz w:val="28"/>
          <w:szCs w:val="28"/>
          <w:highlight w:val="none"/>
          <w:lang w:val="en-US" w:eastAsia="zh-CN"/>
        </w:rPr>
        <w:t>增加</w:t>
      </w:r>
      <w:r>
        <w:rPr>
          <w:rFonts w:hint="eastAsia" w:ascii="仿宋_GB2312" w:eastAsia="仿宋_GB2312"/>
          <w:color w:val="auto"/>
          <w:sz w:val="28"/>
          <w:szCs w:val="28"/>
          <w:highlight w:val="none"/>
        </w:rPr>
        <w:t>。</w:t>
      </w:r>
    </w:p>
    <w:p>
      <w:pPr>
        <w:ind w:firstLine="537" w:firstLineChars="192"/>
        <w:rPr>
          <w:rFonts w:hint="eastAsia" w:ascii="仿宋_GB2312" w:eastAsia="仿宋_GB2312"/>
          <w:color w:val="auto"/>
          <w:sz w:val="28"/>
          <w:szCs w:val="28"/>
          <w:highlight w:val="none"/>
        </w:rPr>
      </w:pPr>
      <w:r>
        <w:rPr>
          <w:rFonts w:hint="eastAsia" w:ascii="黑体" w:eastAsia="黑体"/>
          <w:color w:val="auto"/>
          <w:sz w:val="28"/>
          <w:szCs w:val="28"/>
          <w:highlight w:val="none"/>
        </w:rPr>
        <w:t>七、</w:t>
      </w:r>
      <w:r>
        <w:rPr>
          <w:rFonts w:hint="eastAsia" w:ascii="黑体" w:eastAsia="黑体"/>
          <w:color w:val="auto"/>
          <w:sz w:val="28"/>
          <w:szCs w:val="28"/>
          <w:highlight w:val="none"/>
        </w:rPr>
        <w:t>国有资本经营预算财政拨款收支情况说明</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本部门2022年度无国有资本经营预算财</w:t>
      </w:r>
      <w:r>
        <w:rPr>
          <w:rFonts w:ascii="仿宋_GB2312" w:eastAsia="仿宋_GB2312"/>
          <w:color w:val="auto"/>
          <w:sz w:val="28"/>
          <w:szCs w:val="28"/>
          <w:highlight w:val="none"/>
        </w:rPr>
        <w:t>政拨款</w:t>
      </w:r>
      <w:r>
        <w:rPr>
          <w:rFonts w:hint="eastAsia" w:ascii="仿宋_GB2312" w:eastAsia="仿宋_GB2312"/>
          <w:color w:val="auto"/>
          <w:sz w:val="28"/>
          <w:szCs w:val="28"/>
          <w:highlight w:val="none"/>
        </w:rPr>
        <w:t>安排的支出</w:t>
      </w:r>
    </w:p>
    <w:p>
      <w:pPr>
        <w:tabs>
          <w:tab w:val="center" w:pos="6979"/>
        </w:tabs>
        <w:spacing w:line="580" w:lineRule="exact"/>
        <w:ind w:firstLine="548" w:firstLineChars="196"/>
        <w:rPr>
          <w:rFonts w:hint="eastAsia" w:ascii="仿宋_GB2312" w:eastAsia="仿宋_GB2312"/>
          <w:color w:val="auto"/>
          <w:sz w:val="28"/>
          <w:szCs w:val="28"/>
          <w:highlight w:val="none"/>
        </w:rPr>
      </w:pPr>
      <w:r>
        <w:rPr>
          <w:rFonts w:hint="eastAsia" w:ascii="黑体" w:eastAsia="黑体"/>
          <w:color w:val="auto"/>
          <w:sz w:val="28"/>
          <w:szCs w:val="28"/>
          <w:highlight w:val="none"/>
        </w:rPr>
        <w:t>八、财政拨款基本支出决算情况说明</w:t>
      </w:r>
    </w:p>
    <w:p>
      <w:pPr>
        <w:tabs>
          <w:tab w:val="center" w:pos="6979"/>
        </w:tabs>
        <w:spacing w:line="580" w:lineRule="exact"/>
        <w:ind w:firstLine="548" w:firstLineChars="196"/>
        <w:rPr>
          <w:rFonts w:hint="eastAsia" w:ascii="仿宋_GB2312" w:eastAsia="仿宋_GB2312"/>
          <w:color w:val="auto"/>
          <w:sz w:val="28"/>
          <w:szCs w:val="28"/>
          <w:highlight w:val="none"/>
        </w:rPr>
      </w:pPr>
      <w:r>
        <w:rPr>
          <w:rFonts w:ascii="仿宋_GB2312" w:eastAsia="仿宋_GB2312"/>
          <w:color w:val="auto"/>
          <w:sz w:val="28"/>
          <w:szCs w:val="28"/>
          <w:highlight w:val="none"/>
        </w:rPr>
        <w:t>20</w:t>
      </w:r>
      <w:r>
        <w:rPr>
          <w:rFonts w:hint="eastAsia" w:ascii="仿宋_GB2312" w:eastAsia="仿宋_GB2312"/>
          <w:color w:val="auto"/>
          <w:sz w:val="28"/>
          <w:szCs w:val="28"/>
          <w:highlight w:val="none"/>
        </w:rPr>
        <w:t>22年度使用一般公共预算财政拨款安排基本支出</w:t>
      </w:r>
      <w:r>
        <w:rPr>
          <w:rFonts w:hint="eastAsia" w:ascii="仿宋_GB2312" w:eastAsia="仿宋_GB2312"/>
          <w:color w:val="auto"/>
          <w:sz w:val="28"/>
          <w:szCs w:val="28"/>
          <w:highlight w:val="none"/>
          <w:lang w:val="en-US" w:eastAsia="zh-CN"/>
        </w:rPr>
        <w:t>10150.38</w:t>
      </w:r>
      <w:r>
        <w:rPr>
          <w:rFonts w:hint="eastAsia" w:ascii="仿宋_GB2312" w:eastAsia="仿宋_GB2312"/>
          <w:color w:val="auto"/>
          <w:sz w:val="28"/>
          <w:szCs w:val="28"/>
          <w:highlight w:val="none"/>
        </w:rPr>
        <w:t>万元，其中：（1）工资福利支出包括基本工资</w:t>
      </w:r>
      <w:r>
        <w:rPr>
          <w:rFonts w:ascii="仿宋_GB2312" w:eastAsia="仿宋_GB2312"/>
          <w:color w:val="auto"/>
          <w:sz w:val="28"/>
          <w:szCs w:val="28"/>
          <w:highlight w:val="none"/>
        </w:rPr>
        <w:t>、津贴补贴、奖金、伙食补助费、绩效工资、</w:t>
      </w:r>
      <w:r>
        <w:rPr>
          <w:rFonts w:hint="eastAsia" w:ascii="仿宋_GB2312" w:eastAsia="仿宋_GB2312"/>
          <w:color w:val="auto"/>
          <w:sz w:val="28"/>
          <w:szCs w:val="28"/>
          <w:highlight w:val="none"/>
        </w:rPr>
        <w:t>其他</w:t>
      </w:r>
      <w:r>
        <w:rPr>
          <w:rFonts w:ascii="仿宋_GB2312" w:eastAsia="仿宋_GB2312"/>
          <w:color w:val="auto"/>
          <w:sz w:val="28"/>
          <w:szCs w:val="28"/>
          <w:highlight w:val="none"/>
        </w:rPr>
        <w:t>社会保障缴费、其他工资福利</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；（2）商品和服务支出包括</w:t>
      </w:r>
      <w:r>
        <w:rPr>
          <w:rFonts w:ascii="仿宋_GB2312" w:eastAsia="仿宋_GB2312"/>
          <w:color w:val="auto"/>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；（3）对个人和家庭补助支出包括</w:t>
      </w:r>
      <w:r>
        <w:rPr>
          <w:rFonts w:ascii="仿宋_GB2312" w:eastAsia="仿宋_GB2312"/>
          <w:color w:val="auto"/>
          <w:sz w:val="28"/>
          <w:szCs w:val="28"/>
          <w:highlight w:val="none"/>
        </w:rPr>
        <w:t>离休费、退休费、抚恤金、生活补助、</w:t>
      </w:r>
      <w:r>
        <w:rPr>
          <w:rFonts w:hint="eastAsia" w:ascii="仿宋_GB2312" w:eastAsia="仿宋_GB2312"/>
          <w:color w:val="auto"/>
          <w:sz w:val="28"/>
          <w:szCs w:val="28"/>
          <w:highlight w:val="none"/>
        </w:rPr>
        <w:t>救济费</w:t>
      </w:r>
      <w:r>
        <w:rPr>
          <w:rFonts w:ascii="仿宋_GB2312" w:eastAsia="仿宋_GB2312"/>
          <w:color w:val="auto"/>
          <w:sz w:val="28"/>
          <w:szCs w:val="28"/>
          <w:highlight w:val="none"/>
        </w:rPr>
        <w:t>、医疗费</w:t>
      </w:r>
      <w:r>
        <w:rPr>
          <w:rFonts w:hint="eastAsia" w:ascii="仿宋_GB2312" w:eastAsia="仿宋_GB2312"/>
          <w:color w:val="auto"/>
          <w:sz w:val="28"/>
          <w:szCs w:val="28"/>
          <w:highlight w:val="none"/>
        </w:rPr>
        <w:t>补助</w:t>
      </w:r>
      <w:r>
        <w:rPr>
          <w:rFonts w:ascii="仿宋_GB2312" w:eastAsia="仿宋_GB2312"/>
          <w:color w:val="auto"/>
          <w:sz w:val="28"/>
          <w:szCs w:val="28"/>
          <w:highlight w:val="none"/>
        </w:rPr>
        <w:t>、助学金、奖励金</w:t>
      </w:r>
      <w:r>
        <w:rPr>
          <w:rFonts w:hint="eastAsia" w:ascii="仿宋_GB2312" w:eastAsia="仿宋_GB2312"/>
          <w:color w:val="auto"/>
          <w:sz w:val="28"/>
          <w:szCs w:val="28"/>
          <w:highlight w:val="none"/>
        </w:rPr>
        <w:t>、</w:t>
      </w:r>
      <w:r>
        <w:rPr>
          <w:rFonts w:ascii="仿宋_GB2312" w:eastAsia="仿宋_GB2312"/>
          <w:color w:val="auto"/>
          <w:sz w:val="28"/>
          <w:szCs w:val="28"/>
          <w:highlight w:val="none"/>
        </w:rPr>
        <w:t>其他对个人和家庭的补助</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支出</w:t>
      </w:r>
      <w:r>
        <w:rPr>
          <w:rFonts w:hint="eastAsia" w:ascii="仿宋_GB2312" w:eastAsia="仿宋_GB2312"/>
          <w:color w:val="auto"/>
          <w:sz w:val="28"/>
          <w:szCs w:val="28"/>
          <w:highlight w:val="none"/>
        </w:rPr>
        <w:t>。（4）其他资本性支出包括</w:t>
      </w:r>
      <w:r>
        <w:rPr>
          <w:rFonts w:ascii="仿宋_GB2312" w:eastAsia="仿宋_GB2312"/>
          <w:color w:val="auto"/>
          <w:sz w:val="28"/>
          <w:szCs w:val="28"/>
          <w:highlight w:val="none"/>
        </w:rPr>
        <w:t>办公设备购置、专用设备购置</w:t>
      </w:r>
      <w:r>
        <w:rPr>
          <w:rFonts w:hint="eastAsia" w:ascii="仿宋_GB2312" w:eastAsia="仿宋_GB2312"/>
          <w:color w:val="auto"/>
          <w:sz w:val="28"/>
          <w:szCs w:val="28"/>
          <w:highlight w:val="none"/>
        </w:rPr>
        <w:t>等</w:t>
      </w:r>
      <w:r>
        <w:rPr>
          <w:rFonts w:ascii="仿宋_GB2312" w:eastAsia="仿宋_GB2312"/>
          <w:color w:val="auto"/>
          <w:sz w:val="28"/>
          <w:szCs w:val="28"/>
          <w:highlight w:val="none"/>
        </w:rPr>
        <w:t>。</w:t>
      </w:r>
    </w:p>
    <w:p>
      <w:pPr>
        <w:tabs>
          <w:tab w:val="center" w:pos="6979"/>
        </w:tabs>
        <w:jc w:val="center"/>
        <w:rPr>
          <w:rFonts w:hint="eastAsia" w:ascii="宋体" w:hAnsi="宋体" w:cs="宋体"/>
          <w:b/>
          <w:color w:val="auto"/>
          <w:spacing w:val="40"/>
          <w:kern w:val="0"/>
          <w:sz w:val="32"/>
          <w:szCs w:val="32"/>
          <w:highlight w:val="none"/>
        </w:rPr>
      </w:pPr>
      <w:r>
        <w:rPr>
          <w:rFonts w:hint="eastAsia" w:ascii="宋体" w:hAnsi="宋体" w:cs="宋体"/>
          <w:b/>
          <w:bCs/>
          <w:color w:val="auto"/>
          <w:spacing w:val="40"/>
          <w:kern w:val="0"/>
          <w:sz w:val="32"/>
          <w:szCs w:val="32"/>
          <w:highlight w:val="none"/>
        </w:rPr>
        <w:t>第三部分</w:t>
      </w:r>
      <w:r>
        <w:rPr>
          <w:rFonts w:hint="eastAsia" w:ascii="宋体" w:hAnsi="宋体"/>
          <w:b/>
          <w:color w:val="auto"/>
          <w:spacing w:val="40"/>
          <w:sz w:val="32"/>
          <w:szCs w:val="32"/>
          <w:highlight w:val="none"/>
        </w:rPr>
        <w:t>2022年度</w:t>
      </w:r>
      <w:r>
        <w:rPr>
          <w:rFonts w:hint="eastAsia" w:ascii="宋体" w:hAnsi="宋体" w:cs="宋体"/>
          <w:b/>
          <w:color w:val="auto"/>
          <w:spacing w:val="40"/>
          <w:kern w:val="0"/>
          <w:sz w:val="32"/>
          <w:szCs w:val="32"/>
          <w:highlight w:val="none"/>
        </w:rPr>
        <w:t>其他重要事项的情况说明</w:t>
      </w:r>
    </w:p>
    <w:p>
      <w:pPr>
        <w:tabs>
          <w:tab w:val="center" w:pos="6979"/>
        </w:tabs>
        <w:jc w:val="left"/>
        <w:rPr>
          <w:rFonts w:hint="eastAsia" w:ascii="黑体" w:eastAsia="黑体"/>
          <w:color w:val="auto"/>
          <w:sz w:val="28"/>
          <w:szCs w:val="28"/>
          <w:highlight w:val="none"/>
        </w:rPr>
      </w:pPr>
      <w:r>
        <w:rPr>
          <w:rFonts w:hint="eastAsia" w:ascii="黑体" w:eastAsia="黑体"/>
          <w:color w:val="auto"/>
          <w:sz w:val="28"/>
          <w:szCs w:val="28"/>
          <w:highlight w:val="none"/>
          <w:lang w:val="en-US" w:eastAsia="zh-CN"/>
        </w:rPr>
        <w:t xml:space="preserve">    </w:t>
      </w:r>
      <w:r>
        <w:rPr>
          <w:rFonts w:hint="eastAsia" w:ascii="黑体" w:eastAsia="黑体"/>
          <w:color w:val="auto"/>
          <w:sz w:val="28"/>
          <w:szCs w:val="28"/>
          <w:highlight w:val="none"/>
        </w:rPr>
        <w:t>一</w:t>
      </w:r>
      <w:r>
        <w:rPr>
          <w:rFonts w:hint="eastAsia" w:ascii="黑体" w:eastAsia="黑体"/>
          <w:color w:val="auto"/>
          <w:sz w:val="28"/>
          <w:szCs w:val="28"/>
          <w:highlight w:val="none"/>
        </w:rPr>
        <w:t>、“三公”经费财政拨款决算情况</w:t>
      </w:r>
    </w:p>
    <w:p>
      <w:pPr>
        <w:tabs>
          <w:tab w:val="center" w:pos="6979"/>
        </w:tabs>
        <w:jc w:val="left"/>
        <w:rPr>
          <w:rFonts w:hint="eastAsia" w:ascii="宋体" w:hAnsi="宋体" w:cs="宋体"/>
          <w:b/>
          <w:color w:val="auto"/>
          <w:spacing w:val="40"/>
          <w:kern w:val="0"/>
          <w:sz w:val="32"/>
          <w:szCs w:val="32"/>
          <w:highlight w:val="none"/>
        </w:rPr>
      </w:pPr>
      <w:r>
        <w:rPr>
          <w:rFonts w:hint="eastAsia" w:ascii="仿宋_GB2312" w:eastAsia="仿宋_GB2312"/>
          <w:color w:val="auto"/>
          <w:sz w:val="28"/>
          <w:szCs w:val="28"/>
          <w:highlight w:val="none"/>
          <w:lang w:val="en-US" w:eastAsia="zh-CN"/>
        </w:rPr>
        <w:t xml:space="preserve">    </w:t>
      </w:r>
      <w:r>
        <w:rPr>
          <w:rFonts w:hint="eastAsia" w:ascii="仿宋_GB2312" w:eastAsia="仿宋_GB2312"/>
          <w:color w:val="auto"/>
          <w:sz w:val="28"/>
          <w:szCs w:val="28"/>
          <w:highlight w:val="none"/>
        </w:rPr>
        <w:t>“三公”</w:t>
      </w:r>
      <w:r>
        <w:rPr>
          <w:rFonts w:hint="eastAsia" w:ascii="仿宋_GB2312" w:eastAsia="仿宋_GB2312"/>
          <w:color w:val="auto"/>
          <w:sz w:val="28"/>
          <w:szCs w:val="28"/>
          <w:highlight w:val="none"/>
        </w:rPr>
        <w:t>经费包括本部门所属</w:t>
      </w:r>
      <w:r>
        <w:rPr>
          <w:rFonts w:hint="eastAsia" w:ascii="仿宋_GB2312" w:eastAsia="仿宋_GB2312"/>
          <w:bCs/>
          <w:color w:val="auto"/>
          <w:sz w:val="28"/>
          <w:szCs w:val="28"/>
          <w:highlight w:val="none"/>
          <w:lang w:val="en-US" w:eastAsia="zh-CN"/>
        </w:rPr>
        <w:t>1</w:t>
      </w:r>
      <w:r>
        <w:rPr>
          <w:rFonts w:hint="eastAsia" w:ascii="仿宋_GB2312" w:eastAsia="仿宋_GB2312"/>
          <w:color w:val="auto"/>
          <w:sz w:val="28"/>
          <w:szCs w:val="28"/>
          <w:highlight w:val="none"/>
        </w:rPr>
        <w:t>个行政单位。2022年度“三公”经费财政拨款决算数</w:t>
      </w:r>
      <w:r>
        <w:rPr>
          <w:rFonts w:hint="eastAsia" w:ascii="仿宋_GB2312" w:eastAsia="仿宋_GB2312"/>
          <w:color w:val="auto"/>
          <w:sz w:val="28"/>
          <w:szCs w:val="28"/>
          <w:highlight w:val="none"/>
          <w:lang w:val="en-US" w:eastAsia="zh-CN"/>
        </w:rPr>
        <w:t>28.90</w:t>
      </w:r>
      <w:r>
        <w:rPr>
          <w:rFonts w:hint="eastAsia" w:ascii="仿宋_GB2312" w:eastAsia="仿宋_GB2312"/>
          <w:color w:val="auto"/>
          <w:sz w:val="28"/>
          <w:szCs w:val="28"/>
          <w:highlight w:val="none"/>
        </w:rPr>
        <w:t>万元，</w:t>
      </w:r>
      <w:r>
        <w:rPr>
          <w:rFonts w:hint="eastAsia" w:ascii="仿宋_GB2312" w:eastAsia="仿宋_GB2312"/>
          <w:color w:val="auto"/>
          <w:sz w:val="28"/>
          <w:szCs w:val="28"/>
          <w:highlight w:val="none"/>
        </w:rPr>
        <w:t>比2022年度“三公”经费财政拨款年初预算</w:t>
      </w:r>
      <w:r>
        <w:rPr>
          <w:rFonts w:hint="eastAsia" w:ascii="仿宋_GB2312" w:eastAsia="仿宋_GB2312"/>
          <w:color w:val="auto"/>
          <w:sz w:val="28"/>
          <w:szCs w:val="28"/>
          <w:highlight w:val="none"/>
          <w:lang w:val="en-US" w:eastAsia="zh-CN"/>
        </w:rPr>
        <w:t>29.7</w:t>
      </w:r>
      <w:r>
        <w:rPr>
          <w:rFonts w:hint="eastAsia" w:ascii="仿宋_GB2312" w:eastAsia="仿宋_GB2312"/>
          <w:color w:val="auto"/>
          <w:sz w:val="28"/>
          <w:szCs w:val="28"/>
          <w:highlight w:val="none"/>
        </w:rPr>
        <w:t>万元减少</w:t>
      </w:r>
      <w:r>
        <w:rPr>
          <w:rFonts w:hint="eastAsia" w:ascii="仿宋_GB2312" w:eastAsia="仿宋_GB2312"/>
          <w:color w:val="auto"/>
          <w:sz w:val="28"/>
          <w:szCs w:val="28"/>
          <w:highlight w:val="none"/>
          <w:lang w:val="en-US" w:eastAsia="zh-CN"/>
        </w:rPr>
        <w:t>0.799334</w:t>
      </w:r>
      <w:r>
        <w:rPr>
          <w:rFonts w:hint="eastAsia" w:ascii="仿宋_GB2312" w:eastAsia="仿宋_GB2312"/>
          <w:color w:val="auto"/>
          <w:sz w:val="28"/>
          <w:szCs w:val="28"/>
          <w:highlight w:val="none"/>
        </w:rPr>
        <w:t>万元。其中：</w:t>
      </w:r>
    </w:p>
    <w:p>
      <w:pPr>
        <w:spacing w:line="560" w:lineRule="exact"/>
        <w:ind w:firstLine="6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1.因公出国（境）费用。2022年度决算数</w:t>
      </w:r>
      <w:r>
        <w:rPr>
          <w:rFonts w:hint="eastAsia" w:ascii="仿宋_GB2312" w:eastAsia="仿宋_GB2312"/>
          <w:color w:val="auto"/>
          <w:sz w:val="28"/>
          <w:szCs w:val="28"/>
          <w:highlight w:val="none"/>
          <w:lang w:val="en-US" w:eastAsia="zh-CN"/>
        </w:rPr>
        <w:t>0.00</w:t>
      </w:r>
      <w:r>
        <w:rPr>
          <w:rFonts w:hint="eastAsia" w:ascii="仿宋_GB2312" w:eastAsia="仿宋_GB2312"/>
          <w:color w:val="auto"/>
          <w:sz w:val="28"/>
          <w:szCs w:val="28"/>
          <w:highlight w:val="none"/>
        </w:rPr>
        <w:t>万元，2022年度年初</w:t>
      </w:r>
      <w:r>
        <w:rPr>
          <w:rFonts w:hint="eastAsia" w:ascii="仿宋_GB2312" w:eastAsia="仿宋_GB2312"/>
          <w:color w:val="auto"/>
          <w:sz w:val="28"/>
          <w:szCs w:val="28"/>
          <w:highlight w:val="none"/>
          <w:lang w:val="en-US" w:eastAsia="zh-CN"/>
        </w:rPr>
        <w:t>未安排</w:t>
      </w:r>
      <w:r>
        <w:rPr>
          <w:rFonts w:hint="eastAsia" w:ascii="仿宋_GB2312" w:eastAsia="仿宋_GB2312"/>
          <w:color w:val="auto"/>
          <w:sz w:val="28"/>
          <w:szCs w:val="28"/>
          <w:highlight w:val="none"/>
        </w:rPr>
        <w:t>预算。</w:t>
      </w:r>
    </w:p>
    <w:p>
      <w:pPr>
        <w:spacing w:line="560" w:lineRule="exact"/>
        <w:ind w:firstLine="6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2.公务接待费。2022年度决算数</w:t>
      </w:r>
      <w:r>
        <w:rPr>
          <w:rFonts w:hint="eastAsia" w:ascii="仿宋_GB2312" w:eastAsia="仿宋_GB2312"/>
          <w:color w:val="auto"/>
          <w:sz w:val="28"/>
          <w:szCs w:val="28"/>
          <w:highlight w:val="none"/>
          <w:lang w:val="en-US" w:eastAsia="zh-CN"/>
        </w:rPr>
        <w:t>0.00</w:t>
      </w:r>
      <w:r>
        <w:rPr>
          <w:rFonts w:hint="eastAsia" w:ascii="仿宋_GB2312" w:eastAsia="仿宋_GB2312"/>
          <w:color w:val="auto"/>
          <w:sz w:val="28"/>
          <w:szCs w:val="28"/>
          <w:highlight w:val="none"/>
        </w:rPr>
        <w:t>万元，2022年度年初</w:t>
      </w:r>
      <w:r>
        <w:rPr>
          <w:rFonts w:hint="eastAsia" w:ascii="仿宋_GB2312" w:eastAsia="仿宋_GB2312"/>
          <w:color w:val="auto"/>
          <w:sz w:val="28"/>
          <w:szCs w:val="28"/>
          <w:highlight w:val="none"/>
          <w:lang w:val="en-US" w:eastAsia="zh-CN"/>
        </w:rPr>
        <w:t>未安排</w:t>
      </w:r>
      <w:r>
        <w:rPr>
          <w:rFonts w:hint="eastAsia" w:ascii="仿宋_GB2312" w:eastAsia="仿宋_GB2312"/>
          <w:color w:val="auto"/>
          <w:sz w:val="28"/>
          <w:szCs w:val="28"/>
          <w:highlight w:val="none"/>
        </w:rPr>
        <w:t>预算。</w:t>
      </w:r>
    </w:p>
    <w:p>
      <w:pPr>
        <w:spacing w:line="56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3.</w:t>
      </w:r>
      <w:r>
        <w:rPr>
          <w:rFonts w:hint="eastAsia" w:ascii="仿宋_GB2312" w:eastAsia="仿宋_GB2312"/>
          <w:color w:val="auto"/>
          <w:sz w:val="28"/>
          <w:szCs w:val="28"/>
          <w:highlight w:val="none"/>
        </w:rPr>
        <w:t>公务用车购置及运行维护费。2022年度决算数28.90万元，比2022年度年初预算数</w:t>
      </w:r>
      <w:r>
        <w:rPr>
          <w:rFonts w:hint="eastAsia" w:ascii="仿宋_GB2312" w:eastAsia="仿宋_GB2312"/>
          <w:color w:val="auto"/>
          <w:sz w:val="28"/>
          <w:szCs w:val="28"/>
          <w:highlight w:val="none"/>
          <w:lang w:val="en-US" w:eastAsia="zh-CN"/>
        </w:rPr>
        <w:t>29.7</w:t>
      </w:r>
      <w:r>
        <w:rPr>
          <w:rFonts w:hint="eastAsia" w:ascii="仿宋_GB2312" w:eastAsia="仿宋_GB2312"/>
          <w:color w:val="auto"/>
          <w:sz w:val="28"/>
          <w:szCs w:val="28"/>
          <w:highlight w:val="none"/>
        </w:rPr>
        <w:t>万元减少</w:t>
      </w:r>
      <w:r>
        <w:rPr>
          <w:rFonts w:hint="eastAsia" w:ascii="仿宋_GB2312" w:eastAsia="仿宋_GB2312"/>
          <w:color w:val="auto"/>
          <w:sz w:val="28"/>
          <w:szCs w:val="28"/>
          <w:highlight w:val="none"/>
          <w:lang w:val="en-US" w:eastAsia="zh-CN"/>
        </w:rPr>
        <w:t>0.80</w:t>
      </w:r>
      <w:r>
        <w:rPr>
          <w:rFonts w:hint="eastAsia" w:ascii="仿宋_GB2312" w:eastAsia="仿宋_GB2312"/>
          <w:color w:val="auto"/>
          <w:sz w:val="28"/>
          <w:szCs w:val="28"/>
          <w:highlight w:val="none"/>
        </w:rPr>
        <w:t>万元。其中，公务用车购置费2022年度决算数</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万元，比2022年度年初预算数</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万元增加</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万元。主要原因：</w:t>
      </w:r>
      <w:r>
        <w:rPr>
          <w:rFonts w:hint="eastAsia" w:ascii="仿宋_GB2312" w:eastAsia="仿宋_GB2312"/>
          <w:color w:val="auto"/>
          <w:sz w:val="28"/>
          <w:szCs w:val="28"/>
          <w:highlight w:val="none"/>
          <w:lang w:val="en-US" w:eastAsia="zh-CN"/>
        </w:rPr>
        <w:t>按实际发生支出</w:t>
      </w:r>
      <w:r>
        <w:rPr>
          <w:rFonts w:hint="eastAsia" w:ascii="仿宋_GB2312" w:eastAsia="仿宋_GB2312"/>
          <w:color w:val="auto"/>
          <w:sz w:val="28"/>
          <w:szCs w:val="28"/>
          <w:highlight w:val="none"/>
        </w:rPr>
        <w:t>，2022年度购置（更新）</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辆，车均购置费</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万元。公务用车运行维护费2022年度决算数28.90万元，比2022年度年初预算数</w:t>
      </w:r>
      <w:r>
        <w:rPr>
          <w:rFonts w:hint="eastAsia" w:ascii="仿宋_GB2312" w:eastAsia="仿宋_GB2312"/>
          <w:color w:val="auto"/>
          <w:sz w:val="28"/>
          <w:szCs w:val="28"/>
          <w:highlight w:val="none"/>
          <w:lang w:val="en-US" w:eastAsia="zh-CN"/>
        </w:rPr>
        <w:t>29.7</w:t>
      </w:r>
      <w:r>
        <w:rPr>
          <w:rFonts w:hint="eastAsia" w:ascii="仿宋_GB2312" w:eastAsia="仿宋_GB2312"/>
          <w:color w:val="auto"/>
          <w:sz w:val="28"/>
          <w:szCs w:val="28"/>
          <w:highlight w:val="none"/>
        </w:rPr>
        <w:t>万元减少</w:t>
      </w:r>
      <w:r>
        <w:rPr>
          <w:rFonts w:hint="eastAsia" w:ascii="仿宋_GB2312" w:eastAsia="仿宋_GB2312"/>
          <w:color w:val="auto"/>
          <w:sz w:val="28"/>
          <w:szCs w:val="28"/>
          <w:highlight w:val="none"/>
          <w:lang w:val="en-US" w:eastAsia="zh-CN"/>
        </w:rPr>
        <w:t>0.80</w:t>
      </w:r>
      <w:r>
        <w:rPr>
          <w:rFonts w:hint="eastAsia" w:ascii="仿宋_GB2312" w:eastAsia="仿宋_GB2312"/>
          <w:color w:val="auto"/>
          <w:sz w:val="28"/>
          <w:szCs w:val="28"/>
          <w:highlight w:val="none"/>
        </w:rPr>
        <w:t>万元，主要原因：</w:t>
      </w:r>
      <w:r>
        <w:rPr>
          <w:rFonts w:hint="eastAsia" w:ascii="仿宋_GB2312" w:hAnsi="仿宋_GB2312" w:eastAsia="仿宋_GB2312" w:cs="仿宋_GB2312"/>
          <w:color w:val="auto"/>
          <w:sz w:val="28"/>
          <w:szCs w:val="28"/>
          <w:highlight w:val="none"/>
          <w:lang w:eastAsia="zh-CN"/>
        </w:rPr>
        <w:t>压缩公务用车运行维护费支出</w:t>
      </w:r>
      <w:r>
        <w:rPr>
          <w:rFonts w:hint="eastAsia" w:ascii="仿宋_GB2312" w:eastAsia="仿宋_GB2312"/>
          <w:color w:val="auto"/>
          <w:sz w:val="28"/>
          <w:szCs w:val="28"/>
          <w:highlight w:val="none"/>
        </w:rPr>
        <w:t>。2022年度公务用车运行维护费中，公务用车加油</w:t>
      </w:r>
      <w:r>
        <w:rPr>
          <w:rFonts w:hint="eastAsia" w:ascii="仿宋_GB2312" w:eastAsia="仿宋_GB2312"/>
          <w:color w:val="auto"/>
          <w:sz w:val="28"/>
          <w:szCs w:val="28"/>
          <w:highlight w:val="none"/>
          <w:lang w:val="en-US" w:eastAsia="zh-CN"/>
        </w:rPr>
        <w:t>20.95</w:t>
      </w:r>
      <w:r>
        <w:rPr>
          <w:rFonts w:hint="eastAsia" w:ascii="仿宋_GB2312" w:eastAsia="仿宋_GB2312"/>
          <w:color w:val="auto"/>
          <w:sz w:val="28"/>
          <w:szCs w:val="28"/>
          <w:highlight w:val="none"/>
        </w:rPr>
        <w:t>万元，公务用车维修</w:t>
      </w:r>
      <w:r>
        <w:rPr>
          <w:rFonts w:hint="eastAsia" w:ascii="仿宋_GB2312" w:eastAsia="仿宋_GB2312"/>
          <w:color w:val="auto"/>
          <w:sz w:val="28"/>
          <w:szCs w:val="28"/>
          <w:highlight w:val="none"/>
          <w:lang w:val="en-US" w:eastAsia="zh-CN"/>
        </w:rPr>
        <w:t>5.47</w:t>
      </w:r>
      <w:r>
        <w:rPr>
          <w:rFonts w:hint="eastAsia" w:ascii="仿宋_GB2312" w:eastAsia="仿宋_GB2312"/>
          <w:color w:val="auto"/>
          <w:sz w:val="28"/>
          <w:szCs w:val="28"/>
          <w:highlight w:val="none"/>
        </w:rPr>
        <w:t>万元，公务用车保险</w:t>
      </w:r>
      <w:r>
        <w:rPr>
          <w:rFonts w:hint="eastAsia" w:ascii="仿宋_GB2312" w:eastAsia="仿宋_GB2312"/>
          <w:color w:val="auto"/>
          <w:sz w:val="28"/>
          <w:szCs w:val="28"/>
          <w:highlight w:val="none"/>
          <w:lang w:val="en-US" w:eastAsia="zh-CN"/>
        </w:rPr>
        <w:t>2.48</w:t>
      </w:r>
      <w:r>
        <w:rPr>
          <w:rFonts w:hint="eastAsia" w:ascii="仿宋_GB2312" w:eastAsia="仿宋_GB2312"/>
          <w:color w:val="auto"/>
          <w:sz w:val="28"/>
          <w:szCs w:val="28"/>
          <w:highlight w:val="none"/>
        </w:rPr>
        <w:t>万元，公务用车其他支出</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万元。2022年度公务用车保有量</w:t>
      </w:r>
      <w:r>
        <w:rPr>
          <w:rFonts w:hint="eastAsia" w:ascii="仿宋_GB2312" w:eastAsia="仿宋_GB2312"/>
          <w:color w:val="auto"/>
          <w:sz w:val="28"/>
          <w:szCs w:val="28"/>
          <w:highlight w:val="none"/>
          <w:lang w:val="en-US" w:eastAsia="zh-CN"/>
        </w:rPr>
        <w:t>11</w:t>
      </w:r>
      <w:r>
        <w:rPr>
          <w:rFonts w:hint="eastAsia" w:ascii="仿宋_GB2312" w:eastAsia="仿宋_GB2312"/>
          <w:color w:val="auto"/>
          <w:sz w:val="28"/>
          <w:szCs w:val="28"/>
          <w:highlight w:val="none"/>
        </w:rPr>
        <w:t>辆，车均运行维护费</w:t>
      </w:r>
      <w:r>
        <w:rPr>
          <w:rFonts w:hint="eastAsia" w:ascii="仿宋_GB2312" w:eastAsia="仿宋_GB2312"/>
          <w:color w:val="auto"/>
          <w:sz w:val="28"/>
          <w:szCs w:val="28"/>
          <w:highlight w:val="none"/>
          <w:lang w:val="en-US" w:eastAsia="zh-CN"/>
        </w:rPr>
        <w:t>2.63</w:t>
      </w:r>
      <w:r>
        <w:rPr>
          <w:rFonts w:hint="eastAsia" w:ascii="仿宋_GB2312" w:eastAsia="仿宋_GB2312"/>
          <w:color w:val="auto"/>
          <w:sz w:val="28"/>
          <w:szCs w:val="28"/>
          <w:highlight w:val="none"/>
        </w:rPr>
        <w:t>万元。</w:t>
      </w:r>
    </w:p>
    <w:p>
      <w:pPr>
        <w:spacing w:line="560" w:lineRule="exact"/>
        <w:ind w:firstLine="560" w:firstLineChars="200"/>
        <w:rPr>
          <w:rFonts w:ascii="仿宋_GB2312" w:eastAsia="仿宋_GB2312"/>
          <w:color w:val="auto"/>
          <w:sz w:val="28"/>
          <w:szCs w:val="28"/>
          <w:highlight w:val="none"/>
        </w:rPr>
      </w:pPr>
      <w:r>
        <w:rPr>
          <w:rFonts w:hint="eastAsia" w:ascii="黑体" w:eastAsia="黑体"/>
          <w:color w:val="auto"/>
          <w:sz w:val="28"/>
          <w:szCs w:val="28"/>
          <w:highlight w:val="none"/>
        </w:rPr>
        <w:t>二、机关运行经费支出情况</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2022年度使用财政拨款安排的基本支出中的日常公用经费支出，合计</w:t>
      </w:r>
      <w:r>
        <w:rPr>
          <w:rFonts w:hint="eastAsia" w:ascii="仿宋_GB2312" w:eastAsia="仿宋_GB2312"/>
          <w:color w:val="auto"/>
          <w:sz w:val="28"/>
          <w:szCs w:val="28"/>
          <w:highlight w:val="none"/>
          <w:lang w:val="en-US" w:eastAsia="zh-CN"/>
        </w:rPr>
        <w:t>496.71</w:t>
      </w:r>
      <w:r>
        <w:rPr>
          <w:rFonts w:hint="eastAsia" w:ascii="仿宋_GB2312" w:eastAsia="仿宋_GB2312"/>
          <w:color w:val="auto"/>
          <w:sz w:val="28"/>
          <w:szCs w:val="28"/>
          <w:highlight w:val="none"/>
        </w:rPr>
        <w:t>万元，比上年减少</w:t>
      </w:r>
      <w:r>
        <w:rPr>
          <w:rFonts w:hint="eastAsia" w:ascii="仿宋_GB2312" w:eastAsia="仿宋_GB2312"/>
          <w:color w:val="auto"/>
          <w:sz w:val="28"/>
          <w:szCs w:val="28"/>
          <w:highlight w:val="none"/>
          <w:lang w:val="en-US" w:eastAsia="zh-CN"/>
        </w:rPr>
        <w:t>1824.65</w:t>
      </w:r>
      <w:r>
        <w:rPr>
          <w:rFonts w:hint="eastAsia" w:ascii="仿宋_GB2312" w:eastAsia="仿宋_GB2312"/>
          <w:color w:val="auto"/>
          <w:sz w:val="28"/>
          <w:szCs w:val="28"/>
          <w:highlight w:val="none"/>
        </w:rPr>
        <w:t>万元，减少</w:t>
      </w:r>
      <w:r>
        <w:rPr>
          <w:rFonts w:hint="eastAsia" w:ascii="仿宋_GB2312" w:eastAsia="仿宋_GB2312"/>
          <w:color w:val="auto"/>
          <w:sz w:val="28"/>
          <w:szCs w:val="28"/>
          <w:highlight w:val="none"/>
          <w:lang w:val="en-US" w:eastAsia="zh-CN"/>
        </w:rPr>
        <w:t>78.6%。主要</w:t>
      </w:r>
      <w:r>
        <w:rPr>
          <w:rFonts w:hint="eastAsia" w:ascii="仿宋_GB2312" w:eastAsia="仿宋_GB2312"/>
          <w:color w:val="auto"/>
          <w:sz w:val="28"/>
          <w:szCs w:val="28"/>
          <w:highlight w:val="none"/>
        </w:rPr>
        <w:t>原因：</w:t>
      </w:r>
      <w:r>
        <w:rPr>
          <w:rFonts w:hint="eastAsia" w:ascii="仿宋_GB2312" w:eastAsia="仿宋_GB2312"/>
          <w:color w:val="auto"/>
          <w:sz w:val="28"/>
          <w:szCs w:val="28"/>
          <w:highlight w:val="none"/>
          <w:lang w:val="en-US" w:eastAsia="zh-CN"/>
        </w:rPr>
        <w:t>教育体制上划，运行经费相应减少</w:t>
      </w:r>
      <w:r>
        <w:rPr>
          <w:rFonts w:hint="eastAsia" w:ascii="仿宋_GB2312" w:eastAsia="仿宋_GB2312"/>
          <w:color w:val="auto"/>
          <w:sz w:val="28"/>
          <w:szCs w:val="28"/>
          <w:highlight w:val="none"/>
        </w:rPr>
        <w:t>。</w:t>
      </w:r>
    </w:p>
    <w:p>
      <w:pPr>
        <w:ind w:left="540"/>
        <w:rPr>
          <w:rFonts w:hint="eastAsia" w:ascii="黑体" w:eastAsia="黑体"/>
          <w:color w:val="auto"/>
          <w:sz w:val="28"/>
          <w:szCs w:val="28"/>
          <w:highlight w:val="none"/>
        </w:rPr>
      </w:pPr>
      <w:r>
        <w:rPr>
          <w:rFonts w:hint="eastAsia" w:ascii="黑体" w:eastAsia="黑体"/>
          <w:color w:val="auto"/>
          <w:sz w:val="28"/>
          <w:szCs w:val="28"/>
          <w:highlight w:val="none"/>
        </w:rPr>
        <w:t>三、政府采购支出情况</w:t>
      </w:r>
    </w:p>
    <w:p>
      <w:pPr>
        <w:ind w:firstLine="537" w:firstLineChars="192"/>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2022年度政府采购支出总额</w:t>
      </w:r>
      <w:r>
        <w:rPr>
          <w:rFonts w:hint="eastAsia" w:ascii="仿宋_GB2312" w:eastAsia="仿宋_GB2312"/>
          <w:color w:val="auto"/>
          <w:sz w:val="28"/>
          <w:szCs w:val="28"/>
          <w:highlight w:val="none"/>
          <w:lang w:val="en-US" w:eastAsia="zh-CN"/>
        </w:rPr>
        <w:t>200.07</w:t>
      </w:r>
      <w:r>
        <w:rPr>
          <w:rFonts w:hint="eastAsia" w:ascii="仿宋_GB2312" w:eastAsia="仿宋_GB2312"/>
          <w:color w:val="auto"/>
          <w:sz w:val="28"/>
          <w:szCs w:val="28"/>
          <w:highlight w:val="none"/>
        </w:rPr>
        <w:t>万元，其中：政府采购货物支出</w:t>
      </w:r>
      <w:r>
        <w:rPr>
          <w:rFonts w:hint="eastAsia" w:ascii="仿宋_GB2312" w:eastAsia="仿宋_GB2312"/>
          <w:color w:val="auto"/>
          <w:sz w:val="28"/>
          <w:szCs w:val="28"/>
          <w:highlight w:val="none"/>
          <w:lang w:val="en-US" w:eastAsia="zh-CN"/>
        </w:rPr>
        <w:t>200.07</w:t>
      </w:r>
      <w:r>
        <w:rPr>
          <w:rFonts w:hint="eastAsia" w:ascii="仿宋_GB2312" w:eastAsia="仿宋_GB2312"/>
          <w:color w:val="auto"/>
          <w:sz w:val="28"/>
          <w:szCs w:val="28"/>
          <w:highlight w:val="none"/>
        </w:rPr>
        <w:t>万元，政府采购工程支出</w:t>
      </w:r>
      <w:r>
        <w:rPr>
          <w:rFonts w:hint="eastAsia" w:ascii="仿宋_GB2312" w:eastAsia="仿宋_GB2312"/>
          <w:color w:val="auto"/>
          <w:sz w:val="28"/>
          <w:szCs w:val="28"/>
          <w:highlight w:val="none"/>
          <w:lang w:val="en-US" w:eastAsia="zh-CN"/>
        </w:rPr>
        <w:t>0.00</w:t>
      </w:r>
      <w:r>
        <w:rPr>
          <w:rFonts w:hint="eastAsia" w:ascii="仿宋_GB2312" w:eastAsia="仿宋_GB2312"/>
          <w:color w:val="auto"/>
          <w:sz w:val="28"/>
          <w:szCs w:val="28"/>
          <w:highlight w:val="none"/>
        </w:rPr>
        <w:t>万元，政府采购服务支出</w:t>
      </w:r>
      <w:r>
        <w:rPr>
          <w:rFonts w:hint="eastAsia" w:ascii="仿宋_GB2312" w:eastAsia="仿宋_GB2312"/>
          <w:color w:val="auto"/>
          <w:sz w:val="28"/>
          <w:szCs w:val="28"/>
          <w:highlight w:val="none"/>
          <w:lang w:val="en-US" w:eastAsia="zh-CN"/>
        </w:rPr>
        <w:t>0.00</w:t>
      </w:r>
      <w:r>
        <w:rPr>
          <w:rFonts w:hint="eastAsia" w:ascii="仿宋_GB2312" w:eastAsia="仿宋_GB2312"/>
          <w:color w:val="auto"/>
          <w:sz w:val="28"/>
          <w:szCs w:val="28"/>
          <w:highlight w:val="none"/>
        </w:rPr>
        <w:t>万元。授予中小企业合同金额</w:t>
      </w:r>
      <w:r>
        <w:rPr>
          <w:rFonts w:hint="eastAsia" w:ascii="仿宋_GB2312" w:eastAsia="仿宋_GB2312"/>
          <w:color w:val="auto"/>
          <w:sz w:val="28"/>
          <w:szCs w:val="28"/>
          <w:highlight w:val="none"/>
          <w:lang w:val="en-US" w:eastAsia="zh-CN"/>
        </w:rPr>
        <w:t>200.07</w:t>
      </w:r>
      <w:r>
        <w:rPr>
          <w:rFonts w:hint="eastAsia" w:ascii="仿宋_GB2312" w:eastAsia="仿宋_GB2312"/>
          <w:color w:val="auto"/>
          <w:sz w:val="28"/>
          <w:szCs w:val="28"/>
          <w:highlight w:val="none"/>
        </w:rPr>
        <w:t>万元，占政府采购支出总额的</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%，其中：授予小微企业合同金额</w:t>
      </w:r>
      <w:r>
        <w:rPr>
          <w:rFonts w:hint="eastAsia" w:ascii="仿宋_GB2312" w:eastAsia="仿宋_GB2312"/>
          <w:color w:val="auto"/>
          <w:sz w:val="28"/>
          <w:szCs w:val="28"/>
          <w:highlight w:val="none"/>
          <w:lang w:val="en-US" w:eastAsia="zh-CN"/>
        </w:rPr>
        <w:t>200.07</w:t>
      </w:r>
      <w:r>
        <w:rPr>
          <w:rFonts w:hint="eastAsia" w:ascii="仿宋_GB2312" w:eastAsia="仿宋_GB2312"/>
          <w:color w:val="auto"/>
          <w:sz w:val="28"/>
          <w:szCs w:val="28"/>
          <w:highlight w:val="none"/>
        </w:rPr>
        <w:t>万元，占政府采购支出总额的</w:t>
      </w:r>
      <w:r>
        <w:rPr>
          <w:rFonts w:hint="eastAsia" w:ascii="仿宋_GB2312" w:eastAsia="仿宋_GB2312"/>
          <w:color w:val="auto"/>
          <w:sz w:val="28"/>
          <w:szCs w:val="28"/>
          <w:highlight w:val="none"/>
          <w:lang w:val="en-US" w:eastAsia="zh-CN"/>
        </w:rPr>
        <w:t>100</w:t>
      </w:r>
      <w:r>
        <w:rPr>
          <w:rFonts w:hint="eastAsia" w:ascii="仿宋_GB2312" w:eastAsia="仿宋_GB2312"/>
          <w:color w:val="auto"/>
          <w:sz w:val="28"/>
          <w:szCs w:val="28"/>
          <w:highlight w:val="none"/>
        </w:rPr>
        <w:t>%。</w:t>
      </w:r>
    </w:p>
    <w:p>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四、国有资产占用情况</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截至2022年底，本部门固定资产总额</w:t>
      </w:r>
      <w:r>
        <w:rPr>
          <w:rFonts w:hint="eastAsia" w:ascii="仿宋_GB2312" w:eastAsia="仿宋_GB2312"/>
          <w:color w:val="auto"/>
          <w:sz w:val="28"/>
          <w:szCs w:val="28"/>
          <w:highlight w:val="none"/>
          <w:lang w:val="en-US" w:eastAsia="zh-CN"/>
        </w:rPr>
        <w:t>12912.35</w:t>
      </w:r>
      <w:r>
        <w:rPr>
          <w:rFonts w:hint="eastAsia" w:ascii="仿宋_GB2312" w:eastAsia="仿宋_GB2312"/>
          <w:color w:val="auto"/>
          <w:sz w:val="28"/>
          <w:szCs w:val="28"/>
          <w:highlight w:val="none"/>
        </w:rPr>
        <w:t>万元，其中车辆</w:t>
      </w:r>
      <w:r>
        <w:rPr>
          <w:rFonts w:hint="eastAsia" w:ascii="仿宋_GB2312" w:eastAsia="仿宋_GB2312"/>
          <w:color w:val="auto"/>
          <w:sz w:val="28"/>
          <w:szCs w:val="28"/>
          <w:highlight w:val="none"/>
          <w:lang w:val="en-US" w:eastAsia="zh-CN"/>
        </w:rPr>
        <w:t>20</w:t>
      </w:r>
      <w:r>
        <w:rPr>
          <w:rFonts w:hint="eastAsia" w:ascii="仿宋_GB2312" w:eastAsia="仿宋_GB2312"/>
          <w:color w:val="auto"/>
          <w:sz w:val="28"/>
          <w:szCs w:val="28"/>
          <w:highlight w:val="none"/>
        </w:rPr>
        <w:t>台，</w:t>
      </w:r>
      <w:r>
        <w:rPr>
          <w:rFonts w:hint="eastAsia" w:ascii="仿宋_GB2312" w:eastAsia="仿宋_GB2312"/>
          <w:color w:val="auto"/>
          <w:sz w:val="28"/>
          <w:szCs w:val="28"/>
          <w:highlight w:val="none"/>
          <w:lang w:val="en-US" w:eastAsia="zh-CN"/>
        </w:rPr>
        <w:t>1200.45</w:t>
      </w:r>
      <w:r>
        <w:rPr>
          <w:rFonts w:hint="eastAsia" w:ascii="仿宋_GB2312" w:eastAsia="仿宋_GB2312"/>
          <w:color w:val="auto"/>
          <w:sz w:val="28"/>
          <w:szCs w:val="28"/>
          <w:highlight w:val="none"/>
        </w:rPr>
        <w:t>万元；单位价值100万元以上的设备</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台（套）。</w:t>
      </w:r>
    </w:p>
    <w:p>
      <w:pPr>
        <w:spacing w:line="560" w:lineRule="exact"/>
        <w:ind w:firstLine="560" w:firstLineChars="200"/>
        <w:rPr>
          <w:rFonts w:hint="eastAsia" w:ascii="仿宋_GB2312" w:eastAsia="仿宋_GB2312"/>
          <w:b/>
          <w:color w:val="auto"/>
          <w:sz w:val="28"/>
          <w:szCs w:val="28"/>
          <w:highlight w:val="none"/>
        </w:rPr>
      </w:pPr>
      <w:r>
        <w:rPr>
          <w:rFonts w:hint="eastAsia" w:ascii="黑体" w:eastAsia="黑体"/>
          <w:color w:val="auto"/>
          <w:sz w:val="28"/>
          <w:szCs w:val="28"/>
          <w:highlight w:val="none"/>
        </w:rPr>
        <w:t>五</w:t>
      </w:r>
      <w:r>
        <w:rPr>
          <w:rFonts w:ascii="黑体" w:eastAsia="黑体"/>
          <w:color w:val="auto"/>
          <w:sz w:val="28"/>
          <w:szCs w:val="28"/>
          <w:highlight w:val="none"/>
        </w:rPr>
        <w:t>、</w:t>
      </w:r>
      <w:r>
        <w:rPr>
          <w:rFonts w:hint="eastAsia" w:ascii="黑体" w:eastAsia="黑体"/>
          <w:color w:val="auto"/>
          <w:sz w:val="28"/>
          <w:szCs w:val="28"/>
          <w:highlight w:val="none"/>
        </w:rPr>
        <w:t>绩效评价结果情况</w:t>
      </w:r>
    </w:p>
    <w:p>
      <w:pPr>
        <w:spacing w:line="560" w:lineRule="exact"/>
        <w:ind w:firstLine="560" w:firstLineChars="200"/>
        <w:rPr>
          <w:rFonts w:hint="eastAsia" w:ascii="仿宋_GB2312" w:eastAsia="仿宋_GB2312"/>
          <w:color w:val="auto"/>
          <w:sz w:val="28"/>
          <w:szCs w:val="28"/>
          <w:highlight w:val="none"/>
        </w:rPr>
      </w:pPr>
      <w:r>
        <w:rPr>
          <w:rFonts w:ascii="仿宋_GB2312" w:eastAsia="仿宋_GB2312"/>
          <w:color w:val="auto"/>
          <w:sz w:val="28"/>
          <w:szCs w:val="28"/>
          <w:highlight w:val="none"/>
        </w:rPr>
        <w:t>2023年</w:t>
      </w:r>
      <w:r>
        <w:rPr>
          <w:rFonts w:hint="eastAsia" w:ascii="仿宋_GB2312" w:eastAsia="仿宋_GB2312"/>
          <w:color w:val="auto"/>
          <w:sz w:val="28"/>
          <w:szCs w:val="28"/>
          <w:highlight w:val="none"/>
        </w:rPr>
        <w:t>，</w:t>
      </w:r>
      <w:r>
        <w:rPr>
          <w:rFonts w:ascii="仿宋_GB2312" w:eastAsia="仿宋_GB2312"/>
          <w:color w:val="auto"/>
          <w:sz w:val="28"/>
          <w:szCs w:val="28"/>
          <w:highlight w:val="none"/>
        </w:rPr>
        <w:t>本部门对2022年度部门项目支出实施了绩效评价，</w:t>
      </w:r>
      <w:r>
        <w:rPr>
          <w:rFonts w:hint="eastAsia" w:ascii="仿宋_GB2312" w:eastAsia="仿宋_GB2312"/>
          <w:color w:val="auto"/>
          <w:sz w:val="28"/>
          <w:szCs w:val="28"/>
          <w:highlight w:val="none"/>
        </w:rPr>
        <w:t>单位自评</w:t>
      </w:r>
      <w:r>
        <w:rPr>
          <w:rFonts w:hint="eastAsia" w:ascii="仿宋_GB2312" w:eastAsia="仿宋_GB2312"/>
          <w:color w:val="auto"/>
          <w:sz w:val="28"/>
          <w:szCs w:val="28"/>
          <w:highlight w:val="none"/>
          <w:lang w:val="en-US" w:eastAsia="zh-CN"/>
        </w:rPr>
        <w:t>264</w:t>
      </w:r>
      <w:r>
        <w:rPr>
          <w:rFonts w:ascii="仿宋_GB2312" w:eastAsia="仿宋_GB2312"/>
          <w:color w:val="auto"/>
          <w:sz w:val="28"/>
          <w:szCs w:val="28"/>
          <w:highlight w:val="none"/>
        </w:rPr>
        <w:t>个，占部门项目总数的</w:t>
      </w:r>
      <w:r>
        <w:rPr>
          <w:rFonts w:hint="eastAsia" w:ascii="仿宋_GB2312" w:eastAsia="仿宋_GB2312"/>
          <w:color w:val="auto"/>
          <w:sz w:val="28"/>
          <w:szCs w:val="28"/>
          <w:highlight w:val="none"/>
          <w:lang w:val="en-US" w:eastAsia="zh-CN"/>
        </w:rPr>
        <w:t>95.83</w:t>
      </w:r>
      <w:r>
        <w:rPr>
          <w:rFonts w:ascii="仿宋_GB2312" w:eastAsia="仿宋_GB2312"/>
          <w:color w:val="auto"/>
          <w:sz w:val="28"/>
          <w:szCs w:val="28"/>
          <w:highlight w:val="none"/>
        </w:rPr>
        <w:t xml:space="preserve"> %，涉及金额</w:t>
      </w:r>
      <w:r>
        <w:rPr>
          <w:rFonts w:hint="eastAsia" w:ascii="仿宋_GB2312" w:eastAsia="仿宋_GB2312"/>
          <w:color w:val="auto"/>
          <w:sz w:val="28"/>
          <w:szCs w:val="28"/>
          <w:highlight w:val="none"/>
          <w:lang w:val="en-US" w:eastAsia="zh-CN"/>
        </w:rPr>
        <w:t>68138.87</w:t>
      </w:r>
      <w:r>
        <w:rPr>
          <w:rFonts w:ascii="仿宋_GB2312" w:eastAsia="仿宋_GB2312"/>
          <w:color w:val="auto"/>
          <w:sz w:val="28"/>
          <w:szCs w:val="28"/>
          <w:highlight w:val="none"/>
        </w:rPr>
        <w:t>万元。评价得分在90分（含90分）以上的</w:t>
      </w:r>
      <w:r>
        <w:rPr>
          <w:rFonts w:hint="eastAsia" w:ascii="仿宋_GB2312" w:eastAsia="仿宋_GB2312"/>
          <w:color w:val="auto"/>
          <w:sz w:val="28"/>
          <w:szCs w:val="28"/>
          <w:highlight w:val="none"/>
          <w:lang w:val="en-US" w:eastAsia="zh-CN"/>
        </w:rPr>
        <w:t>264</w:t>
      </w:r>
      <w:r>
        <w:rPr>
          <w:rFonts w:ascii="仿宋_GB2312" w:eastAsia="仿宋_GB2312"/>
          <w:color w:val="auto"/>
          <w:sz w:val="28"/>
          <w:szCs w:val="28"/>
          <w:highlight w:val="none"/>
        </w:rPr>
        <w:t>个、评价得分在80-90分（含80分）的</w:t>
      </w:r>
      <w:r>
        <w:rPr>
          <w:rFonts w:hint="eastAsia" w:ascii="仿宋_GB2312" w:eastAsia="仿宋_GB2312"/>
          <w:color w:val="auto"/>
          <w:sz w:val="28"/>
          <w:szCs w:val="28"/>
          <w:highlight w:val="none"/>
          <w:lang w:val="en-US" w:eastAsia="zh-CN"/>
        </w:rPr>
        <w:t>0</w:t>
      </w:r>
      <w:r>
        <w:rPr>
          <w:rFonts w:ascii="仿宋_GB2312" w:eastAsia="仿宋_GB2312"/>
          <w:color w:val="auto"/>
          <w:sz w:val="28"/>
          <w:szCs w:val="28"/>
          <w:highlight w:val="none"/>
        </w:rPr>
        <w:t>个、评价得分在60-80分（含60分）的</w:t>
      </w:r>
      <w:r>
        <w:rPr>
          <w:rFonts w:hint="eastAsia" w:ascii="仿宋_GB2312" w:eastAsia="仿宋_GB2312"/>
          <w:color w:val="auto"/>
          <w:sz w:val="28"/>
          <w:szCs w:val="28"/>
          <w:highlight w:val="none"/>
          <w:lang w:val="en-US" w:eastAsia="zh-CN"/>
        </w:rPr>
        <w:t>0</w:t>
      </w:r>
      <w:r>
        <w:rPr>
          <w:rFonts w:ascii="仿宋_GB2312" w:eastAsia="仿宋_GB2312"/>
          <w:color w:val="auto"/>
          <w:sz w:val="28"/>
          <w:szCs w:val="28"/>
          <w:highlight w:val="none"/>
        </w:rPr>
        <w:t>个、评价得分在60分以下的</w:t>
      </w:r>
      <w:r>
        <w:rPr>
          <w:rFonts w:hint="eastAsia" w:ascii="仿宋_GB2312" w:eastAsia="仿宋_GB2312"/>
          <w:color w:val="auto"/>
          <w:sz w:val="28"/>
          <w:szCs w:val="28"/>
          <w:highlight w:val="none"/>
          <w:lang w:val="en-US" w:eastAsia="zh-CN"/>
        </w:rPr>
        <w:t>0</w:t>
      </w:r>
      <w:r>
        <w:rPr>
          <w:rFonts w:ascii="仿宋_GB2312" w:eastAsia="仿宋_GB2312"/>
          <w:color w:val="auto"/>
          <w:sz w:val="28"/>
          <w:szCs w:val="28"/>
          <w:highlight w:val="none"/>
        </w:rPr>
        <w:t>个。</w:t>
      </w:r>
    </w:p>
    <w:p>
      <w:pPr>
        <w:spacing w:line="560" w:lineRule="exact"/>
        <w:ind w:firstLine="560" w:firstLineChars="200"/>
        <w:rPr>
          <w:rFonts w:hint="eastAsia" w:ascii="仿宋_GB2312" w:eastAsia="仿宋_GB2312"/>
          <w:color w:val="auto"/>
          <w:sz w:val="28"/>
          <w:szCs w:val="28"/>
          <w:highlight w:val="none"/>
        </w:rPr>
      </w:pPr>
      <w:r>
        <w:rPr>
          <w:rFonts w:hint="eastAsia" w:ascii="黑体" w:eastAsia="黑体"/>
          <w:color w:val="auto"/>
          <w:sz w:val="28"/>
          <w:szCs w:val="28"/>
          <w:highlight w:val="none"/>
        </w:rPr>
        <w:t>六</w:t>
      </w:r>
      <w:r>
        <w:rPr>
          <w:rFonts w:ascii="黑体" w:eastAsia="黑体"/>
          <w:color w:val="auto"/>
          <w:sz w:val="28"/>
          <w:szCs w:val="28"/>
          <w:highlight w:val="none"/>
        </w:rPr>
        <w:t>、</w:t>
      </w:r>
      <w:r>
        <w:rPr>
          <w:rFonts w:hint="eastAsia" w:ascii="黑体" w:eastAsia="黑体"/>
          <w:color w:val="auto"/>
          <w:sz w:val="28"/>
          <w:szCs w:val="28"/>
          <w:highlight w:val="none"/>
        </w:rPr>
        <w:t>重点行政事业性收费情况</w:t>
      </w:r>
    </w:p>
    <w:p>
      <w:pPr>
        <w:ind w:firstLine="537" w:firstLineChars="192"/>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t>2022年度本部门</w:t>
      </w:r>
      <w:r>
        <w:rPr>
          <w:rFonts w:hint="eastAsia" w:ascii="仿宋_GB2312" w:eastAsia="仿宋_GB2312"/>
          <w:color w:val="auto"/>
          <w:sz w:val="28"/>
          <w:szCs w:val="28"/>
          <w:highlight w:val="none"/>
          <w:lang w:val="en-US" w:eastAsia="zh-CN"/>
        </w:rPr>
        <w:t>无</w:t>
      </w:r>
      <w:r>
        <w:rPr>
          <w:rFonts w:hint="eastAsia" w:ascii="仿宋_GB2312" w:eastAsia="仿宋_GB2312"/>
          <w:color w:val="auto"/>
          <w:sz w:val="28"/>
          <w:szCs w:val="28"/>
          <w:highlight w:val="none"/>
        </w:rPr>
        <w:t>单位行政事业性收费项目</w:t>
      </w:r>
      <w:r>
        <w:rPr>
          <w:rFonts w:hint="eastAsia" w:ascii="仿宋_GB2312" w:eastAsia="仿宋_GB2312"/>
          <w:color w:val="auto"/>
          <w:sz w:val="28"/>
          <w:szCs w:val="28"/>
          <w:highlight w:val="none"/>
          <w:lang w:eastAsia="zh-CN"/>
        </w:rPr>
        <w:t>。</w:t>
      </w:r>
    </w:p>
    <w:p>
      <w:pPr>
        <w:spacing w:line="560" w:lineRule="exact"/>
        <w:ind w:firstLine="560" w:firstLineChars="200"/>
        <w:rPr>
          <w:rFonts w:hint="eastAsia" w:ascii="仿宋_GB2312" w:eastAsia="仿宋_GB2312"/>
          <w:color w:val="auto"/>
          <w:sz w:val="28"/>
          <w:szCs w:val="28"/>
          <w:highlight w:val="none"/>
        </w:rPr>
      </w:pPr>
      <w:r>
        <w:rPr>
          <w:rFonts w:hint="eastAsia" w:ascii="黑体" w:eastAsia="黑体"/>
          <w:color w:val="auto"/>
          <w:sz w:val="28"/>
          <w:szCs w:val="28"/>
          <w:highlight w:val="none"/>
        </w:rPr>
        <w:t>七</w:t>
      </w:r>
      <w:r>
        <w:rPr>
          <w:rFonts w:ascii="黑体" w:eastAsia="黑体"/>
          <w:color w:val="auto"/>
          <w:sz w:val="28"/>
          <w:szCs w:val="28"/>
          <w:highlight w:val="none"/>
        </w:rPr>
        <w:t>、政府购买服务</w:t>
      </w:r>
      <w:r>
        <w:rPr>
          <w:rFonts w:hint="eastAsia" w:ascii="黑体" w:eastAsia="黑体"/>
          <w:color w:val="auto"/>
          <w:sz w:val="28"/>
          <w:szCs w:val="28"/>
          <w:highlight w:val="none"/>
        </w:rPr>
        <w:t>支出</w:t>
      </w:r>
      <w:r>
        <w:rPr>
          <w:rFonts w:ascii="黑体" w:eastAsia="黑体"/>
          <w:color w:val="auto"/>
          <w:sz w:val="28"/>
          <w:szCs w:val="28"/>
          <w:highlight w:val="none"/>
        </w:rPr>
        <w:t>说明</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eastAsia="仿宋_GB2312"/>
          <w:color w:val="auto"/>
          <w:sz w:val="28"/>
          <w:szCs w:val="28"/>
          <w:highlight w:val="none"/>
        </w:rPr>
      </w:pPr>
      <w:r>
        <w:rPr>
          <w:rFonts w:hint="eastAsia" w:ascii="仿宋_GB2312" w:eastAsia="仿宋_GB2312"/>
          <w:b w:val="0"/>
          <w:bCs/>
          <w:color w:val="auto"/>
          <w:sz w:val="28"/>
          <w:szCs w:val="28"/>
          <w:highlight w:val="none"/>
        </w:rPr>
        <w:t>202</w:t>
      </w:r>
      <w:r>
        <w:rPr>
          <w:rFonts w:hint="eastAsia" w:ascii="仿宋_GB2312" w:eastAsia="仿宋_GB2312"/>
          <w:b w:val="0"/>
          <w:bCs/>
          <w:color w:val="auto"/>
          <w:sz w:val="28"/>
          <w:szCs w:val="28"/>
          <w:highlight w:val="none"/>
          <w:lang w:val="en-US" w:eastAsia="zh-CN"/>
        </w:rPr>
        <w:t>2</w:t>
      </w:r>
      <w:r>
        <w:rPr>
          <w:rFonts w:hint="eastAsia" w:ascii="仿宋_GB2312" w:eastAsia="仿宋_GB2312"/>
          <w:b w:val="0"/>
          <w:bCs/>
          <w:color w:val="auto"/>
          <w:sz w:val="28"/>
          <w:szCs w:val="28"/>
          <w:highlight w:val="none"/>
        </w:rPr>
        <w:t>年</w:t>
      </w:r>
      <w:r>
        <w:rPr>
          <w:rFonts w:hint="eastAsia" w:ascii="仿宋_GB2312" w:eastAsia="仿宋_GB2312"/>
          <w:b w:val="0"/>
          <w:bCs/>
          <w:color w:val="auto"/>
          <w:sz w:val="28"/>
          <w:szCs w:val="28"/>
          <w:highlight w:val="none"/>
          <w:lang w:val="en-US" w:eastAsia="zh-CN"/>
        </w:rPr>
        <w:t>本部门无</w:t>
      </w:r>
      <w:r>
        <w:rPr>
          <w:rFonts w:hint="eastAsia" w:ascii="仿宋_GB2312" w:eastAsia="仿宋_GB2312"/>
          <w:b w:val="0"/>
          <w:bCs/>
          <w:color w:val="auto"/>
          <w:sz w:val="28"/>
          <w:szCs w:val="28"/>
          <w:highlight w:val="none"/>
        </w:rPr>
        <w:t>使用政府购买服务安排的支出</w:t>
      </w:r>
      <w:r>
        <w:rPr>
          <w:rFonts w:hint="eastAsia" w:ascii="仿宋_GB2312" w:eastAsia="仿宋_GB2312"/>
          <w:b w:val="0"/>
          <w:bCs/>
          <w:color w:val="auto"/>
          <w:sz w:val="28"/>
          <w:szCs w:val="28"/>
          <w:highlight w:val="none"/>
          <w:lang w:eastAsia="zh-CN"/>
        </w:rPr>
        <w:t>。</w:t>
      </w:r>
    </w:p>
    <w:p>
      <w:pPr>
        <w:ind w:firstLine="560" w:firstLineChars="200"/>
        <w:rPr>
          <w:rFonts w:hint="eastAsia" w:ascii="仿宋_GB2312" w:eastAsia="仿宋_GB2312"/>
          <w:color w:val="auto"/>
          <w:sz w:val="28"/>
          <w:szCs w:val="28"/>
          <w:highlight w:val="none"/>
        </w:rPr>
      </w:pPr>
      <w:r>
        <w:rPr>
          <w:rFonts w:hint="eastAsia" w:ascii="黑体" w:eastAsia="黑体"/>
          <w:color w:val="auto"/>
          <w:sz w:val="28"/>
          <w:szCs w:val="28"/>
          <w:highlight w:val="none"/>
        </w:rPr>
        <w:t>八、</w:t>
      </w:r>
      <w:r>
        <w:rPr>
          <w:rFonts w:ascii="黑体" w:eastAsia="黑体"/>
          <w:color w:val="auto"/>
          <w:sz w:val="28"/>
          <w:szCs w:val="28"/>
          <w:highlight w:val="none"/>
        </w:rPr>
        <w:t>专业名词解释</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1.基本支出：指为保障机构正常运转、完成日常工作任务而发生的人员支出和公用支出。</w:t>
      </w:r>
    </w:p>
    <w:p>
      <w:pPr>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2.项目支出：指在基本支出之外为完成特定行政任务或事业发展目标所发生的支出。</w:t>
      </w:r>
    </w:p>
    <w:p>
      <w:pPr>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3.“三公”经费：</w:t>
      </w:r>
      <w:r>
        <w:rPr>
          <w:rFonts w:hint="eastAsia" w:ascii="仿宋_GB2312" w:hAnsi="宋体" w:eastAsia="仿宋_GB2312"/>
          <w:color w:val="auto"/>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color w:val="auto"/>
          <w:sz w:val="28"/>
          <w:szCs w:val="28"/>
          <w:highlight w:val="none"/>
        </w:rPr>
      </w:pPr>
      <w:r>
        <w:rPr>
          <w:rFonts w:hint="eastAsia" w:ascii="仿宋_GB2312" w:eastAsia="仿宋_GB2312"/>
          <w:color w:val="auto"/>
          <w:sz w:val="28"/>
          <w:szCs w:val="28"/>
          <w:highlight w:val="none"/>
        </w:rPr>
        <w:t xml:space="preserve"> 4</w:t>
      </w:r>
      <w:r>
        <w:rPr>
          <w:rFonts w:ascii="仿宋_GB2312" w:eastAsia="仿宋_GB2312"/>
          <w:color w:val="auto"/>
          <w:sz w:val="28"/>
          <w:szCs w:val="28"/>
          <w:highlight w:val="none"/>
        </w:rPr>
        <w:t>.</w:t>
      </w:r>
      <w:r>
        <w:rPr>
          <w:rFonts w:hint="eastAsia" w:ascii="仿宋_GB2312" w:eastAsia="仿宋_GB2312"/>
          <w:color w:val="auto"/>
          <w:sz w:val="28"/>
          <w:szCs w:val="28"/>
          <w:highlight w:val="none"/>
        </w:rPr>
        <w:t>机关运行经费：</w:t>
      </w:r>
      <w:r>
        <w:rPr>
          <w:rFonts w:hint="eastAsia" w:ascii="仿宋_GB2312" w:hAnsi="宋体" w:eastAsia="仿宋_GB2312"/>
          <w:color w:val="auto"/>
          <w:sz w:val="28"/>
          <w:szCs w:val="28"/>
          <w:highlight w:val="none"/>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5</w:t>
      </w:r>
      <w:r>
        <w:rPr>
          <w:rFonts w:ascii="仿宋_GB2312" w:eastAsia="仿宋_GB2312"/>
          <w:color w:val="auto"/>
          <w:sz w:val="28"/>
          <w:szCs w:val="28"/>
          <w:highlight w:val="none"/>
        </w:rPr>
        <w:t>.</w:t>
      </w:r>
      <w:r>
        <w:rPr>
          <w:rFonts w:hint="eastAsia" w:ascii="仿宋_GB2312" w:eastAsia="仿宋_GB2312"/>
          <w:color w:val="auto"/>
          <w:sz w:val="28"/>
          <w:szCs w:val="28"/>
          <w:highlight w:val="none"/>
        </w:rPr>
        <w:t>政府采购</w:t>
      </w:r>
      <w:r>
        <w:rPr>
          <w:rFonts w:ascii="仿宋_GB2312" w:eastAsia="仿宋_GB2312"/>
          <w:color w:val="auto"/>
          <w:sz w:val="28"/>
          <w:szCs w:val="28"/>
          <w:highlight w:val="none"/>
        </w:rPr>
        <w:t>：</w:t>
      </w:r>
      <w:r>
        <w:rPr>
          <w:rFonts w:hint="eastAsia" w:ascii="仿宋_GB2312" w:eastAsia="仿宋_GB2312"/>
          <w:color w:val="auto"/>
          <w:sz w:val="28"/>
          <w:szCs w:val="28"/>
          <w:highlight w:val="none"/>
        </w:rPr>
        <w:t>指</w:t>
      </w:r>
      <w:r>
        <w:rPr>
          <w:rFonts w:ascii="仿宋_GB2312" w:eastAsia="仿宋_GB2312"/>
          <w:color w:val="auto"/>
          <w:sz w:val="28"/>
          <w:szCs w:val="28"/>
          <w:highlight w:val="none"/>
        </w:rPr>
        <w:t>各级国家机关、事业单位和团体组织，使用</w:t>
      </w:r>
      <w:r>
        <w:rPr>
          <w:rFonts w:hint="eastAsia" w:ascii="仿宋_GB2312" w:eastAsia="仿宋_GB2312"/>
          <w:color w:val="auto"/>
          <w:sz w:val="28"/>
          <w:szCs w:val="28"/>
          <w:highlight w:val="none"/>
        </w:rPr>
        <w:t>财政性</w:t>
      </w:r>
      <w:r>
        <w:rPr>
          <w:rFonts w:ascii="仿宋_GB2312" w:eastAsia="仿宋_GB2312"/>
          <w:color w:val="auto"/>
          <w:sz w:val="28"/>
          <w:szCs w:val="28"/>
          <w:highlight w:val="none"/>
        </w:rPr>
        <w:t>资金采购依法制定的集中目录以内的或者采购限额标准以上的货物、工程和服务的行为</w:t>
      </w:r>
      <w:r>
        <w:rPr>
          <w:rFonts w:hint="eastAsia" w:ascii="仿宋_GB2312" w:eastAsia="仿宋_GB2312"/>
          <w:color w:val="auto"/>
          <w:sz w:val="28"/>
          <w:szCs w:val="28"/>
          <w:highlight w:val="none"/>
        </w:rPr>
        <w:t>，是规范财政支出管理和强化预算约束的有效措施</w:t>
      </w:r>
      <w:r>
        <w:rPr>
          <w:rFonts w:ascii="仿宋_GB2312" w:eastAsia="仿宋_GB2312"/>
          <w:color w:val="auto"/>
          <w:sz w:val="28"/>
          <w:szCs w:val="28"/>
          <w:highlight w:val="none"/>
        </w:rPr>
        <w:t>。</w:t>
      </w:r>
    </w:p>
    <w:p>
      <w:pPr>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6</w:t>
      </w:r>
      <w:r>
        <w:rPr>
          <w:rFonts w:ascii="仿宋_GB2312" w:eastAsia="仿宋_GB2312"/>
          <w:color w:val="auto"/>
          <w:sz w:val="28"/>
          <w:szCs w:val="28"/>
          <w:highlight w:val="none"/>
        </w:rPr>
        <w:t>.政府购买服务：</w:t>
      </w:r>
      <w:r>
        <w:rPr>
          <w:rFonts w:hint="eastAsia" w:ascii="仿宋_GB2312" w:eastAsia="仿宋_GB2312"/>
          <w:color w:val="auto"/>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b/>
          <w:color w:val="auto"/>
          <w:sz w:val="28"/>
          <w:szCs w:val="28"/>
          <w:highlight w:val="none"/>
        </w:rPr>
      </w:pPr>
    </w:p>
    <w:p>
      <w:pPr>
        <w:ind w:firstLine="420" w:firstLineChars="150"/>
        <w:rPr>
          <w:rFonts w:hint="eastAsia" w:ascii="仿宋_GB2312" w:eastAsia="仿宋_GB2312"/>
          <w:b/>
          <w:color w:val="auto"/>
          <w:sz w:val="28"/>
          <w:szCs w:val="28"/>
          <w:highlight w:val="none"/>
        </w:rPr>
      </w:pPr>
    </w:p>
    <w:p>
      <w:pPr>
        <w:ind w:firstLine="420" w:firstLineChars="150"/>
        <w:rPr>
          <w:rFonts w:hint="eastAsia" w:ascii="仿宋_GB2312" w:eastAsia="仿宋_GB2312"/>
          <w:b/>
          <w:color w:val="auto"/>
          <w:sz w:val="28"/>
          <w:szCs w:val="28"/>
          <w:highlight w:val="none"/>
        </w:rPr>
      </w:pPr>
    </w:p>
    <w:p>
      <w:pPr>
        <w:ind w:firstLine="420" w:firstLineChars="150"/>
        <w:rPr>
          <w:rFonts w:hint="eastAsia" w:ascii="仿宋_GB2312" w:eastAsia="仿宋_GB2312"/>
          <w:b/>
          <w:color w:val="auto"/>
          <w:sz w:val="28"/>
          <w:szCs w:val="28"/>
          <w:highlight w:val="none"/>
        </w:rPr>
      </w:pPr>
    </w:p>
    <w:p>
      <w:pPr>
        <w:ind w:firstLine="420" w:firstLineChars="150"/>
        <w:rPr>
          <w:rFonts w:hint="eastAsia" w:ascii="仿宋_GB2312" w:eastAsia="仿宋_GB2312"/>
          <w:b/>
          <w:color w:val="auto"/>
          <w:sz w:val="28"/>
          <w:szCs w:val="28"/>
          <w:highlight w:val="none"/>
        </w:rPr>
      </w:pPr>
    </w:p>
    <w:p>
      <w:pPr>
        <w:ind w:firstLine="420" w:firstLineChars="150"/>
        <w:rPr>
          <w:rFonts w:hint="eastAsia" w:ascii="仿宋_GB2312" w:eastAsia="仿宋_GB2312"/>
          <w:b/>
          <w:color w:val="auto"/>
          <w:sz w:val="28"/>
          <w:szCs w:val="28"/>
          <w:highlight w:val="none"/>
        </w:rPr>
      </w:pPr>
    </w:p>
    <w:p>
      <w:pPr>
        <w:ind w:firstLine="420" w:firstLineChars="150"/>
        <w:rPr>
          <w:rFonts w:hint="eastAsia" w:ascii="仿宋_GB2312" w:eastAsia="仿宋_GB2312"/>
          <w:b/>
          <w:color w:val="auto"/>
          <w:sz w:val="28"/>
          <w:szCs w:val="28"/>
          <w:highlight w:val="none"/>
        </w:rPr>
      </w:pPr>
    </w:p>
    <w:p>
      <w:pPr>
        <w:ind w:firstLine="420" w:firstLineChars="150"/>
        <w:rPr>
          <w:rFonts w:hint="eastAsia" w:ascii="仿宋_GB2312" w:eastAsia="仿宋_GB2312"/>
          <w:b/>
          <w:color w:val="auto"/>
          <w:sz w:val="28"/>
          <w:szCs w:val="28"/>
          <w:highlight w:val="none"/>
        </w:rPr>
      </w:pPr>
    </w:p>
    <w:p>
      <w:pPr>
        <w:ind w:firstLine="420" w:firstLineChars="150"/>
        <w:rPr>
          <w:rFonts w:hint="eastAsia" w:ascii="仿宋_GB2312" w:eastAsia="仿宋_GB2312"/>
          <w:b/>
          <w:color w:val="auto"/>
          <w:sz w:val="28"/>
          <w:szCs w:val="28"/>
          <w:highlight w:val="none"/>
        </w:rPr>
      </w:pPr>
    </w:p>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p>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p>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p>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r>
        <w:rPr>
          <w:rFonts w:hint="eastAsia" w:ascii="宋体" w:hAnsi="宋体" w:cs="宋体"/>
          <w:b/>
          <w:bCs/>
          <w:color w:val="auto"/>
          <w:spacing w:val="40"/>
          <w:kern w:val="0"/>
          <w:sz w:val="32"/>
          <w:szCs w:val="32"/>
          <w:highlight w:val="none"/>
        </w:rPr>
        <w:t>第四部分  2022年度部门绩效评价情况</w:t>
      </w:r>
    </w:p>
    <w:p>
      <w:pPr>
        <w:spacing w:line="580" w:lineRule="exact"/>
        <w:ind w:firstLine="560" w:firstLineChars="200"/>
        <w:jc w:val="center"/>
        <w:rPr>
          <w:rFonts w:hint="eastAsia" w:ascii="黑体" w:eastAsia="黑体"/>
          <w:color w:val="auto"/>
          <w:sz w:val="28"/>
          <w:szCs w:val="28"/>
          <w:highlight w:val="none"/>
        </w:rPr>
      </w:pPr>
    </w:p>
    <w:p>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一</w:t>
      </w:r>
      <w:r>
        <w:rPr>
          <w:rFonts w:ascii="黑体" w:eastAsia="黑体"/>
          <w:color w:val="auto"/>
          <w:sz w:val="28"/>
          <w:szCs w:val="28"/>
          <w:highlight w:val="none"/>
        </w:rPr>
        <w:t>、</w:t>
      </w:r>
      <w:r>
        <w:rPr>
          <w:rFonts w:hint="eastAsia" w:ascii="黑体" w:eastAsia="黑体"/>
          <w:color w:val="auto"/>
          <w:sz w:val="28"/>
          <w:szCs w:val="28"/>
          <w:highlight w:val="none"/>
        </w:rPr>
        <w:t>部门整体绩效评价报告</w:t>
      </w:r>
    </w:p>
    <w:p>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二</w:t>
      </w:r>
      <w:r>
        <w:rPr>
          <w:rFonts w:ascii="黑体" w:eastAsia="黑体"/>
          <w:color w:val="auto"/>
          <w:sz w:val="28"/>
          <w:szCs w:val="28"/>
          <w:highlight w:val="none"/>
        </w:rPr>
        <w:t>、</w:t>
      </w:r>
      <w:r>
        <w:rPr>
          <w:rFonts w:hint="eastAsia" w:ascii="黑体" w:eastAsia="黑体"/>
          <w:color w:val="auto"/>
          <w:sz w:val="28"/>
          <w:szCs w:val="28"/>
          <w:highlight w:val="none"/>
        </w:rPr>
        <w:t>项目支出部门绩效评价报告</w:t>
      </w:r>
    </w:p>
    <w:p>
      <w:pPr>
        <w:ind w:firstLine="560" w:firstLineChars="200"/>
        <w:rPr>
          <w:rFonts w:hint="eastAsia" w:ascii="黑体" w:eastAsia="黑体"/>
          <w:color w:val="auto"/>
          <w:sz w:val="28"/>
          <w:szCs w:val="28"/>
          <w:highlight w:val="none"/>
        </w:rPr>
      </w:pPr>
      <w:r>
        <w:rPr>
          <w:rFonts w:hint="eastAsia" w:ascii="黑体" w:eastAsia="黑体"/>
          <w:color w:val="auto"/>
          <w:sz w:val="28"/>
          <w:szCs w:val="28"/>
          <w:highlight w:val="none"/>
        </w:rPr>
        <w:t>三</w:t>
      </w:r>
      <w:r>
        <w:rPr>
          <w:rFonts w:ascii="黑体" w:eastAsia="黑体"/>
          <w:color w:val="auto"/>
          <w:sz w:val="28"/>
          <w:szCs w:val="28"/>
          <w:highlight w:val="none"/>
        </w:rPr>
        <w:t>、</w:t>
      </w:r>
      <w:r>
        <w:rPr>
          <w:rFonts w:hint="eastAsia" w:ascii="黑体" w:eastAsia="黑体"/>
          <w:color w:val="auto"/>
          <w:sz w:val="28"/>
          <w:szCs w:val="28"/>
          <w:highlight w:val="none"/>
        </w:rPr>
        <w:t>项目</w:t>
      </w:r>
      <w:r>
        <w:rPr>
          <w:rFonts w:ascii="黑体" w:eastAsia="黑体"/>
          <w:color w:val="auto"/>
          <w:sz w:val="28"/>
          <w:szCs w:val="28"/>
          <w:highlight w:val="none"/>
        </w:rPr>
        <w:t>支出绩效自评表</w:t>
      </w:r>
    </w:p>
    <w:p>
      <w:pPr>
        <w:spacing w:line="580" w:lineRule="exact"/>
        <w:ind w:firstLine="560" w:firstLineChars="200"/>
        <w:rPr>
          <w:rFonts w:hint="eastAsia" w:ascii="仿宋_GB2312" w:hAnsi="仿宋_GB2312" w:eastAsia="仿宋_GB2312" w:cs="仿宋_GB2312"/>
          <w:color w:val="auto"/>
          <w:sz w:val="28"/>
          <w:szCs w:val="28"/>
          <w:highlight w:val="none"/>
        </w:rPr>
      </w:pPr>
    </w:p>
    <w:p>
      <w:pPr>
        <w:spacing w:line="580" w:lineRule="exact"/>
        <w:ind w:firstLine="560" w:firstLineChars="200"/>
        <w:rPr>
          <w:rFonts w:hint="eastAsia" w:ascii="仿宋_GB2312" w:hAnsi="仿宋_GB2312" w:eastAsia="仿宋_GB2312" w:cs="仿宋_GB2312"/>
          <w:color w:val="auto"/>
          <w:sz w:val="28"/>
          <w:szCs w:val="28"/>
          <w:highlight w:val="none"/>
        </w:rPr>
      </w:pPr>
    </w:p>
    <w:p>
      <w:pPr>
        <w:spacing w:line="580" w:lineRule="exact"/>
        <w:ind w:firstLine="560" w:firstLineChars="200"/>
        <w:rPr>
          <w:rFonts w:hint="eastAsia" w:ascii="仿宋_GB2312" w:hAnsi="仿宋_GB2312" w:eastAsia="仿宋_GB2312" w:cs="仿宋_GB2312"/>
          <w:color w:val="auto"/>
          <w:sz w:val="28"/>
          <w:szCs w:val="28"/>
          <w:highlight w:val="none"/>
        </w:rPr>
      </w:pPr>
    </w:p>
    <w:p>
      <w:pPr>
        <w:spacing w:line="480" w:lineRule="exact"/>
        <w:jc w:val="center"/>
        <w:rPr>
          <w:rFonts w:hint="eastAsia" w:ascii="黑体" w:eastAsia="黑体"/>
          <w:color w:val="auto"/>
          <w:sz w:val="32"/>
          <w:szCs w:val="32"/>
          <w:highlight w:val="none"/>
        </w:rPr>
      </w:pPr>
    </w:p>
    <w:p>
      <w:pPr>
        <w:spacing w:line="480" w:lineRule="exact"/>
        <w:jc w:val="center"/>
        <w:rPr>
          <w:rFonts w:hint="eastAsia" w:ascii="黑体" w:eastAsia="黑体"/>
          <w:color w:val="auto"/>
          <w:sz w:val="32"/>
          <w:szCs w:val="32"/>
          <w:highlight w:val="none"/>
        </w:rPr>
      </w:pPr>
    </w:p>
    <w:p>
      <w:pPr>
        <w:spacing w:line="480" w:lineRule="exact"/>
        <w:jc w:val="center"/>
        <w:rPr>
          <w:rFonts w:hint="eastAsia" w:ascii="黑体" w:eastAsia="黑体"/>
          <w:color w:val="auto"/>
          <w:sz w:val="32"/>
          <w:szCs w:val="32"/>
          <w:highlight w:val="none"/>
        </w:rPr>
      </w:pPr>
    </w:p>
    <w:p>
      <w:pPr>
        <w:spacing w:line="480" w:lineRule="exact"/>
        <w:jc w:val="center"/>
        <w:rPr>
          <w:rFonts w:hint="eastAsia" w:ascii="黑体" w:eastAsia="黑体"/>
          <w:color w:val="auto"/>
          <w:sz w:val="32"/>
          <w:szCs w:val="32"/>
          <w:highlight w:val="none"/>
        </w:rPr>
      </w:pPr>
    </w:p>
    <w:p>
      <w:pPr>
        <w:spacing w:line="480" w:lineRule="exact"/>
        <w:jc w:val="center"/>
        <w:rPr>
          <w:rFonts w:hint="eastAsia" w:ascii="黑体" w:eastAsia="黑体"/>
          <w:color w:val="auto"/>
          <w:sz w:val="32"/>
          <w:szCs w:val="32"/>
          <w:highlight w:val="none"/>
        </w:rPr>
      </w:pPr>
    </w:p>
    <w:p>
      <w:pPr>
        <w:spacing w:line="480" w:lineRule="exact"/>
        <w:jc w:val="center"/>
        <w:rPr>
          <w:rFonts w:hint="eastAsia" w:ascii="黑体" w:eastAsia="黑体"/>
          <w:color w:val="auto"/>
          <w:sz w:val="32"/>
          <w:szCs w:val="32"/>
          <w:highlight w:val="none"/>
        </w:rPr>
      </w:pPr>
    </w:p>
    <w:p>
      <w:pPr>
        <w:spacing w:line="560" w:lineRule="exact"/>
        <w:jc w:val="left"/>
        <w:rPr>
          <w:rFonts w:hint="eastAsia" w:ascii="方正黑体_GBK" w:hAnsi="方正黑体_GBK" w:eastAsia="方正黑体_GBK" w:cs="方正黑体_GBK"/>
          <w:color w:val="auto"/>
          <w:sz w:val="32"/>
          <w:szCs w:val="32"/>
          <w:highlight w:val="none"/>
        </w:rPr>
      </w:pPr>
      <w:r>
        <w:rPr>
          <w:rFonts w:hint="eastAsia" w:ascii="方正黑体_GBK" w:hAnsi="方正黑体_GBK" w:eastAsia="方正黑体_GBK" w:cs="方正黑体_GBK"/>
          <w:color w:val="auto"/>
          <w:sz w:val="32"/>
          <w:szCs w:val="32"/>
          <w:highlight w:val="none"/>
        </w:rPr>
        <w:t>附件</w:t>
      </w:r>
    </w:p>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r>
        <w:rPr>
          <w:rFonts w:hint="eastAsia" w:ascii="宋体" w:hAnsi="宋体" w:cs="宋体"/>
          <w:b/>
          <w:bCs/>
          <w:color w:val="auto"/>
          <w:spacing w:val="40"/>
          <w:kern w:val="0"/>
          <w:sz w:val="32"/>
          <w:szCs w:val="32"/>
          <w:highlight w:val="none"/>
        </w:rPr>
        <w:t>部门整体绩效评价报告</w:t>
      </w:r>
    </w:p>
    <w:p>
      <w:pPr>
        <w:spacing w:line="600" w:lineRule="exact"/>
        <w:ind w:firstLine="560" w:firstLineChars="200"/>
        <w:rPr>
          <w:rFonts w:hint="eastAsia"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一、部门概况</w:t>
      </w:r>
    </w:p>
    <w:p>
      <w:pPr>
        <w:spacing w:line="60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（一）机构设置及职责工作任务情况</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rPr>
        <w:t>机构设置</w:t>
      </w:r>
      <w:r>
        <w:rPr>
          <w:rFonts w:hint="eastAsia" w:ascii="仿宋_GB2312" w:hAnsi="宋体" w:eastAsia="仿宋_GB2312"/>
          <w:color w:val="auto"/>
          <w:sz w:val="28"/>
          <w:szCs w:val="28"/>
          <w:highlight w:val="none"/>
          <w:lang w:eastAsia="zh-CN"/>
        </w:rPr>
        <w:t>有：综合保障办公室，党群工作办公室，平安建设办公室，城乡建设办公室，市民活动中心，城镇建设服务中心，民生保障办公室，经济发展办公室，农业农村办公室，产业发展服务中</w:t>
      </w:r>
      <w:r>
        <w:rPr>
          <w:rFonts w:hint="eastAsia" w:ascii="仿宋_GB2312" w:hAnsi="宋体" w:eastAsia="仿宋_GB2312"/>
          <w:color w:val="auto"/>
          <w:sz w:val="28"/>
          <w:szCs w:val="28"/>
          <w:highlight w:val="none"/>
          <w:lang w:eastAsia="zh-CN"/>
        </w:rPr>
        <w:t>心，</w:t>
      </w:r>
      <w:r>
        <w:rPr>
          <w:rFonts w:hint="eastAsia" w:ascii="仿宋_GB2312" w:hAnsi="宋体" w:eastAsia="仿宋_GB2312"/>
          <w:color w:val="auto"/>
          <w:sz w:val="28"/>
          <w:szCs w:val="28"/>
          <w:highlight w:val="none"/>
          <w:lang w:val="en-US" w:eastAsia="zh-CN"/>
        </w:rPr>
        <w:t>市民诉求处置中心，便民服务中心</w:t>
      </w:r>
      <w:r>
        <w:rPr>
          <w:rFonts w:hint="eastAsia" w:ascii="仿宋_GB2312" w:hAnsi="宋体" w:eastAsia="仿宋_GB2312"/>
          <w:color w:val="auto"/>
          <w:sz w:val="28"/>
          <w:szCs w:val="28"/>
          <w:highlight w:val="none"/>
          <w:lang w:eastAsia="zh-CN"/>
        </w:rPr>
        <w:t>等。</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综合保障办公室负责本镇机关日常运转工作，负责机关安全保卫、应急值守、后勤服务及固定资产管理等工作。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党群工作办公室负责组织人事、机构编制、离退休干部管理服务工作。负责承担联系辖区内的人大代表，组织代表开展活动，反映代表和群众的建议、评议和意见，办理区人大常委会交办的监督、选举及其他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平安建设办公室负责群防群治工作。协助开展流动人口及出租房屋综合管理工作。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城乡建设办公室负责按照规定权限负责本行政区域内的相关城乡规划工作，负责市政市容环境卫生管理相关工作。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市民活动中心负责本镇“活动类”事项的组织协调工作，承担党群文体活动的组织工作以及活动宣传文体场所管理工作。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城镇建设服务中心负责协助机关开展城镇开发、建设、管理等方面的事务性、辅助性工作。协助开展环境卫生、绿化美化、道路养护、水电气热、防汛抗旱等相关工作。负责街面秩序规范管理工作。负责动员社会力量参与社区建设和城市管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民生保障办公室负责本辖区村务监督工作，人员社会化管理服务、最低生活保障、居民养老保险、居民医疗保险、住房保障等相关工作。负责人口与计划生育、精神卫生、传染病防治、献血、红十字等相关工作。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经济发展办公室负责本镇经济发展工作。结合区域功能定位，优化地区发展环境，推进镇域经济发展。落实生态文明建设责任制，按职责分工负责水、大气、土壤污染防治相关工作。负责本级财政预算、决算和收支管理工作，实施预算绩效管理。加强财政资金、集体经济收入监管。依法管理、开展统计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农业农村办公室负责基本农田保护管理工作。负责农业生产资料安全使用、农业机械化、农业技术推广、农业疫情防控、动物防疫、渔业生产管理、野生动物保护等相关工作。负责农村上地承包经营及承包经营合同管理等工作。负责防汛抗洪、农业农村节约用水工作。负责义务植树、绿化、护林等工作。负责农民负担监督管理工作。负责深化农村经济体制改革，组织做好发展农业和为发展农业服务的各项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eastAsia="zh-CN"/>
        </w:rPr>
      </w:pPr>
      <w:r>
        <w:rPr>
          <w:rFonts w:hint="eastAsia" w:ascii="仿宋_GB2312" w:hAnsi="宋体" w:eastAsia="仿宋_GB2312"/>
          <w:color w:val="auto"/>
          <w:sz w:val="28"/>
          <w:szCs w:val="28"/>
          <w:highlight w:val="none"/>
          <w:lang w:eastAsia="zh-CN"/>
        </w:rPr>
        <w:t>产业发展服务中心负责协助机关推进本镇经济发展，组织做好农业、工业、第三产业服务的各项工作。协助开展农村土地承包、确权、流转管理服务，农村集体资产财务、帐务、合同管理等农村合作经济经营管理工作。负责林业相关工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市民诉求处置中心负责本镇“平台类”管理的事务性、辅助性工作。承担大数据管理、应急管理、网格化管理等与社会管理密切相关的事务性、辅助性工作。负责上级交办的其他事项。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lang w:val="en-US" w:eastAsia="zh-CN"/>
        </w:rPr>
        <w:t>便民服务中心负责本镇“窗口类”服务的事务性、辅助性工作。承担政务服务、社会保障、住房保障、养老助残以及其他需直接面向群众的综合便民服务工作，协调推动村(社区)便民服务相关工作。负责办理退役军人相关服务事项。负责上级交办的其他事项。</w:t>
      </w:r>
    </w:p>
    <w:p>
      <w:pPr>
        <w:numPr>
          <w:ilvl w:val="0"/>
          <w:numId w:val="0"/>
        </w:numPr>
        <w:spacing w:line="600" w:lineRule="exact"/>
        <w:ind w:firstLine="560" w:firstLineChars="200"/>
        <w:rPr>
          <w:rFonts w:hint="eastAsia" w:ascii="仿宋_GB2312" w:eastAsia="仿宋_GB2312"/>
          <w:color w:val="auto"/>
          <w:sz w:val="28"/>
          <w:szCs w:val="28"/>
          <w:highlight w:val="none"/>
        </w:rPr>
      </w:pPr>
      <w:r>
        <w:rPr>
          <w:rFonts w:hint="eastAsia" w:ascii="仿宋_GB2312" w:eastAsia="仿宋_GB2312"/>
          <w:color w:val="auto"/>
          <w:kern w:val="2"/>
          <w:sz w:val="28"/>
          <w:szCs w:val="28"/>
          <w:highlight w:val="none"/>
          <w:lang w:val="en-US" w:eastAsia="zh-CN" w:bidi="ar-SA"/>
        </w:rPr>
        <w:t>（二）</w:t>
      </w:r>
      <w:r>
        <w:rPr>
          <w:rFonts w:hint="eastAsia" w:ascii="仿宋_GB2312" w:eastAsia="仿宋_GB2312"/>
          <w:color w:val="auto"/>
          <w:sz w:val="28"/>
          <w:szCs w:val="28"/>
          <w:highlight w:val="none"/>
        </w:rPr>
        <w:t>部门整体绩效目标设立情况</w:t>
      </w:r>
    </w:p>
    <w:p>
      <w:pPr>
        <w:spacing w:line="580" w:lineRule="exact"/>
        <w:ind w:left="105" w:leftChars="50" w:firstLine="420" w:firstLineChars="150"/>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（1）科学布控，打好疫情防控狙击战。面对多发散发、严峻复杂的疫情形势，始终做到迅速出击、科学布防、精准管控、靠前指挥、砥砺坚守，最大成度保护人民生命安全和身体健康。</w:t>
      </w:r>
    </w:p>
    <w:p>
      <w:pPr>
        <w:pStyle w:val="1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（2）迎难而上，产业发展稳进提质。不断拓宽产业空间，加快重大项目落地建设，招商引资提质增效，财源建设成效突出。</w:t>
      </w:r>
    </w:p>
    <w:p>
      <w:pPr>
        <w:pStyle w:val="1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（3）惠农助农，乡村振兴蹄疾步稳。农业发展提质增效，农民增收生活富足，农文旅融合持续深入，乡村面貌美丽蝶变。</w:t>
      </w:r>
    </w:p>
    <w:p>
      <w:pPr>
        <w:pStyle w:val="1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（4）精雕细琢，城镇品质大幅提升。城镇基础不断完善，城镇管理更加有序，城镇治理不断提升。</w:t>
      </w:r>
    </w:p>
    <w:p>
      <w:pPr>
        <w:pStyle w:val="10"/>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（5）以民为本，民生福祉更加殷实。就业服务精准到位，医疗服务优质高效，养老服务惠普可及，困难群众兜底保障，教育资源稳步提升，政务服务高效便利。</w:t>
      </w:r>
    </w:p>
    <w:p>
      <w:pPr>
        <w:pStyle w:val="10"/>
        <w:rPr>
          <w:rFonts w:hint="default"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2"/>
          <w:sz w:val="28"/>
          <w:szCs w:val="28"/>
          <w:highlight w:val="none"/>
          <w:lang w:val="en-US" w:eastAsia="zh-CN" w:bidi="ar-SA"/>
        </w:rPr>
        <w:t>（6）绿色发展，生态底色更加靓丽。空气质量持续改善，河道治理持续发力，生态环保持续向好。</w:t>
      </w:r>
    </w:p>
    <w:p>
      <w:pPr>
        <w:spacing w:line="600" w:lineRule="exact"/>
        <w:ind w:firstLine="560" w:firstLineChars="200"/>
        <w:rPr>
          <w:rFonts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二</w:t>
      </w:r>
      <w:r>
        <w:rPr>
          <w:rFonts w:ascii="黑体" w:hAnsi="黑体" w:eastAsia="黑体" w:cs="宋体"/>
          <w:color w:val="auto"/>
          <w:kern w:val="0"/>
          <w:sz w:val="28"/>
          <w:szCs w:val="28"/>
          <w:highlight w:val="none"/>
        </w:rPr>
        <w:t>、</w:t>
      </w:r>
      <w:r>
        <w:rPr>
          <w:rFonts w:hint="eastAsia" w:ascii="黑体" w:hAnsi="黑体" w:eastAsia="黑体" w:cs="宋体"/>
          <w:color w:val="auto"/>
          <w:kern w:val="0"/>
          <w:sz w:val="28"/>
          <w:szCs w:val="28"/>
          <w:highlight w:val="none"/>
        </w:rPr>
        <w:t>当年</w:t>
      </w:r>
      <w:r>
        <w:rPr>
          <w:rFonts w:ascii="黑体" w:hAnsi="黑体" w:eastAsia="黑体" w:cs="宋体"/>
          <w:color w:val="auto"/>
          <w:kern w:val="0"/>
          <w:sz w:val="28"/>
          <w:szCs w:val="28"/>
          <w:highlight w:val="none"/>
        </w:rPr>
        <w:t>预算执行情况</w:t>
      </w:r>
    </w:p>
    <w:p>
      <w:pPr>
        <w:spacing w:line="600" w:lineRule="exact"/>
        <w:ind w:firstLine="560" w:firstLineChars="200"/>
        <w:rPr>
          <w:rFonts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2022年全年预算数78777.68万元，其中，基本支出预算数10150.38万元，项目支出预算数68627.3万元，其他支出预算数0.00万元。资金总体支出78777.68万元，其中，基本支出10150.38万元，项目支出68627.3万元，其他支出0.00万元。预算执行率为100%。</w:t>
      </w:r>
    </w:p>
    <w:p>
      <w:pPr>
        <w:spacing w:line="600" w:lineRule="exact"/>
        <w:rPr>
          <w:rFonts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lang w:val="en-US" w:eastAsia="zh-CN"/>
        </w:rPr>
        <w:t xml:space="preserve">    </w:t>
      </w:r>
      <w:r>
        <w:rPr>
          <w:rFonts w:hint="eastAsia" w:ascii="黑体" w:hAnsi="黑体" w:eastAsia="黑体" w:cs="宋体"/>
          <w:color w:val="auto"/>
          <w:kern w:val="0"/>
          <w:sz w:val="28"/>
          <w:szCs w:val="28"/>
          <w:highlight w:val="none"/>
        </w:rPr>
        <w:t>三</w:t>
      </w:r>
      <w:r>
        <w:rPr>
          <w:rFonts w:ascii="黑体" w:hAnsi="黑体" w:eastAsia="黑体" w:cs="宋体"/>
          <w:color w:val="auto"/>
          <w:kern w:val="0"/>
          <w:sz w:val="28"/>
          <w:szCs w:val="28"/>
          <w:highlight w:val="none"/>
        </w:rPr>
        <w:t>、整体绩效目标实现情况</w:t>
      </w:r>
    </w:p>
    <w:p>
      <w:pPr>
        <w:spacing w:line="5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1.</w:t>
      </w:r>
      <w:r>
        <w:rPr>
          <w:rFonts w:hint="eastAsia" w:ascii="仿宋_GB2312" w:hAnsi="仿宋_GB2312" w:eastAsia="仿宋_GB2312" w:cs="仿宋_GB2312"/>
          <w:color w:val="auto"/>
          <w:sz w:val="28"/>
          <w:szCs w:val="28"/>
          <w:highlight w:val="none"/>
        </w:rPr>
        <w:t>严格落实涉疫风险应急处置机制。精准快速划定封管控区，突出封控从严、保供从细、管理从精，以快制快遏制疫情扩散蔓延。落实落细疫情防控措施。完善55个村（社）“一图一册+小网格”台账，实现基础信息落点、落位、落人、落图。一人一专组管控重点人员，打通防疫“神经末梢”。全力抓好社会面常态化防控。充分发挥核酸“探头”和疫苗“屏障”作用，组建1000余人核酸采样队，构建15分钟核酸采样圈。机关“老、中、青”志愿团队、村（社）两委双向发力，60岁以上老人疫苗接种应接尽街。</w:t>
      </w:r>
    </w:p>
    <w:p>
      <w:pPr>
        <w:spacing w:line="5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2.</w:t>
      </w:r>
      <w:r>
        <w:rPr>
          <w:rFonts w:hint="eastAsia" w:ascii="仿宋_GB2312" w:hAnsi="仿宋_GB2312" w:eastAsia="仿宋_GB2312" w:cs="仿宋_GB2312"/>
          <w:color w:val="auto"/>
          <w:sz w:val="28"/>
          <w:szCs w:val="28"/>
          <w:highlight w:val="none"/>
        </w:rPr>
        <w:t>完成开发区土地腾退、开发项目实施方案。老旧厂房迭代升级为5000万以上税收招商园区，实现集约高效发展。完成现有企业项目建设，启动厂房改造，引入新型企业。储备5个高质量项目，发展动能更强劲。坚持“全员招商”“以商招商”“产业链招商”“联合招商”死因优质税源企业落地。“一企一策”稳固财源存量，引进优质税源企业，培育财源增量。财源建设全区排名前列。</w:t>
      </w:r>
    </w:p>
    <w:p>
      <w:pPr>
        <w:spacing w:line="5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3.</w:t>
      </w:r>
      <w:r>
        <w:rPr>
          <w:rFonts w:hint="eastAsia" w:ascii="仿宋_GB2312" w:hAnsi="仿宋_GB2312" w:eastAsia="仿宋_GB2312" w:cs="仿宋_GB2312"/>
          <w:color w:val="auto"/>
          <w:sz w:val="28"/>
          <w:szCs w:val="28"/>
          <w:highlight w:val="none"/>
        </w:rPr>
        <w:t>粮食产量完成生产目标169%，蔬菜产量增长20%。建设市级产业园，建成采果乐园智慧园平台、蔬菜科技示范基地。实施宁家湾村设施农业蔬菜种植项目，村集体经济阔步提升。获评全国农村集体产权制度改革先进集体。农民人均所得收入同比增长5.1%。成功举办第二十二届葡萄旅游文化节，设计推广IP形象及衍生文创产品，吸引游客12万人。村庄排水沟升级改造，32个村美丽乡村稳步推进，5个村污水管网有序建设。第一批5个村生态湿地初步启动。创新“十巡”工作机制，完善四级环境管理体系，以巡促治，以考促治，擦亮人居环境新底色。</w:t>
      </w:r>
    </w:p>
    <w:p>
      <w:pPr>
        <w:spacing w:line="5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教育设施再提升，一小分校竣工。城镇路网再优化。交通配套设施更加完善，完成镇区污水联络线改造提升及西三支渠危桥重建。自我加压腾退2.4万平方米老市场，打通城市绿轴通道。开展“社区走访四个一”“社区书记接待日”“有事您说话”专项行动，提升社区治理效能。清理废品回收站6家、僵尸车63辆。通过两轮创建国家卫生区市级评估。主动治理实施充电桩安装、房屋漏雨修缮、老楼加梯等民心工程。农村集体建设用地腾退、利用有序推进，拆除消纳2114亩，拆后利用600亩。</w:t>
      </w:r>
    </w:p>
    <w:p>
      <w:pPr>
        <w:spacing w:line="580" w:lineRule="exact"/>
        <w:ind w:firstLine="560" w:firstLineChars="200"/>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lang w:val="en-US" w:eastAsia="zh-CN"/>
        </w:rPr>
        <w:t>5.</w:t>
      </w:r>
      <w:r>
        <w:rPr>
          <w:rFonts w:hint="eastAsia" w:ascii="仿宋_GB2312" w:hAnsi="仿宋_GB2312" w:eastAsia="仿宋_GB2312" w:cs="仿宋_GB2312"/>
          <w:color w:val="auto"/>
          <w:sz w:val="28"/>
          <w:szCs w:val="28"/>
          <w:highlight w:val="none"/>
        </w:rPr>
        <w:t>举办19场线上招聘会，提供就业岗位1万余个，全年城乡劳动力就业1407人，应届毕业生就业率98.41%，困难家庭应届毕业生百分百就业。医疗设备更新升级，就诊流程优化完善，就医环境不断提升，“互联网+医疗”纵深推进。依托“五统一”早餐助餐管理模式，“中央厨房+配送入村”为1300余名老年人提供助餐服务，累计服务30万人次。落实低保、低收入、特困人员医疗救助。关爱帮扶困境儿童，救助案例入选北京市慈善救助巡展，完成2户低收入、低保户危房改造。开展残疾人就业帮扶工作，完成我镇164户残疾人家庭无障碍改造。5个优质教育资源落地，教育供给水平不断提高。新建13个政务服务站，实现58个村（居）政务服务站全覆盖。</w:t>
      </w:r>
    </w:p>
    <w:p>
      <w:pPr>
        <w:spacing w:line="580" w:lineRule="exact"/>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sz w:val="28"/>
          <w:szCs w:val="28"/>
          <w:highlight w:val="none"/>
          <w:lang w:val="en-US" w:eastAsia="zh-CN"/>
        </w:rPr>
        <w:t>6.</w:t>
      </w:r>
      <w:r>
        <w:rPr>
          <w:rFonts w:hint="eastAsia" w:ascii="仿宋_GB2312" w:hAnsi="仿宋_GB2312" w:eastAsia="仿宋_GB2312" w:cs="仿宋_GB2312"/>
          <w:color w:val="auto"/>
          <w:sz w:val="28"/>
          <w:szCs w:val="28"/>
          <w:highlight w:val="none"/>
        </w:rPr>
        <w:t>建立污染源“动态户口簿”，全流程管理排污企业。“云监测”推动餐饮油烟净化升级改造。严查排放超标车。重污染天气清零。压实镇、村两级河长责任，明确小微水体权属。128处入河排口“一口一档”，21条河流“一河一策”，日常巡查管护+定期“双清行动”，打造河畅、水清、岸绿、景美的水环境。（河、林、田）长制+网格化管理，推动生态环境监管全覆盖。强化耕地数量质量生态“三位一体”保护，守住耕地零污染底线。。</w:t>
      </w:r>
    </w:p>
    <w:p>
      <w:pPr>
        <w:spacing w:line="600" w:lineRule="exact"/>
        <w:ind w:left="105" w:leftChars="50" w:firstLine="420" w:firstLineChars="150"/>
        <w:rPr>
          <w:rFonts w:hint="eastAsia" w:ascii="黑体" w:hAnsi="黑体" w:eastAsia="黑体" w:cs="宋体"/>
          <w:color w:val="auto"/>
          <w:kern w:val="0"/>
          <w:sz w:val="28"/>
          <w:szCs w:val="28"/>
          <w:highlight w:val="none"/>
        </w:rPr>
      </w:pPr>
      <w:r>
        <w:rPr>
          <w:rFonts w:hint="eastAsia" w:ascii="黑体" w:hAnsi="黑体" w:eastAsia="黑体" w:cs="宋体"/>
          <w:color w:val="auto"/>
          <w:kern w:val="0"/>
          <w:sz w:val="28"/>
          <w:szCs w:val="28"/>
          <w:highlight w:val="none"/>
        </w:rPr>
        <w:t>四</w:t>
      </w:r>
      <w:r>
        <w:rPr>
          <w:rFonts w:ascii="黑体" w:hAnsi="黑体" w:eastAsia="黑体" w:cs="宋体"/>
          <w:color w:val="auto"/>
          <w:kern w:val="0"/>
          <w:sz w:val="28"/>
          <w:szCs w:val="28"/>
          <w:highlight w:val="none"/>
        </w:rPr>
        <w:t>、预算管理</w:t>
      </w:r>
      <w:r>
        <w:rPr>
          <w:rFonts w:hint="eastAsia" w:ascii="黑体" w:hAnsi="黑体" w:eastAsia="黑体" w:cs="宋体"/>
          <w:color w:val="auto"/>
          <w:kern w:val="0"/>
          <w:sz w:val="28"/>
          <w:szCs w:val="28"/>
          <w:highlight w:val="none"/>
        </w:rPr>
        <w:t>情况分</w:t>
      </w:r>
      <w:r>
        <w:rPr>
          <w:rFonts w:ascii="黑体" w:hAnsi="黑体" w:eastAsia="黑体" w:cs="宋体"/>
          <w:color w:val="auto"/>
          <w:kern w:val="0"/>
          <w:sz w:val="28"/>
          <w:szCs w:val="28"/>
          <w:highlight w:val="none"/>
        </w:rPr>
        <w:t>析</w:t>
      </w:r>
    </w:p>
    <w:p>
      <w:pPr>
        <w:spacing w:line="600" w:lineRule="exact"/>
        <w:ind w:left="105" w:leftChars="50"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（一）财务管理</w:t>
      </w:r>
    </w:p>
    <w:p>
      <w:pPr>
        <w:spacing w:line="600" w:lineRule="exact"/>
        <w:ind w:firstLine="560" w:firstLineChars="200"/>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1.财务管理制度健全性</w:t>
      </w:r>
    </w:p>
    <w:p>
      <w:pPr>
        <w:spacing w:line="600" w:lineRule="exact"/>
        <w:ind w:firstLine="560" w:firstLineChars="200"/>
        <w:rPr>
          <w:rFonts w:hint="default" w:ascii="仿宋_GB2312" w:hAnsi="宋体" w:eastAsia="仿宋_GB2312" w:cs="宋体"/>
          <w:color w:val="auto"/>
          <w:kern w:val="0"/>
          <w:sz w:val="28"/>
          <w:szCs w:val="28"/>
          <w:highlight w:val="none"/>
          <w:lang w:val="en-US" w:eastAsia="zh-CN"/>
        </w:rPr>
      </w:pPr>
      <w:r>
        <w:rPr>
          <w:rFonts w:hint="eastAsia" w:ascii="仿宋_GB2312" w:hAnsi="宋体" w:eastAsia="仿宋_GB2312" w:cs="宋体"/>
          <w:color w:val="auto"/>
          <w:kern w:val="0"/>
          <w:sz w:val="28"/>
          <w:szCs w:val="28"/>
          <w:highlight w:val="none"/>
          <w:lang w:val="en-US" w:eastAsia="zh-CN"/>
        </w:rPr>
        <w:t>不断建立健全财务管理制度，制定《采育镇财务制度手册》，根据实际情况，每年完善修订，在财务管理过程中，从严从紧落实各项规定。制定《内部控制制度》，防范、规避、化解各类财务风险。会计核算制度完善、合规，每年聘请会计师事务所进行财务审计，不断自查自纠。</w:t>
      </w:r>
    </w:p>
    <w:p>
      <w:pPr>
        <w:spacing w:line="600" w:lineRule="exact"/>
        <w:ind w:firstLine="560" w:firstLineChars="200"/>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2.资金使用合规性和安全性</w:t>
      </w:r>
    </w:p>
    <w:p>
      <w:pPr>
        <w:spacing w:line="600" w:lineRule="exact"/>
        <w:ind w:left="105" w:leftChars="50" w:firstLine="420" w:firstLineChars="150"/>
        <w:rPr>
          <w:rFonts w:hint="eastAsia" w:ascii="仿宋_GB2312" w:hAnsi="宋体" w:eastAsia="仿宋_GB2312" w:cs="宋体"/>
          <w:color w:val="auto"/>
          <w:kern w:val="0"/>
          <w:sz w:val="28"/>
          <w:szCs w:val="28"/>
          <w:highlight w:val="none"/>
        </w:rPr>
      </w:pPr>
      <w:r>
        <w:rPr>
          <w:rFonts w:hint="eastAsia" w:ascii="仿宋_GB2312" w:hAnsi="仿宋_GB2312" w:eastAsia="仿宋_GB2312" w:cs="仿宋_GB2312"/>
          <w:color w:val="auto"/>
          <w:sz w:val="28"/>
          <w:szCs w:val="28"/>
          <w:highlight w:val="none"/>
        </w:rPr>
        <w:t>资金使用</w:t>
      </w:r>
      <w:r>
        <w:rPr>
          <w:rFonts w:hint="eastAsia" w:ascii="仿宋_GB2312" w:hAnsi="仿宋_GB2312" w:eastAsia="仿宋_GB2312" w:cs="仿宋_GB2312"/>
          <w:color w:val="auto"/>
          <w:sz w:val="28"/>
          <w:szCs w:val="28"/>
          <w:highlight w:val="none"/>
          <w:lang w:val="en-US" w:eastAsia="zh-CN"/>
        </w:rPr>
        <w:t>方面</w:t>
      </w:r>
      <w:r>
        <w:rPr>
          <w:rFonts w:hint="eastAsia" w:ascii="仿宋_GB2312" w:hAnsi="仿宋_GB2312" w:eastAsia="仿宋_GB2312" w:cs="仿宋_GB2312"/>
          <w:color w:val="auto"/>
          <w:sz w:val="28"/>
          <w:szCs w:val="28"/>
          <w:highlight w:val="none"/>
        </w:rPr>
        <w:t>严格</w:t>
      </w:r>
      <w:r>
        <w:rPr>
          <w:rFonts w:hint="eastAsia" w:ascii="仿宋_GB2312" w:hAnsi="仿宋_GB2312" w:eastAsia="仿宋_GB2312" w:cs="仿宋_GB2312"/>
          <w:color w:val="auto"/>
          <w:sz w:val="28"/>
          <w:szCs w:val="28"/>
          <w:highlight w:val="none"/>
          <w:lang w:val="en-US" w:eastAsia="zh-CN"/>
        </w:rPr>
        <w:t>按照资金审批流程，制定完整的资金拨付程序，专人审核把关，保证资金拨付据实有据</w:t>
      </w:r>
      <w:r>
        <w:rPr>
          <w:rFonts w:hint="eastAsia" w:ascii="仿宋_GB2312" w:hAnsi="仿宋_GB2312" w:eastAsia="仿宋_GB2312" w:cs="仿宋_GB2312"/>
          <w:color w:val="auto"/>
          <w:sz w:val="28"/>
          <w:szCs w:val="28"/>
          <w:highlight w:val="none"/>
        </w:rPr>
        <w:t>。</w:t>
      </w:r>
    </w:p>
    <w:p>
      <w:pPr>
        <w:spacing w:line="600" w:lineRule="exact"/>
        <w:ind w:firstLine="560" w:firstLineChars="200"/>
        <w:rPr>
          <w:rFonts w:hint="eastAsia" w:ascii="仿宋_GB2312" w:hAnsi="宋体" w:eastAsia="仿宋_GB2312" w:cs="宋体"/>
          <w:color w:val="auto"/>
          <w:kern w:val="0"/>
          <w:sz w:val="28"/>
          <w:szCs w:val="28"/>
          <w:highlight w:val="none"/>
        </w:rPr>
      </w:pPr>
      <w:r>
        <w:rPr>
          <w:rFonts w:hint="eastAsia" w:ascii="仿宋_GB2312" w:hAnsi="宋体" w:eastAsia="仿宋_GB2312" w:cs="宋体"/>
          <w:color w:val="auto"/>
          <w:kern w:val="0"/>
          <w:sz w:val="28"/>
          <w:szCs w:val="28"/>
          <w:highlight w:val="none"/>
        </w:rPr>
        <w:t>3.会计基础信息完善性</w:t>
      </w:r>
    </w:p>
    <w:p>
      <w:pPr>
        <w:spacing w:line="600" w:lineRule="exact"/>
        <w:ind w:left="105" w:leftChars="50" w:firstLine="420" w:firstLineChars="15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严格执行</w:t>
      </w:r>
      <w:r>
        <w:rPr>
          <w:rFonts w:hint="eastAsia" w:ascii="仿宋_GB2312" w:hAnsi="宋体" w:eastAsia="仿宋_GB2312" w:cs="宋体"/>
          <w:color w:val="auto"/>
          <w:kern w:val="0"/>
          <w:sz w:val="28"/>
          <w:szCs w:val="28"/>
          <w:highlight w:val="none"/>
        </w:rPr>
        <w:t>财政总会计制度和准则</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保证会计基础信息真实、完整、准确。</w:t>
      </w:r>
    </w:p>
    <w:p>
      <w:pPr>
        <w:spacing w:line="600" w:lineRule="exact"/>
        <w:ind w:left="105" w:leftChars="50"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（二）资产管理</w:t>
      </w:r>
    </w:p>
    <w:p>
      <w:pPr>
        <w:spacing w:line="600" w:lineRule="exact"/>
        <w:ind w:left="105" w:leftChars="50" w:firstLine="420" w:firstLineChars="15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设置资产管理办公室对专门进行资产管理。</w:t>
      </w:r>
    </w:p>
    <w:p>
      <w:pPr>
        <w:spacing w:line="600" w:lineRule="exact"/>
        <w:ind w:left="105" w:leftChars="50"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（三）绩效管理</w:t>
      </w:r>
    </w:p>
    <w:p>
      <w:pPr>
        <w:spacing w:line="600" w:lineRule="exact"/>
        <w:ind w:firstLine="560" w:firstLineChars="200"/>
        <w:rPr>
          <w:rFonts w:hint="default" w:ascii="仿宋_GB2312" w:eastAsia="仿宋_GB2312"/>
          <w:color w:val="auto"/>
          <w:sz w:val="28"/>
          <w:szCs w:val="28"/>
          <w:highlight w:val="none"/>
          <w:lang w:val="en-US" w:eastAsia="zh-CN"/>
        </w:rPr>
      </w:pPr>
      <w:r>
        <w:rPr>
          <w:rFonts w:hint="eastAsia" w:ascii="仿宋_GB2312" w:eastAsia="仿宋_GB2312"/>
          <w:color w:val="auto"/>
          <w:sz w:val="28"/>
          <w:szCs w:val="28"/>
          <w:highlight w:val="none"/>
          <w:lang w:val="en-US" w:eastAsia="zh-CN"/>
        </w:rPr>
        <w:t>严格落实绩效管理各项规定，对所有项目开展绩效目标表、年中绩效监控运行和年底绩效自评。</w:t>
      </w:r>
    </w:p>
    <w:p>
      <w:pPr>
        <w:spacing w:line="600" w:lineRule="exact"/>
        <w:ind w:left="105" w:leftChars="50"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（四）部门预决算差异率</w:t>
      </w:r>
    </w:p>
    <w:p>
      <w:pPr>
        <w:spacing w:line="600" w:lineRule="exact"/>
        <w:ind w:left="105" w:leftChars="50" w:firstLine="420" w:firstLineChars="150"/>
        <w:rPr>
          <w:rFonts w:hint="default" w:ascii="仿宋_GB2312" w:eastAsia="仿宋_GB2312"/>
          <w:color w:val="auto"/>
          <w:sz w:val="28"/>
          <w:szCs w:val="28"/>
          <w:highlight w:val="none"/>
          <w:lang w:val="en-US" w:eastAsia="zh-CN"/>
        </w:rPr>
      </w:pPr>
      <w:r>
        <w:rPr>
          <w:rFonts w:hint="eastAsia" w:ascii="仿宋_GB2312" w:hAnsi="宋体" w:eastAsia="仿宋_GB2312" w:cs="宋体"/>
          <w:color w:val="auto"/>
          <w:kern w:val="0"/>
          <w:sz w:val="28"/>
          <w:szCs w:val="28"/>
          <w:highlight w:val="none"/>
        </w:rPr>
        <w:t>2022年全年预算数78777.68万元</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决算数为</w:t>
      </w:r>
      <w:r>
        <w:rPr>
          <w:rFonts w:hint="eastAsia" w:ascii="仿宋_GB2312" w:hAnsi="宋体" w:eastAsia="仿宋_GB2312" w:cs="宋体"/>
          <w:color w:val="auto"/>
          <w:kern w:val="0"/>
          <w:sz w:val="28"/>
          <w:szCs w:val="28"/>
          <w:highlight w:val="none"/>
        </w:rPr>
        <w:t>78777.68万元</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预决算差异率为0%。</w:t>
      </w:r>
    </w:p>
    <w:p>
      <w:pPr>
        <w:spacing w:line="600" w:lineRule="exact"/>
        <w:ind w:firstLine="560" w:firstLineChars="200"/>
        <w:rPr>
          <w:rFonts w:ascii="黑体" w:hAnsi="黑体" w:eastAsia="黑体"/>
          <w:color w:val="auto"/>
          <w:sz w:val="28"/>
          <w:szCs w:val="28"/>
          <w:highlight w:val="none"/>
        </w:rPr>
      </w:pPr>
      <w:r>
        <w:rPr>
          <w:rFonts w:hint="eastAsia" w:ascii="黑体" w:hAnsi="黑体" w:eastAsia="黑体"/>
          <w:color w:val="auto"/>
          <w:sz w:val="28"/>
          <w:szCs w:val="28"/>
          <w:highlight w:val="none"/>
        </w:rPr>
        <w:t>五、总体</w:t>
      </w:r>
      <w:r>
        <w:rPr>
          <w:rFonts w:ascii="黑体" w:hAnsi="黑体" w:eastAsia="黑体"/>
          <w:color w:val="auto"/>
          <w:sz w:val="28"/>
          <w:szCs w:val="28"/>
          <w:highlight w:val="none"/>
        </w:rPr>
        <w:t>评价结论</w:t>
      </w:r>
    </w:p>
    <w:p>
      <w:pPr>
        <w:spacing w:line="600" w:lineRule="exact"/>
        <w:ind w:firstLine="560" w:firstLineChars="200"/>
        <w:rPr>
          <w:rFonts w:hint="default" w:ascii="仿宋_GB2312" w:eastAsia="仿宋_GB2312"/>
          <w:color w:val="auto"/>
          <w:sz w:val="28"/>
          <w:szCs w:val="28"/>
          <w:highlight w:val="none"/>
          <w:lang w:val="en-US"/>
        </w:rPr>
      </w:pPr>
      <w:r>
        <w:rPr>
          <w:rFonts w:hint="eastAsia" w:ascii="仿宋_GB2312" w:eastAsia="仿宋_GB2312"/>
          <w:color w:val="auto"/>
          <w:sz w:val="28"/>
          <w:szCs w:val="28"/>
          <w:highlight w:val="none"/>
          <w:lang w:val="en-US" w:eastAsia="zh-CN"/>
        </w:rPr>
        <w:t>2022年全年较为圆满的完成了各项绩效目标任务，通过自查和区级各项检查，发现在绩效管理方面还存在一定不足。下一步将认真梳理，将任务目标细化分解，工作任务落实到具体科室；不断提升财务人员专业化水平，不断提升绩效管理水平。</w:t>
      </w:r>
    </w:p>
    <w:p>
      <w:pPr>
        <w:spacing w:line="480" w:lineRule="exact"/>
        <w:ind w:firstLine="560" w:firstLineChars="200"/>
        <w:rPr>
          <w:rFonts w:hint="eastAsia" w:ascii="仿宋_GB2312" w:hAnsi="宋体" w:eastAsia="仿宋_GB2312" w:cs="宋体"/>
          <w:color w:val="auto"/>
          <w:kern w:val="0"/>
          <w:sz w:val="28"/>
          <w:szCs w:val="28"/>
          <w:highlight w:val="none"/>
        </w:rPr>
      </w:pPr>
      <w:r>
        <w:rPr>
          <w:rFonts w:hint="eastAsia" w:ascii="黑体" w:hAnsi="黑体" w:eastAsia="黑体" w:cs="宋体"/>
          <w:color w:val="auto"/>
          <w:kern w:val="0"/>
          <w:sz w:val="28"/>
          <w:szCs w:val="28"/>
          <w:highlight w:val="none"/>
        </w:rPr>
        <w:t>六、措施建议</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一是进一步加强预算编制和项目资金绩效管理，严格按照专款专用的原则，确保严格规范使用项目资金，提高资金使用效率。</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二是</w:t>
      </w:r>
      <w:r>
        <w:rPr>
          <w:rFonts w:hint="eastAsia" w:ascii="仿宋_GB2312" w:hAnsi="仿宋_GB2312" w:eastAsia="仿宋_GB2312" w:cs="仿宋_GB2312"/>
          <w:color w:val="auto"/>
          <w:kern w:val="0"/>
          <w:sz w:val="28"/>
          <w:szCs w:val="28"/>
          <w:highlight w:val="none"/>
          <w:lang w:val="en-US" w:eastAsia="zh-CN"/>
        </w:rPr>
        <w:t>合理科学谋划，严格落实各项财务规章制度，提高资金使用效率</w:t>
      </w:r>
      <w:r>
        <w:rPr>
          <w:rFonts w:hint="eastAsia" w:ascii="仿宋_GB2312" w:hAnsi="仿宋_GB2312" w:eastAsia="仿宋_GB2312" w:cs="仿宋_GB2312"/>
          <w:color w:val="auto"/>
          <w:kern w:val="0"/>
          <w:sz w:val="28"/>
          <w:szCs w:val="28"/>
          <w:highlight w:val="none"/>
        </w:rPr>
        <w:t>。</w:t>
      </w:r>
    </w:p>
    <w:p>
      <w:pPr>
        <w:pStyle w:val="3"/>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三是加强项目支出绩效管理，完善单位预算绩效管理制度，及时预控、查找资金使用和管理过程中的薄弱环节并予以纠错。</w:t>
      </w:r>
    </w:p>
    <w:p>
      <w:pPr>
        <w:spacing w:line="480" w:lineRule="exact"/>
        <w:ind w:firstLine="560" w:firstLineChars="200"/>
        <w:rPr>
          <w:rFonts w:hint="eastAsia" w:ascii="仿宋_GB2312" w:hAnsi="宋体" w:eastAsia="仿宋_GB2312" w:cs="宋体"/>
          <w:color w:val="auto"/>
          <w:kern w:val="0"/>
          <w:sz w:val="28"/>
          <w:szCs w:val="28"/>
          <w:highlight w:val="none"/>
        </w:rPr>
      </w:pPr>
    </w:p>
    <w:p>
      <w:pPr>
        <w:spacing w:line="480" w:lineRule="exact"/>
        <w:ind w:firstLine="640" w:firstLineChars="200"/>
        <w:rPr>
          <w:rFonts w:hint="eastAsia" w:ascii="仿宋_GB2312" w:hAnsi="宋体" w:eastAsia="仿宋_GB2312" w:cs="宋体"/>
          <w:color w:val="auto"/>
          <w:kern w:val="0"/>
          <w:sz w:val="32"/>
          <w:szCs w:val="32"/>
          <w:highlight w:val="none"/>
        </w:rPr>
      </w:pPr>
    </w:p>
    <w:p>
      <w:pPr>
        <w:spacing w:line="480" w:lineRule="exact"/>
        <w:ind w:firstLine="640" w:firstLineChars="200"/>
        <w:rPr>
          <w:rFonts w:hint="eastAsia" w:ascii="仿宋_GB2312" w:hAnsi="宋体" w:eastAsia="仿宋_GB2312" w:cs="宋体"/>
          <w:color w:val="auto"/>
          <w:kern w:val="0"/>
          <w:sz w:val="32"/>
          <w:szCs w:val="32"/>
          <w:highlight w:val="none"/>
        </w:rPr>
      </w:pPr>
    </w:p>
    <w:p>
      <w:pPr>
        <w:spacing w:line="480" w:lineRule="exact"/>
        <w:ind w:firstLine="640" w:firstLineChars="200"/>
        <w:rPr>
          <w:rFonts w:hint="eastAsia" w:ascii="仿宋_GB2312" w:hAnsi="宋体" w:eastAsia="仿宋_GB2312" w:cs="宋体"/>
          <w:color w:val="auto"/>
          <w:kern w:val="0"/>
          <w:sz w:val="32"/>
          <w:szCs w:val="32"/>
          <w:highlight w:val="none"/>
        </w:rPr>
      </w:pPr>
    </w:p>
    <w:p>
      <w:pPr>
        <w:spacing w:line="480" w:lineRule="exact"/>
        <w:ind w:firstLine="640" w:firstLineChars="200"/>
        <w:rPr>
          <w:rFonts w:hint="eastAsia" w:ascii="仿宋_GB2312" w:hAnsi="宋体" w:eastAsia="仿宋_GB2312" w:cs="宋体"/>
          <w:color w:val="auto"/>
          <w:kern w:val="0"/>
          <w:sz w:val="32"/>
          <w:szCs w:val="32"/>
          <w:highlight w:val="none"/>
        </w:rPr>
      </w:pPr>
    </w:p>
    <w:p>
      <w:pPr>
        <w:spacing w:line="480" w:lineRule="exact"/>
        <w:ind w:firstLine="640" w:firstLineChars="200"/>
        <w:rPr>
          <w:rFonts w:hint="eastAsia" w:ascii="仿宋_GB2312" w:hAnsi="宋体" w:eastAsia="仿宋_GB2312" w:cs="宋体"/>
          <w:color w:val="auto"/>
          <w:kern w:val="0"/>
          <w:sz w:val="32"/>
          <w:szCs w:val="32"/>
          <w:highlight w:val="none"/>
        </w:rPr>
      </w:pPr>
    </w:p>
    <w:p>
      <w:pPr>
        <w:spacing w:line="480" w:lineRule="exact"/>
        <w:ind w:firstLine="640" w:firstLineChars="200"/>
        <w:rPr>
          <w:rFonts w:hint="eastAsia" w:ascii="仿宋_GB2312" w:hAnsi="宋体" w:eastAsia="仿宋_GB2312" w:cs="宋体"/>
          <w:color w:val="auto"/>
          <w:kern w:val="0"/>
          <w:sz w:val="32"/>
          <w:szCs w:val="32"/>
          <w:highlight w:val="none"/>
        </w:rPr>
      </w:pPr>
    </w:p>
    <w:tbl>
      <w:tblPr>
        <w:tblStyle w:val="11"/>
        <w:tblW w:w="14174" w:type="dxa"/>
        <w:tblInd w:w="0" w:type="dxa"/>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vAlign w:val="center"/>
          </w:tcPr>
          <w:p>
            <w:pPr>
              <w:widowControl/>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br w:type="page"/>
            </w:r>
            <w:r>
              <w:rPr>
                <w:rFonts w:hint="eastAsia" w:ascii="宋体" w:hAnsi="宋体" w:cs="宋体"/>
                <w:b/>
                <w:bCs/>
                <w:color w:val="auto"/>
                <w:kern w:val="0"/>
                <w:sz w:val="28"/>
                <w:szCs w:val="28"/>
                <w:highlight w:val="none"/>
                <w:lang w:bidi="ar"/>
              </w:rPr>
              <w:t>2022年度部门整体绩效评价表</w:t>
            </w:r>
          </w:p>
        </w:tc>
      </w:tr>
      <w:tr>
        <w:tblPrEx>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一、当年预算执行情况（20分）</w:t>
            </w:r>
          </w:p>
        </w:tc>
      </w:tr>
      <w:tr>
        <w:tblPrEx>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一级指标</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二级指标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三级指标</w:t>
            </w:r>
          </w:p>
        </w:tc>
        <w:tc>
          <w:tcPr>
            <w:tcW w:w="30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指标解释</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评分标准</w:t>
            </w:r>
          </w:p>
        </w:tc>
        <w:tc>
          <w:tcPr>
            <w:tcW w:w="101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预算数（万元）</w:t>
            </w:r>
          </w:p>
        </w:tc>
        <w:tc>
          <w:tcPr>
            <w:tcW w:w="1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执行数（万元）</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分值</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得分率</w:t>
            </w:r>
          </w:p>
        </w:tc>
        <w:tc>
          <w:tcPr>
            <w:tcW w:w="62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得分</w:t>
            </w:r>
          </w:p>
        </w:tc>
      </w:tr>
      <w:tr>
        <w:tblPrEx>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当年预算执行情况</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（20分）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当年预算执行情况（20）</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①得分一档最高不能超过该指标分值上限（20分）。</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②该指标若为正向指标，得分计算方法为：执行数/预算数*20；</w:t>
            </w:r>
          </w:p>
          <w:p>
            <w:pPr>
              <w:widowControl/>
              <w:jc w:val="left"/>
              <w:textAlignment w:val="center"/>
              <w:rPr>
                <w:rFonts w:hint="eastAsia"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③该指标得分计算资金总体即可，分类支出填写预算数及执行数，无需计算分项执行率；</w:t>
            </w:r>
          </w:p>
          <w:p>
            <w:pPr>
              <w:widowControl/>
              <w:jc w:val="left"/>
              <w:textAlignment w:val="center"/>
              <w:rPr>
                <w:rFonts w:ascii="宋体" w:hAnsi="宋体" w:cs="宋体"/>
                <w:color w:val="auto"/>
                <w:kern w:val="0"/>
                <w:sz w:val="22"/>
                <w:szCs w:val="22"/>
                <w:highlight w:val="none"/>
                <w:lang w:bidi="ar"/>
              </w:rPr>
            </w:pPr>
            <w:r>
              <w:rPr>
                <w:rFonts w:hint="eastAsia" w:ascii="宋体" w:hAnsi="宋体" w:cs="宋体"/>
                <w:color w:val="auto"/>
                <w:kern w:val="0"/>
                <w:sz w:val="22"/>
                <w:szCs w:val="22"/>
                <w:highlight w:val="none"/>
                <w:lang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vAlign w:val="center"/>
          </w:tcPr>
          <w:p>
            <w:pPr>
              <w:jc w:val="right"/>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78777.68</w:t>
            </w:r>
          </w:p>
        </w:tc>
        <w:tc>
          <w:tcPr>
            <w:tcW w:w="1060" w:type="dxa"/>
            <w:tcBorders>
              <w:top w:val="single" w:color="auto" w:sz="4" w:space="0"/>
              <w:left w:val="single" w:color="auto" w:sz="4" w:space="0"/>
              <w:bottom w:val="single" w:color="auto" w:sz="4" w:space="0"/>
              <w:right w:val="single" w:color="auto" w:sz="4" w:space="0"/>
            </w:tcBorders>
            <w:vAlign w:val="center"/>
          </w:tcPr>
          <w:p>
            <w:pPr>
              <w:jc w:val="right"/>
              <w:rPr>
                <w:rFonts w:hint="eastAsia" w:ascii="宋体" w:hAnsi="宋体" w:cs="宋体"/>
                <w:color w:val="auto"/>
                <w:sz w:val="22"/>
                <w:szCs w:val="22"/>
                <w:highlight w:val="none"/>
              </w:rPr>
            </w:pPr>
            <w:r>
              <w:rPr>
                <w:rFonts w:hint="eastAsia" w:ascii="宋体" w:hAnsi="宋体" w:cs="宋体"/>
                <w:color w:val="auto"/>
                <w:sz w:val="22"/>
                <w:szCs w:val="22"/>
                <w:highlight w:val="none"/>
                <w:lang w:val="en-US" w:eastAsia="zh-CN"/>
              </w:rPr>
              <w:t>78777.68</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20</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100%</w:t>
            </w:r>
          </w:p>
        </w:tc>
        <w:tc>
          <w:tcPr>
            <w:tcW w:w="6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20</w:t>
            </w:r>
          </w:p>
        </w:tc>
      </w:tr>
      <w:tr>
        <w:tblPrEx>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100"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375"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cs="宋体"/>
                <w:color w:val="auto"/>
                <w:sz w:val="22"/>
                <w:szCs w:val="22"/>
                <w:highlight w:val="none"/>
              </w:rPr>
            </w:pPr>
          </w:p>
        </w:tc>
        <w:tc>
          <w:tcPr>
            <w:tcW w:w="3507"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cs="宋体"/>
                <w:color w:val="auto"/>
                <w:sz w:val="22"/>
                <w:szCs w:val="22"/>
                <w:highlight w:val="none"/>
              </w:rPr>
            </w:pPr>
          </w:p>
        </w:tc>
        <w:tc>
          <w:tcPr>
            <w:tcW w:w="1012" w:type="dxa"/>
            <w:tcBorders>
              <w:top w:val="single" w:color="auto"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10150.38</w:t>
            </w:r>
          </w:p>
        </w:tc>
        <w:tc>
          <w:tcPr>
            <w:tcW w:w="1060" w:type="dxa"/>
            <w:tcBorders>
              <w:top w:val="single" w:color="auto" w:sz="4" w:space="0"/>
              <w:left w:val="single" w:color="000000" w:sz="4" w:space="0"/>
              <w:bottom w:val="single" w:color="000000" w:sz="4" w:space="0"/>
              <w:right w:val="single" w:color="000000" w:sz="4" w:space="0"/>
            </w:tcBorders>
            <w:vAlign w:val="center"/>
          </w:tcPr>
          <w:p>
            <w:pPr>
              <w:rPr>
                <w:rFonts w:hint="eastAsia" w:ascii="宋体" w:hAnsi="宋体" w:cs="宋体"/>
                <w:color w:val="auto"/>
                <w:sz w:val="24"/>
                <w:highlight w:val="none"/>
              </w:rPr>
            </w:pPr>
            <w:r>
              <w:rPr>
                <w:rFonts w:hint="eastAsia" w:ascii="宋体" w:hAnsi="宋体" w:cs="宋体"/>
                <w:color w:val="auto"/>
                <w:sz w:val="24"/>
                <w:highlight w:val="none"/>
                <w:lang w:val="en-US" w:eastAsia="zh-CN"/>
              </w:rPr>
              <w:t>10150.38</w:t>
            </w:r>
          </w:p>
        </w:tc>
        <w:tc>
          <w:tcPr>
            <w:tcW w:w="658"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625" w:type="dxa"/>
            <w:vMerge w:val="continue"/>
            <w:tcBorders>
              <w:top w:val="single" w:color="auto" w:sz="4" w:space="0"/>
              <w:left w:val="single" w:color="000000" w:sz="4" w:space="0"/>
              <w:bottom w:val="single" w:color="000000" w:sz="4" w:space="0"/>
              <w:right w:val="single" w:color="auto" w:sz="4" w:space="0"/>
            </w:tcBorders>
            <w:vAlign w:val="center"/>
          </w:tcPr>
          <w:p>
            <w:pPr>
              <w:jc w:val="center"/>
              <w:rPr>
                <w:rFonts w:hint="eastAsia" w:ascii="宋体" w:hAnsi="宋体" w:cs="宋体"/>
                <w:color w:val="auto"/>
                <w:sz w:val="22"/>
                <w:szCs w:val="22"/>
                <w:highlight w:val="none"/>
              </w:rPr>
            </w:pPr>
          </w:p>
        </w:tc>
      </w:tr>
      <w:tr>
        <w:tblPrEx>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auto"/>
                <w:sz w:val="22"/>
                <w:szCs w:val="22"/>
                <w:highlight w:val="none"/>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auto"/>
                <w:sz w:val="22"/>
                <w:szCs w:val="22"/>
                <w:highlight w:val="none"/>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68627.3</w:t>
            </w: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auto"/>
                <w:sz w:val="24"/>
                <w:highlight w:val="none"/>
              </w:rPr>
            </w:pPr>
            <w:r>
              <w:rPr>
                <w:rFonts w:hint="eastAsia" w:ascii="宋体" w:hAnsi="宋体" w:cs="宋体"/>
                <w:color w:val="auto"/>
                <w:sz w:val="24"/>
                <w:highlight w:val="none"/>
                <w:lang w:val="en-US" w:eastAsia="zh-CN"/>
              </w:rPr>
              <w:t>68627.3</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auto"/>
                <w:sz w:val="22"/>
                <w:szCs w:val="22"/>
                <w:highlight w:val="none"/>
              </w:rPr>
            </w:pPr>
          </w:p>
        </w:tc>
      </w:tr>
      <w:tr>
        <w:tblPrEx>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auto"/>
                <w:sz w:val="22"/>
                <w:szCs w:val="22"/>
                <w:highlight w:val="none"/>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auto"/>
                <w:sz w:val="22"/>
                <w:szCs w:val="22"/>
                <w:highlight w:val="none"/>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0.00</w:t>
            </w: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0.00</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auto"/>
                <w:sz w:val="22"/>
                <w:szCs w:val="22"/>
                <w:highlight w:val="none"/>
              </w:rPr>
            </w:pPr>
          </w:p>
        </w:tc>
      </w:tr>
      <w:tr>
        <w:tblPrEx>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1104" w:type="dxa"/>
            <w:gridSpan w:val="6"/>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color w:val="auto"/>
                <w:sz w:val="22"/>
                <w:szCs w:val="22"/>
                <w:highlight w:val="none"/>
              </w:rPr>
            </w:pPr>
            <w:r>
              <w:rPr>
                <w:rFonts w:hint="eastAsia" w:ascii="宋体" w:hAnsi="宋体" w:cs="宋体"/>
                <w:color w:val="auto"/>
                <w:kern w:val="0"/>
                <w:sz w:val="22"/>
                <w:szCs w:val="22"/>
                <w:highlight w:val="none"/>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color w:val="auto"/>
                <w:sz w:val="22"/>
                <w:szCs w:val="22"/>
                <w:highlight w:val="none"/>
                <w:lang w:val="en-US" w:eastAsia="zh-CN"/>
              </w:rPr>
            </w:pPr>
            <w:r>
              <w:rPr>
                <w:rFonts w:hint="eastAsia" w:ascii="宋体" w:hAnsi="宋体" w:cs="宋体"/>
                <w:b/>
                <w:bCs/>
                <w:color w:val="auto"/>
                <w:sz w:val="22"/>
                <w:szCs w:val="22"/>
                <w:highlight w:val="none"/>
                <w:lang w:val="en-US" w:eastAsia="zh-CN"/>
              </w:rPr>
              <w:t>20</w:t>
            </w:r>
          </w:p>
        </w:tc>
      </w:tr>
      <w:tr>
        <w:tblPrEx>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二、整体绩效目标实现情况（60分）</w:t>
            </w:r>
          </w:p>
        </w:tc>
      </w:tr>
      <w:tr>
        <w:tblPrEx>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任务名称</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指标名称</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得分</w:t>
            </w:r>
          </w:p>
        </w:tc>
      </w:tr>
      <w:tr>
        <w:tblPrEx>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科学布控，打好疫情防控狙击战。</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r>
              <w:rPr>
                <w:rFonts w:hint="eastAsia" w:ascii="宋体" w:hAnsi="宋体" w:cs="宋体"/>
                <w:color w:val="auto"/>
                <w:sz w:val="22"/>
                <w:szCs w:val="22"/>
                <w:highlight w:val="none"/>
                <w:lang w:val="en-US" w:eastAsia="zh-CN"/>
              </w:rPr>
              <w:t>科学布控，打好疫情防控狙击战。</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面对多发散发、严峻复杂的疫情形势，始终做到迅速出击、科学布防、精准管控、靠前指挥、砥砺坚守，最大成度保护人民生命安全和身体健康。</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严格落实涉疫风险应急处置机制。精准快速划定封管控区，突出封控从严、保供从细、管理从精，以快制快遏制疫情扩散蔓延。落实落细疫情防控措施。完善55个村（社）“一图一册+小网格”台账，实现基础信息落点、落位、落人、落图。一人一专组管控重点人员，打通防疫“神经末梢”。全力抓好社会面常态化防控。充分发挥核酸“探头”和疫苗“屏障”作用，组建1000余人核酸采样队，构建15分钟核酸采样圈。机关“老、中、青”志愿团队、村（社）两委双向发力，60岁以上老人疫苗接种应接尽街。</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w:t>
            </w:r>
          </w:p>
        </w:tc>
      </w:tr>
      <w:tr>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迎难而上，产业发展稳进提质。</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r>
              <w:rPr>
                <w:rFonts w:hint="eastAsia" w:ascii="宋体" w:hAnsi="宋体" w:cs="宋体"/>
                <w:color w:val="auto"/>
                <w:sz w:val="22"/>
                <w:szCs w:val="22"/>
                <w:highlight w:val="none"/>
                <w:lang w:val="en-US" w:eastAsia="zh-CN"/>
              </w:rPr>
              <w:t>迎难而上，产业发展稳进提质。</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不断拓宽产业空间，加快重大项目落地建设，招商引资提质增效，财源建设成效突出。</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完成开发区土地腾退、开发项目实施方案。老旧厂房迭代升级为5000万以上税收招商园区，实现集约高效发展。完成现有企业项目建设，启动厂房改造，引入新型企业。储备5个高质量项目，发展动能更强劲。坚持“全员招商”“以商招商”“产业链招商”“联合招商”死因优质税源企业落地。“一企一策”稳固财源存量，引进优质税源企业，培育财源增量。财源建设全区排名前列。</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r>
      <w:tr>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惠农助农，乡村振兴蹄疾步稳。</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r>
              <w:rPr>
                <w:rFonts w:hint="eastAsia" w:ascii="宋体" w:hAnsi="宋体" w:cs="宋体"/>
                <w:color w:val="auto"/>
                <w:sz w:val="22"/>
                <w:szCs w:val="22"/>
                <w:highlight w:val="none"/>
                <w:lang w:val="en-US" w:eastAsia="zh-CN"/>
              </w:rPr>
              <w:t>惠农助农，乡村振兴蹄疾步稳。</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农业发展提质增效，农民增收生活富足，农文旅融合持续深入，乡村面貌美丽蝶变。</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粮食产量完成生产目标169%，蔬菜产量增长20%。建设市级产业园，建成采果乐园智慧园平台、蔬菜科技示范基地。实施宁家湾村设施农业蔬菜种植项目，村集体经济阔步提升。获评全国农村集体产权制度改革先进集体。农民人均所得收入同比增长5.1%。成功举办第二十二届葡萄旅游文化节，设计推广IP形象及衍生文创产品，吸引游客12万人。村庄排水沟升级改造，32个村美丽乡村稳步推进，5个村污水管网有序建设。第一批5个村生态湿地初步启动。创新“十巡”工作机制，完善四级环境管理体系，以巡促治，以考促治，擦亮人居环境新底色。</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r>
      <w:tr>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精雕细琢，城镇品质大幅提升</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精雕细琢，城镇品质大幅提升</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cs="宋体"/>
                <w:color w:val="auto"/>
                <w:sz w:val="22"/>
                <w:szCs w:val="22"/>
                <w:highlight w:val="none"/>
                <w:lang w:val="en-US"/>
              </w:rPr>
            </w:pPr>
            <w:r>
              <w:rPr>
                <w:rFonts w:hint="eastAsia" w:ascii="宋体" w:hAnsi="宋体" w:cs="宋体"/>
                <w:color w:val="auto"/>
                <w:sz w:val="22"/>
                <w:szCs w:val="22"/>
                <w:highlight w:val="none"/>
                <w:lang w:val="en-US" w:eastAsia="zh-CN"/>
              </w:rPr>
              <w:t>城镇基础不断完善，城镇管理更加有序，城镇治理不断提升。</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教育设施再提升，一小分校竣工。城镇路网再优化。交通配套设施更加完善，完成镇区污水联络线改造提升及西三支渠危桥重建。自我加压腾退2.4万平方米老市场，打通城市绿轴通道。开展“社区走访四个一”“社区书记接待日”“有事您说话”专项行动，提升社区治理效能。清理废品回收站6家、僵尸车63辆。通过两轮创建国家卫生区市级评估。主动治理实施充电桩安装、房屋漏雨修缮、老楼加梯等民心工程。农村集体建设用地腾退、利用有序推进，拆除消纳2114亩，拆后利用600亩。</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r>
      <w:tr>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以民为本，民生福祉更加殷实</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r>
              <w:rPr>
                <w:rFonts w:hint="eastAsia" w:ascii="宋体" w:hAnsi="宋体" w:cs="宋体"/>
                <w:color w:val="auto"/>
                <w:sz w:val="22"/>
                <w:szCs w:val="22"/>
                <w:highlight w:val="none"/>
                <w:lang w:val="en-US" w:eastAsia="zh-CN"/>
              </w:rPr>
              <w:t>以民为本，民生福祉更加殷实</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就业服务精准到位，医疗服务优质高效，养老服务惠普可及，困难群众兜底保障，教育资源稳步提升，政务服务高效便利。</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举办19场线上招聘会，提供就业岗位1万余个，全年城乡劳动力就业1407人，应届毕业生就业率98.41%，困难家庭应届毕业生百分百就业。医疗设备更新升级，就诊流程优化完善，就医环境不断提升，“互联网+医疗”纵深推进。依托“五统一”早餐助餐管理模式，“中央厨房+配送入村”为1300余名老年人提供助餐服务，累计服务30万人次。落实低保、低收入、特困人员医疗救助。关爱帮扶困境儿童，救助案例入选北京市慈善救助巡展，完成2户低收入、低保户危房改造。开展残疾人就业帮扶工作，完成我镇164户残疾人家庭无障碍改造。5个优质教育资源落地，教育供给水平不断提高。新建13个政务服务站，实现58个村（居）政务服务站全覆盖。</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r>
      <w:tr>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绿色发展，生态底色更加靓丽</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r>
              <w:rPr>
                <w:rFonts w:hint="eastAsia" w:ascii="宋体" w:hAnsi="宋体" w:cs="宋体"/>
                <w:color w:val="auto"/>
                <w:sz w:val="22"/>
                <w:szCs w:val="22"/>
                <w:highlight w:val="none"/>
                <w:lang w:val="en-US" w:eastAsia="zh-CN"/>
              </w:rPr>
              <w:t>绿色发展，生态底色更加靓丽</w:t>
            </w:r>
          </w:p>
        </w:tc>
        <w:tc>
          <w:tcPr>
            <w:tcW w:w="305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空气质量持续改善，河道治理持续发力，生态环保持续向好。</w:t>
            </w:r>
          </w:p>
        </w:tc>
        <w:tc>
          <w:tcPr>
            <w:tcW w:w="3507"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建立污染源“动态户口簿”，全流程管理排污企业。“云监测”推动餐饮油烟净化升级改造。严查排放超标车。重污染天气清零。压实镇、村两级河长责任，明确小微水体权属。128处入河排口“一口一档”，21条河流“一河一策”，日常巡查管护+定期“双清行动”，打造河畅、水清、岸绿、景美的水环境。（河、林、田）长制+网格化管理，推动生态环境监管全覆盖。强化耕地数量质量生态“三位一体”保护，守住耕地零污染底线。</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kern w:val="2"/>
                <w:sz w:val="22"/>
                <w:szCs w:val="22"/>
                <w:highlight w:val="none"/>
                <w:lang w:val="en-US" w:eastAsia="zh-CN" w:bidi="ar-SA"/>
              </w:rPr>
            </w:pPr>
            <w:r>
              <w:rPr>
                <w:rFonts w:hint="eastAsia" w:ascii="宋体" w:hAnsi="宋体" w:cs="宋体"/>
                <w:color w:val="auto"/>
                <w:sz w:val="22"/>
                <w:szCs w:val="22"/>
                <w:highlight w:val="none"/>
                <w:lang w:val="en-US" w:eastAsia="zh-CN"/>
              </w:rPr>
              <w:t>10</w:t>
            </w:r>
          </w:p>
        </w:tc>
      </w:tr>
      <w:tr>
        <w:tblPrEx>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9032"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小计</w:t>
            </w:r>
          </w:p>
        </w:tc>
        <w:tc>
          <w:tcPr>
            <w:tcW w:w="2730" w:type="dxa"/>
            <w:gridSpan w:val="3"/>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60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color w:val="auto"/>
                <w:sz w:val="22"/>
                <w:szCs w:val="22"/>
                <w:highlight w:val="none"/>
                <w:lang w:val="en-US" w:eastAsia="zh-CN"/>
              </w:rPr>
            </w:pPr>
            <w:r>
              <w:rPr>
                <w:rFonts w:hint="eastAsia" w:ascii="宋体" w:hAnsi="宋体" w:cs="宋体"/>
                <w:b/>
                <w:bCs/>
                <w:color w:val="auto"/>
                <w:sz w:val="22"/>
                <w:szCs w:val="22"/>
                <w:highlight w:val="none"/>
                <w:lang w:val="en-US" w:eastAsia="zh-CN"/>
              </w:rPr>
              <w:t>60</w:t>
            </w:r>
          </w:p>
        </w:tc>
      </w:tr>
      <w:tr>
        <w:tblPrEx>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三、预算管理情况（20分）</w:t>
            </w:r>
          </w:p>
        </w:tc>
      </w:tr>
      <w:tr>
        <w:tblPrEx>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二级指标</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三级指标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指标解释</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评分标准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2021年数据</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2022年数据</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得分</w:t>
            </w:r>
          </w:p>
        </w:tc>
      </w:tr>
      <w:tr>
        <w:tblPrEx>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财务管理（6）</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①预算资金管理办法、绩效跟踪管理办法、资产管理办法等各项制度是否健全；</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②部门内部财务管理制度是否完善、合规；</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③会计核算制度是否完整、合规。</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2</w:t>
            </w:r>
          </w:p>
        </w:tc>
      </w:tr>
      <w:tr>
        <w:tblPrEx>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①是否符合国家财经法规和财务管理制度规定以及有关专项资金管理办法的规定；</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②资金的拨付是否有完整的审批程序和手续；</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③项目的重大开支是否经过评估论证；</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④是否符合部门预算批复的用途；</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⑤是否存在截留、挤占、挪用情况；</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⑥资金使用是否符合政府采购的程序和流程；</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⑦资金使用是否符合公务卡结算相关制度和规定。</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2</w:t>
            </w:r>
          </w:p>
        </w:tc>
      </w:tr>
      <w:tr>
        <w:tblPrEx>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①基础数据信息和会计信息资料是否真实；</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②基础数据信息和会计信息资料是否完整；</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③基础数据信息和会计信息资料是否准确。</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2</w:t>
            </w:r>
          </w:p>
        </w:tc>
      </w:tr>
      <w:tr>
        <w:tblPrEx>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资产管理（5）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资产管理规范性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①对外投资行为是否经审批，是否存在投资亏损；</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②是否有因管理不当发生严重资产损失和丢失情况；</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③是否存在超标准配置资产；</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④资产使用是否规范，是否存在未经批准擅自出租、出借资产行为；</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⑤资产处置是否规范，是否存在不按要求进行报批或资产不公开处置行为；</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⑥其他资产管理制度办法执行情况。</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5</w:t>
            </w:r>
          </w:p>
        </w:tc>
      </w:tr>
      <w:tr>
        <w:tblPrEx>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绩效管理（5）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绩效管理情况</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①部门（单位）是否及时对绩效信息进行汇总分析整理；</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②部门（单位）是否对绩效目标偏离情况及时进行矫正。</w:t>
            </w:r>
            <w:r>
              <w:rPr>
                <w:rFonts w:hint="eastAsia" w:ascii="宋体" w:hAnsi="宋体" w:cs="宋体"/>
                <w:color w:val="auto"/>
                <w:kern w:val="0"/>
                <w:sz w:val="22"/>
                <w:szCs w:val="22"/>
                <w:highlight w:val="none"/>
                <w:lang w:bidi="ar"/>
              </w:rPr>
              <w:br w:type="textWrapping"/>
            </w:r>
            <w:r>
              <w:rPr>
                <w:rFonts w:hint="eastAsia" w:ascii="宋体" w:hAnsi="宋体" w:cs="宋体"/>
                <w:color w:val="auto"/>
                <w:kern w:val="0"/>
                <w:sz w:val="22"/>
                <w:szCs w:val="22"/>
                <w:highlight w:val="none"/>
                <w:lang w:bidi="ar"/>
              </w:rPr>
              <w:t>每有一项不合格扣2.5分。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5</w:t>
            </w:r>
          </w:p>
        </w:tc>
      </w:tr>
      <w:tr>
        <w:tblPrEx>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10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auto"/>
                <w:sz w:val="22"/>
                <w:szCs w:val="22"/>
                <w:highlight w:val="none"/>
              </w:rPr>
            </w:pP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auto"/>
                <w:sz w:val="22"/>
                <w:szCs w:val="22"/>
                <w:highlight w:val="none"/>
              </w:rPr>
            </w:pPr>
            <w:r>
              <w:rPr>
                <w:rFonts w:hint="eastAsia" w:ascii="宋体" w:hAnsi="宋体" w:cs="宋体"/>
                <w:color w:val="auto"/>
                <w:kern w:val="0"/>
                <w:sz w:val="22"/>
                <w:szCs w:val="22"/>
                <w:highlight w:val="none"/>
                <w:lang w:bidi="ar"/>
              </w:rPr>
              <w:t>4</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auto"/>
                <w:sz w:val="22"/>
                <w:szCs w:val="22"/>
                <w:highlight w:val="none"/>
                <w:lang w:val="en-US" w:eastAsia="zh-CN"/>
              </w:rPr>
            </w:pPr>
            <w:r>
              <w:rPr>
                <w:rFonts w:hint="eastAsia" w:ascii="宋体" w:hAnsi="宋体" w:cs="宋体"/>
                <w:color w:val="auto"/>
                <w:sz w:val="22"/>
                <w:szCs w:val="22"/>
                <w:highlight w:val="none"/>
                <w:lang w:val="en-US" w:eastAsia="zh-CN"/>
              </w:rPr>
              <w:t>4</w:t>
            </w:r>
          </w:p>
        </w:tc>
      </w:tr>
      <w:tr>
        <w:tblPrEx>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auto"/>
                <w:sz w:val="22"/>
                <w:szCs w:val="22"/>
                <w:highlight w:val="none"/>
              </w:rPr>
            </w:pPr>
          </w:p>
        </w:tc>
        <w:tc>
          <w:tcPr>
            <w:tcW w:w="11104" w:type="dxa"/>
            <w:gridSpan w:val="6"/>
            <w:tcBorders>
              <w:top w:val="single" w:color="000000" w:sz="4" w:space="0"/>
              <w:left w:val="single" w:color="auto" w:sz="4" w:space="0"/>
              <w:bottom w:val="single" w:color="000000" w:sz="4" w:space="0"/>
              <w:right w:val="nil"/>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color w:val="auto"/>
                <w:sz w:val="22"/>
                <w:szCs w:val="22"/>
                <w:highlight w:val="none"/>
                <w:lang w:val="en-US" w:eastAsia="zh-CN"/>
              </w:rPr>
            </w:pPr>
            <w:r>
              <w:rPr>
                <w:rFonts w:hint="eastAsia" w:ascii="宋体" w:hAnsi="宋体" w:cs="宋体"/>
                <w:b/>
                <w:bCs/>
                <w:color w:val="auto"/>
                <w:sz w:val="22"/>
                <w:szCs w:val="22"/>
                <w:highlight w:val="none"/>
                <w:lang w:val="en-US" w:eastAsia="zh-CN"/>
              </w:rPr>
              <w:t>20</w:t>
            </w:r>
          </w:p>
        </w:tc>
      </w:tr>
      <w:tr>
        <w:tblPrEx>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合计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100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color w:val="auto"/>
                <w:sz w:val="22"/>
                <w:szCs w:val="22"/>
                <w:highlight w:val="none"/>
              </w:rPr>
            </w:pPr>
            <w:r>
              <w:rPr>
                <w:rFonts w:hint="eastAsia" w:ascii="宋体" w:hAnsi="宋体" w:cs="宋体"/>
                <w:b/>
                <w:bCs/>
                <w:color w:val="auto"/>
                <w:kern w:val="0"/>
                <w:sz w:val="22"/>
                <w:szCs w:val="22"/>
                <w:highlight w:val="none"/>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color w:val="auto"/>
                <w:sz w:val="22"/>
                <w:szCs w:val="22"/>
                <w:highlight w:val="none"/>
                <w:lang w:val="en-US" w:eastAsia="zh-CN"/>
              </w:rPr>
            </w:pPr>
            <w:r>
              <w:rPr>
                <w:rFonts w:hint="eastAsia" w:ascii="宋体" w:hAnsi="宋体" w:cs="宋体"/>
                <w:b/>
                <w:bCs/>
                <w:color w:val="auto"/>
                <w:sz w:val="22"/>
                <w:szCs w:val="22"/>
                <w:highlight w:val="none"/>
                <w:lang w:val="en-US" w:eastAsia="zh-CN"/>
              </w:rPr>
              <w:t>100</w:t>
            </w:r>
          </w:p>
        </w:tc>
      </w:tr>
    </w:tbl>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p>
    <w:p>
      <w:pPr>
        <w:tabs>
          <w:tab w:val="center" w:pos="6979"/>
        </w:tabs>
        <w:spacing w:before="156" w:beforeLines="50" w:after="156" w:afterLines="50"/>
        <w:jc w:val="center"/>
        <w:rPr>
          <w:rFonts w:hint="eastAsia" w:ascii="宋体" w:hAnsi="宋体" w:cs="宋体"/>
          <w:b/>
          <w:bCs/>
          <w:color w:val="auto"/>
          <w:spacing w:val="40"/>
          <w:kern w:val="0"/>
          <w:sz w:val="32"/>
          <w:szCs w:val="32"/>
          <w:highlight w:val="none"/>
        </w:rPr>
      </w:pPr>
      <w:r>
        <w:rPr>
          <w:rFonts w:hint="eastAsia" w:ascii="宋体" w:hAnsi="宋体" w:cs="宋体"/>
          <w:b/>
          <w:bCs/>
          <w:color w:val="auto"/>
          <w:spacing w:val="40"/>
          <w:kern w:val="0"/>
          <w:sz w:val="32"/>
          <w:szCs w:val="32"/>
          <w:highlight w:val="none"/>
        </w:rPr>
        <w:t>项目支出绩效评价报告</w:t>
      </w:r>
    </w:p>
    <w:p>
      <w:pPr>
        <w:spacing w:line="360" w:lineRule="auto"/>
        <w:ind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rPr>
        <w:t>本部门项目由各支出科室进行自评，选取</w:t>
      </w:r>
      <w:r>
        <w:rPr>
          <w:rFonts w:hint="eastAsia" w:ascii="仿宋_GB2312" w:hAnsi="仿宋_GB2312" w:eastAsia="仿宋_GB2312" w:cs="仿宋_GB2312"/>
          <w:color w:val="auto"/>
          <w:kern w:val="0"/>
          <w:sz w:val="28"/>
          <w:szCs w:val="28"/>
          <w:highlight w:val="none"/>
          <w:lang w:val="en-US" w:eastAsia="zh-CN"/>
        </w:rPr>
        <w:t>社会化管控项目开展项目支出绩效评价</w:t>
      </w:r>
      <w:r>
        <w:rPr>
          <w:rFonts w:hint="eastAsia" w:ascii="仿宋_GB2312" w:hAnsi="仿宋_GB2312" w:eastAsia="仿宋_GB2312" w:cs="仿宋_GB2312"/>
          <w:color w:val="auto"/>
          <w:kern w:val="0"/>
          <w:sz w:val="28"/>
          <w:szCs w:val="28"/>
          <w:highlight w:val="none"/>
        </w:rPr>
        <w:t>。</w:t>
      </w:r>
    </w:p>
    <w:p>
      <w:pPr>
        <w:spacing w:line="520" w:lineRule="exact"/>
        <w:ind w:firstLine="560" w:firstLineChars="200"/>
        <w:rPr>
          <w:rFonts w:hint="eastAsia" w:ascii="黑体" w:hAnsi="黑体" w:eastAsia="黑体" w:cs="黑体"/>
          <w:bCs/>
          <w:color w:val="auto"/>
          <w:kern w:val="0"/>
          <w:sz w:val="28"/>
          <w:szCs w:val="28"/>
          <w:highlight w:val="none"/>
        </w:rPr>
      </w:pPr>
      <w:r>
        <w:rPr>
          <w:rFonts w:hint="eastAsia" w:ascii="黑体" w:hAnsi="黑体" w:eastAsia="黑体" w:cs="黑体"/>
          <w:bCs/>
          <w:color w:val="auto"/>
          <w:kern w:val="0"/>
          <w:sz w:val="28"/>
          <w:szCs w:val="28"/>
          <w:highlight w:val="none"/>
        </w:rPr>
        <w:t>一、基本情况</w:t>
      </w:r>
    </w:p>
    <w:p>
      <w:pPr>
        <w:spacing w:line="520" w:lineRule="exact"/>
        <w:ind w:firstLine="560" w:firstLineChars="200"/>
        <w:rPr>
          <w:rFonts w:hint="eastAsia" w:ascii="黑体" w:hAnsi="黑体" w:eastAsia="黑体" w:cs="黑体"/>
          <w:bCs/>
          <w:color w:val="auto"/>
          <w:kern w:val="0"/>
          <w:sz w:val="28"/>
          <w:szCs w:val="28"/>
          <w:highlight w:val="none"/>
        </w:rPr>
      </w:pPr>
      <w:r>
        <w:rPr>
          <w:rFonts w:hint="eastAsia" w:ascii="仿宋_GB2312" w:hAnsi="仿宋_GB2312" w:eastAsia="仿宋_GB2312" w:cs="仿宋_GB2312"/>
          <w:color w:val="auto"/>
          <w:kern w:val="0"/>
          <w:sz w:val="28"/>
          <w:szCs w:val="28"/>
          <w:highlight w:val="none"/>
        </w:rPr>
        <w:t>（一）项目概况。包括项目背景、主要内容及实施情况、资金投入和使用情况等。</w:t>
      </w:r>
    </w:p>
    <w:p>
      <w:pPr>
        <w:pStyle w:val="25"/>
        <w:spacing w:line="560" w:lineRule="exact"/>
        <w:ind w:firstLine="640"/>
        <w:rPr>
          <w:rFonts w:hint="eastAsia" w:ascii="仿宋_GB2312" w:eastAsia="仿宋_GB2312"/>
          <w:bCs/>
          <w:color w:val="auto"/>
          <w:kern w:val="44"/>
          <w:sz w:val="28"/>
          <w:szCs w:val="28"/>
          <w:highlight w:val="none"/>
          <w:lang w:val="en-US" w:eastAsia="zh-CN"/>
        </w:rPr>
      </w:pPr>
      <w:r>
        <w:rPr>
          <w:rFonts w:hint="eastAsia" w:ascii="仿宋_GB2312" w:eastAsia="仿宋_GB2312"/>
          <w:bCs/>
          <w:color w:val="auto"/>
          <w:kern w:val="44"/>
          <w:sz w:val="28"/>
          <w:szCs w:val="28"/>
          <w:highlight w:val="none"/>
          <w:lang w:val="en-US" w:eastAsia="zh-CN"/>
        </w:rPr>
        <w:t>1.项目背景。</w:t>
      </w:r>
    </w:p>
    <w:p>
      <w:pPr>
        <w:pStyle w:val="25"/>
        <w:spacing w:line="560" w:lineRule="exact"/>
        <w:ind w:firstLine="64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为贯彻落实党的十九大精神，紧紧围绕以大局服务、以平安建设工作为主题，为努力构建规范化村庄建设、营造良好的人居环境，依法依规地开展对采育镇农耕地违法建设、抢载抢种等情况的巡查工作。建立健全网格化、覆盖式巡查防控机制。分片巡查，责任到组，定岗、定点、定责，确保巡查无遗漏。</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2.主要内容及实施情况</w:t>
      </w:r>
    </w:p>
    <w:p>
      <w:pPr>
        <w:spacing w:line="560" w:lineRule="exact"/>
        <w:ind w:firstLine="64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该项目主要由采育镇政府实施，通过政府购买服务的方式确定两家保安公司对南、北片区进行巡查管控，负责协助城管巡查镇域内农田地违法建设、抢栽抢种、村庄内私搭乱建等，清理店外经营、非法张贴小广告、镇内乱摆堆设点等违法行为。巡查人员负责全镇集体土地违法建设、私搭乱建、抢栽抢种巡查管控工作。违建巡查采取“分片一室”管理模式，“分片”是以采廊路和高速引路为界，分两片动态巡查。</w:t>
      </w:r>
    </w:p>
    <w:p>
      <w:pPr>
        <w:numPr>
          <w:ilvl w:val="0"/>
          <w:numId w:val="0"/>
        </w:numPr>
        <w:spacing w:line="520" w:lineRule="exact"/>
        <w:ind w:left="0" w:leftChars="0" w:firstLine="560" w:firstLineChars="200"/>
        <w:rPr>
          <w:rFonts w:hint="eastAsia" w:ascii="仿宋_GB2312" w:hAnsi="仿宋_GB2312" w:eastAsia="仿宋_GB2312" w:cs="仿宋_GB2312"/>
          <w:color w:val="auto"/>
          <w:kern w:val="0"/>
          <w:sz w:val="28"/>
          <w:szCs w:val="28"/>
          <w:highlight w:val="none"/>
        </w:rPr>
      </w:pPr>
      <w:r>
        <w:rPr>
          <w:rFonts w:hint="eastAsia" w:ascii="仿宋_GB2312" w:hAnsi="仿宋_GB2312" w:eastAsia="仿宋_GB2312" w:cs="仿宋_GB2312"/>
          <w:color w:val="auto"/>
          <w:kern w:val="0"/>
          <w:sz w:val="28"/>
          <w:szCs w:val="28"/>
          <w:highlight w:val="none"/>
          <w:lang w:val="en-US" w:eastAsia="zh-CN" w:bidi="ar-SA"/>
        </w:rPr>
        <w:t>（二）</w:t>
      </w:r>
      <w:r>
        <w:rPr>
          <w:rFonts w:hint="eastAsia" w:ascii="仿宋_GB2312" w:hAnsi="仿宋_GB2312" w:eastAsia="仿宋_GB2312" w:cs="仿宋_GB2312"/>
          <w:color w:val="auto"/>
          <w:kern w:val="0"/>
          <w:sz w:val="28"/>
          <w:szCs w:val="28"/>
          <w:highlight w:val="none"/>
        </w:rPr>
        <w:t>项目绩效目标。包括总体目标和阶段性目标。</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总体目标为：通过对采育镇农耕地违法建设、抢载抢种情况进行巡查，配合城管派出所等相关业务。改善并消除镇域内违法建设情况。</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该项目阶段性目标为：</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1.数量指标：巡查人员人数130名、巡查点位42个、巡查车辆8辆；</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2.质量指标：巡查过程中发现违法建设情况及时上报并处理、巡查队伍出勤率100%；</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3.进度指标：招标日期2021年2月，合同签订日期2021年3月、2021年9月，巡查天数2021年1月-12月；</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4.成本指标：项目预算控制总额6,390,800.00元；</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5.效益指标：及时巡查上报处理率100%；</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6.服务对象满意度指标：村委会满意度95%。</w:t>
      </w:r>
    </w:p>
    <w:p>
      <w:pPr>
        <w:spacing w:line="520" w:lineRule="exact"/>
        <w:ind w:firstLine="560" w:firstLineChars="200"/>
        <w:rPr>
          <w:rFonts w:hint="eastAsia" w:ascii="黑体" w:hAnsi="黑体" w:eastAsia="黑体" w:cs="黑体"/>
          <w:bCs/>
          <w:color w:val="auto"/>
          <w:kern w:val="0"/>
          <w:sz w:val="28"/>
          <w:szCs w:val="28"/>
          <w:highlight w:val="none"/>
        </w:rPr>
      </w:pPr>
      <w:r>
        <w:rPr>
          <w:rFonts w:hint="eastAsia" w:ascii="黑体" w:hAnsi="黑体" w:eastAsia="黑体" w:cs="黑体"/>
          <w:bCs/>
          <w:color w:val="auto"/>
          <w:kern w:val="0"/>
          <w:sz w:val="28"/>
          <w:szCs w:val="28"/>
          <w:highlight w:val="none"/>
        </w:rPr>
        <w:t>二、绩效评价工作开展情况</w:t>
      </w:r>
    </w:p>
    <w:p>
      <w:pPr>
        <w:pStyle w:val="2"/>
        <w:spacing w:before="0" w:after="0" w:line="560" w:lineRule="exact"/>
        <w:ind w:firstLine="640" w:firstLineChars="200"/>
        <w:rPr>
          <w:rFonts w:ascii="楷体_GB2312" w:hAnsi="楷体_GB2312" w:eastAsia="楷体_GB2312" w:cs="楷体_GB2312"/>
          <w:b w:val="0"/>
          <w:bCs w:val="0"/>
          <w:color w:val="auto"/>
          <w:kern w:val="44"/>
          <w:highlight w:val="none"/>
        </w:rPr>
      </w:pPr>
      <w:bookmarkStart w:id="0" w:name="_Toc455492207"/>
      <w:bookmarkStart w:id="1" w:name="_Toc27187"/>
      <w:bookmarkStart w:id="2" w:name="_Toc29130"/>
      <w:bookmarkStart w:id="3" w:name="_Toc8544"/>
      <w:bookmarkStart w:id="4" w:name="_Toc25286"/>
      <w:bookmarkStart w:id="5" w:name="_Toc6210"/>
      <w:bookmarkStart w:id="6" w:name="_Toc9162"/>
      <w:r>
        <w:rPr>
          <w:rFonts w:hint="eastAsia" w:ascii="楷体_GB2312" w:hAnsi="楷体_GB2312" w:eastAsia="楷体_GB2312" w:cs="楷体_GB2312"/>
          <w:b w:val="0"/>
          <w:color w:val="auto"/>
          <w:kern w:val="44"/>
          <w:highlight w:val="none"/>
        </w:rPr>
        <w:t>（一）</w:t>
      </w:r>
      <w:bookmarkEnd w:id="0"/>
      <w:r>
        <w:rPr>
          <w:rFonts w:hint="eastAsia" w:ascii="楷体_GB2312" w:hAnsi="楷体_GB2312" w:eastAsia="楷体_GB2312" w:cs="楷体_GB2312"/>
          <w:b w:val="0"/>
          <w:color w:val="auto"/>
          <w:kern w:val="44"/>
          <w:highlight w:val="none"/>
        </w:rPr>
        <w:t>绩效评价目的、对象和范围</w:t>
      </w:r>
      <w:bookmarkEnd w:id="1"/>
      <w:bookmarkEnd w:id="2"/>
      <w:bookmarkEnd w:id="3"/>
      <w:bookmarkEnd w:id="4"/>
      <w:bookmarkEnd w:id="5"/>
      <w:bookmarkEnd w:id="6"/>
    </w:p>
    <w:p>
      <w:pPr>
        <w:spacing w:line="560" w:lineRule="exact"/>
        <w:ind w:firstLine="560" w:firstLineChars="200"/>
        <w:rPr>
          <w:rFonts w:eastAsia="仿宋_GB2312"/>
          <w:bCs/>
          <w:color w:val="auto"/>
          <w:kern w:val="44"/>
          <w:sz w:val="32"/>
          <w:szCs w:val="32"/>
          <w:highlight w:val="none"/>
        </w:rPr>
      </w:pPr>
      <w:r>
        <w:rPr>
          <w:rFonts w:eastAsia="仿宋_GB2312"/>
          <w:bCs/>
          <w:color w:val="auto"/>
          <w:kern w:val="44"/>
          <w:sz w:val="28"/>
          <w:szCs w:val="28"/>
          <w:highlight w:val="none"/>
        </w:rPr>
        <w:t>该项目评价目的为：一是加强预算绩效管理，强化支出责任，提高财政资金使用效益；二是进一步总结和分析项目资金的实施效果，检验财政支出预期目标实现程度，考核财政支出效率和综合效果；三是为</w:t>
      </w:r>
      <w:r>
        <w:rPr>
          <w:rFonts w:hint="eastAsia" w:ascii="仿宋_GB2312" w:eastAsia="仿宋_GB2312"/>
          <w:bCs/>
          <w:color w:val="auto"/>
          <w:kern w:val="44"/>
          <w:sz w:val="28"/>
          <w:szCs w:val="28"/>
          <w:highlight w:val="none"/>
        </w:rPr>
        <w:t>采育镇政府</w:t>
      </w:r>
      <w:r>
        <w:rPr>
          <w:rFonts w:eastAsia="仿宋_GB2312"/>
          <w:bCs/>
          <w:color w:val="auto"/>
          <w:kern w:val="44"/>
          <w:sz w:val="28"/>
          <w:szCs w:val="28"/>
          <w:highlight w:val="none"/>
        </w:rPr>
        <w:t>以后年度相关</w:t>
      </w:r>
      <w:r>
        <w:rPr>
          <w:rFonts w:hint="eastAsia" w:eastAsia="仿宋_GB2312"/>
          <w:bCs/>
          <w:color w:val="auto"/>
          <w:kern w:val="44"/>
          <w:sz w:val="28"/>
          <w:szCs w:val="28"/>
          <w:highlight w:val="none"/>
        </w:rPr>
        <w:t>项目</w:t>
      </w:r>
      <w:r>
        <w:rPr>
          <w:rFonts w:eastAsia="仿宋_GB2312"/>
          <w:bCs/>
          <w:color w:val="auto"/>
          <w:kern w:val="44"/>
          <w:sz w:val="28"/>
          <w:szCs w:val="28"/>
          <w:highlight w:val="none"/>
        </w:rPr>
        <w:t>提供参考依据。</w:t>
      </w:r>
    </w:p>
    <w:p>
      <w:pPr>
        <w:pStyle w:val="2"/>
        <w:spacing w:before="0" w:after="0" w:line="560" w:lineRule="exact"/>
        <w:ind w:firstLine="640" w:firstLineChars="200"/>
        <w:rPr>
          <w:rFonts w:ascii="楷体_GB2312" w:hAnsi="楷体_GB2312" w:eastAsia="楷体_GB2312" w:cs="楷体_GB2312"/>
          <w:b w:val="0"/>
          <w:bCs w:val="0"/>
          <w:color w:val="auto"/>
          <w:kern w:val="44"/>
          <w:highlight w:val="none"/>
        </w:rPr>
      </w:pPr>
      <w:bookmarkStart w:id="7" w:name="_Toc8946"/>
      <w:bookmarkStart w:id="8" w:name="_Toc5735"/>
      <w:bookmarkStart w:id="9" w:name="_Toc29766"/>
      <w:bookmarkStart w:id="10" w:name="_Toc20221"/>
      <w:bookmarkStart w:id="11" w:name="_Toc4754"/>
      <w:bookmarkStart w:id="12" w:name="_Toc13100"/>
      <w:r>
        <w:rPr>
          <w:rFonts w:hint="eastAsia" w:ascii="楷体_GB2312" w:hAnsi="楷体_GB2312" w:eastAsia="楷体_GB2312" w:cs="楷体_GB2312"/>
          <w:b w:val="0"/>
          <w:color w:val="auto"/>
          <w:kern w:val="44"/>
          <w:highlight w:val="none"/>
        </w:rPr>
        <w:t>（二）绩效评价原则、评价指标体系、评价方法、评价标准等</w:t>
      </w:r>
      <w:bookmarkEnd w:id="7"/>
      <w:bookmarkEnd w:id="8"/>
      <w:bookmarkEnd w:id="9"/>
      <w:bookmarkEnd w:id="10"/>
      <w:bookmarkEnd w:id="11"/>
      <w:bookmarkEnd w:id="12"/>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绩效评价遵循“科学公正、统筹兼顾、激励约束”等基本原则，</w:t>
      </w:r>
      <w:r>
        <w:rPr>
          <w:rFonts w:ascii="仿宋_GB2312" w:eastAsia="仿宋_GB2312"/>
          <w:bCs/>
          <w:color w:val="auto"/>
          <w:kern w:val="44"/>
          <w:sz w:val="28"/>
          <w:szCs w:val="28"/>
          <w:highlight w:val="none"/>
        </w:rPr>
        <w:t>结合项目特点，</w:t>
      </w:r>
      <w:r>
        <w:rPr>
          <w:rFonts w:hint="eastAsia" w:ascii="仿宋_GB2312" w:eastAsia="仿宋_GB2312"/>
          <w:bCs/>
          <w:color w:val="auto"/>
          <w:kern w:val="44"/>
          <w:sz w:val="28"/>
          <w:szCs w:val="28"/>
          <w:highlight w:val="none"/>
        </w:rPr>
        <w:t>统一确定了绩效评价项目的</w:t>
      </w:r>
      <w:r>
        <w:rPr>
          <w:rFonts w:ascii="仿宋_GB2312" w:eastAsia="仿宋_GB2312"/>
          <w:bCs/>
          <w:color w:val="auto"/>
          <w:kern w:val="44"/>
          <w:sz w:val="28"/>
          <w:szCs w:val="28"/>
          <w:highlight w:val="none"/>
        </w:rPr>
        <w:t>绩效评价指标体系</w:t>
      </w:r>
      <w:r>
        <w:rPr>
          <w:rFonts w:hint="eastAsia" w:ascii="仿宋_GB2312" w:eastAsia="仿宋_GB2312"/>
          <w:bCs/>
          <w:color w:val="auto"/>
          <w:kern w:val="44"/>
          <w:sz w:val="28"/>
          <w:szCs w:val="28"/>
          <w:highlight w:val="none"/>
        </w:rPr>
        <w:t>。本次绩效评价结果根据评价分数分为4个等级：综合得分在90（含）-100分为优，80（含）-90分为良，60 （含）-80分为中，60分以下为差。</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本次绩效评价通过政策研究、实地调研、比较分析、专家座谈等多种方式开展。</w:t>
      </w:r>
    </w:p>
    <w:p>
      <w:pPr>
        <w:pStyle w:val="2"/>
        <w:spacing w:before="0" w:after="0" w:line="560" w:lineRule="exact"/>
        <w:ind w:firstLine="640" w:firstLineChars="200"/>
        <w:rPr>
          <w:rFonts w:ascii="楷体_GB2312" w:hAnsi="楷体_GB2312" w:eastAsia="楷体_GB2312" w:cs="楷体_GB2312"/>
          <w:b w:val="0"/>
          <w:bCs w:val="0"/>
          <w:color w:val="auto"/>
          <w:kern w:val="44"/>
          <w:highlight w:val="none"/>
        </w:rPr>
      </w:pPr>
      <w:bookmarkStart w:id="13" w:name="_Toc455492208"/>
      <w:bookmarkStart w:id="14" w:name="_Toc6184"/>
      <w:bookmarkStart w:id="15" w:name="_Toc28908"/>
      <w:bookmarkStart w:id="16" w:name="_Toc30438"/>
      <w:bookmarkStart w:id="17" w:name="_Toc20348"/>
      <w:bookmarkStart w:id="18" w:name="_Toc25720"/>
      <w:bookmarkStart w:id="19" w:name="_Toc11557"/>
      <w:r>
        <w:rPr>
          <w:rFonts w:hint="eastAsia" w:ascii="楷体_GB2312" w:hAnsi="楷体_GB2312" w:eastAsia="楷体_GB2312" w:cs="楷体_GB2312"/>
          <w:b w:val="0"/>
          <w:color w:val="auto"/>
          <w:kern w:val="44"/>
          <w:highlight w:val="none"/>
        </w:rPr>
        <w:t>（三）</w:t>
      </w:r>
      <w:bookmarkEnd w:id="13"/>
      <w:r>
        <w:rPr>
          <w:rFonts w:hint="eastAsia" w:ascii="楷体_GB2312" w:hAnsi="楷体_GB2312" w:eastAsia="楷体_GB2312" w:cs="楷体_GB2312"/>
          <w:b w:val="0"/>
          <w:color w:val="auto"/>
          <w:kern w:val="44"/>
          <w:highlight w:val="none"/>
        </w:rPr>
        <w:t>绩效评价工作过程</w:t>
      </w:r>
      <w:bookmarkEnd w:id="14"/>
      <w:bookmarkEnd w:id="15"/>
      <w:bookmarkEnd w:id="16"/>
      <w:bookmarkEnd w:id="17"/>
      <w:bookmarkEnd w:id="18"/>
      <w:bookmarkEnd w:id="19"/>
    </w:p>
    <w:p>
      <w:pPr>
        <w:spacing w:line="560" w:lineRule="exact"/>
        <w:ind w:firstLine="560" w:firstLineChars="200"/>
        <w:rPr>
          <w:rFonts w:ascii="仿宋_GB2312" w:eastAsia="仿宋_GB2312"/>
          <w:bCs/>
          <w:color w:val="auto"/>
          <w:kern w:val="44"/>
          <w:sz w:val="28"/>
          <w:szCs w:val="28"/>
          <w:highlight w:val="none"/>
        </w:rPr>
      </w:pPr>
      <w:r>
        <w:rPr>
          <w:rFonts w:ascii="仿宋_GB2312" w:eastAsia="仿宋_GB2312"/>
          <w:bCs/>
          <w:color w:val="auto"/>
          <w:kern w:val="44"/>
          <w:sz w:val="28"/>
          <w:szCs w:val="28"/>
          <w:highlight w:val="none"/>
        </w:rPr>
        <w:t>为确保绩效评价工作的客观公正，评价工作组严格按照绩效评价工作程序组织实施绩效评价工作，主要程序如下：</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1.组建评价工作组、遴选专家</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2.现场调研、收集资料</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3.研究制定指标体系</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4.筹备和召开专家评价会</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5.撰写绩效评价报告</w:t>
      </w:r>
    </w:p>
    <w:p>
      <w:pPr>
        <w:spacing w:line="520" w:lineRule="exact"/>
        <w:ind w:firstLine="560" w:firstLineChars="200"/>
        <w:rPr>
          <w:rFonts w:hint="eastAsia" w:ascii="黑体" w:hAnsi="黑体" w:eastAsia="黑体" w:cs="黑体"/>
          <w:bCs/>
          <w:color w:val="auto"/>
          <w:kern w:val="0"/>
          <w:sz w:val="28"/>
          <w:szCs w:val="28"/>
          <w:highlight w:val="none"/>
        </w:rPr>
      </w:pPr>
      <w:r>
        <w:rPr>
          <w:rFonts w:hint="eastAsia" w:ascii="黑体" w:hAnsi="黑体" w:eastAsia="黑体" w:cs="黑体"/>
          <w:bCs/>
          <w:color w:val="auto"/>
          <w:kern w:val="0"/>
          <w:sz w:val="28"/>
          <w:szCs w:val="28"/>
          <w:highlight w:val="none"/>
        </w:rPr>
        <w:t>三、综合评价情况及评价结论（附相关评分表）</w:t>
      </w:r>
    </w:p>
    <w:p>
      <w:pPr>
        <w:pStyle w:val="2"/>
        <w:spacing w:before="0" w:after="0" w:line="560" w:lineRule="exact"/>
        <w:ind w:firstLine="640" w:firstLineChars="200"/>
        <w:rPr>
          <w:rFonts w:ascii="楷体_GB2312" w:hAnsi="楷体_GB2312" w:eastAsia="楷体_GB2312" w:cs="楷体_GB2312"/>
          <w:b w:val="0"/>
          <w:bCs w:val="0"/>
          <w:color w:val="auto"/>
          <w:kern w:val="44"/>
          <w:highlight w:val="none"/>
        </w:rPr>
      </w:pPr>
      <w:bookmarkStart w:id="20" w:name="_Toc31152"/>
      <w:bookmarkStart w:id="21" w:name="_Toc2009"/>
      <w:bookmarkStart w:id="22" w:name="_Toc4331"/>
      <w:bookmarkStart w:id="23" w:name="_Toc20896"/>
      <w:bookmarkStart w:id="24" w:name="_Toc13894"/>
      <w:bookmarkStart w:id="25" w:name="_Toc28257"/>
      <w:r>
        <w:rPr>
          <w:rFonts w:hint="eastAsia" w:ascii="楷体_GB2312" w:hAnsi="楷体_GB2312" w:eastAsia="楷体_GB2312" w:cs="楷体_GB2312"/>
          <w:b w:val="0"/>
          <w:color w:val="auto"/>
          <w:kern w:val="44"/>
          <w:highlight w:val="none"/>
        </w:rPr>
        <w:t>（一）综合评价情况</w:t>
      </w:r>
      <w:bookmarkEnd w:id="20"/>
      <w:bookmarkEnd w:id="21"/>
      <w:bookmarkEnd w:id="22"/>
      <w:bookmarkEnd w:id="23"/>
      <w:bookmarkEnd w:id="24"/>
      <w:bookmarkEnd w:id="25"/>
    </w:p>
    <w:p>
      <w:pPr>
        <w:snapToGrid w:val="0"/>
        <w:spacing w:line="520" w:lineRule="exact"/>
        <w:ind w:firstLine="6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经专家评议，该项目综合评价得分81.84分</w:t>
      </w:r>
      <w:r>
        <w:rPr>
          <w:rFonts w:hint="eastAsia" w:ascii="仿宋_GB2312" w:eastAsia="仿宋_GB2312"/>
          <w:bCs/>
          <w:color w:val="auto"/>
          <w:kern w:val="44"/>
          <w:sz w:val="28"/>
          <w:szCs w:val="28"/>
          <w:highlight w:val="none"/>
          <w:lang w:eastAsia="zh-CN"/>
        </w:rPr>
        <w:t>，</w:t>
      </w:r>
      <w:r>
        <w:rPr>
          <w:rFonts w:hint="eastAsia" w:ascii="仿宋_GB2312" w:eastAsia="仿宋_GB2312"/>
          <w:bCs/>
          <w:color w:val="auto"/>
          <w:kern w:val="44"/>
          <w:sz w:val="28"/>
          <w:szCs w:val="28"/>
          <w:highlight w:val="none"/>
        </w:rPr>
        <w:t>具体情况详见下表。</w:t>
      </w:r>
    </w:p>
    <w:tbl>
      <w:tblPr>
        <w:tblStyle w:val="11"/>
        <w:tblW w:w="8485"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Layout w:type="fixed"/>
        <w:tblCellMar>
          <w:top w:w="0" w:type="dxa"/>
          <w:left w:w="57" w:type="dxa"/>
          <w:bottom w:w="0" w:type="dxa"/>
          <w:right w:w="57" w:type="dxa"/>
        </w:tblCellMar>
      </w:tblPr>
      <w:tblGrid>
        <w:gridCol w:w="2250"/>
        <w:gridCol w:w="3240"/>
        <w:gridCol w:w="2995"/>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03" w:hRule="atLeast"/>
          <w:jc w:val="center"/>
        </w:trPr>
        <w:tc>
          <w:tcPr>
            <w:tcW w:w="2250" w:type="dxa"/>
            <w:tcBorders>
              <w:top w:val="single" w:color="FFFFFF" w:sz="4" w:space="0"/>
              <w:left w:val="single" w:color="FFFFFF" w:sz="4" w:space="0"/>
              <w:bottom w:val="single" w:color="FFFFFF" w:sz="6"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color w:val="auto"/>
                <w:sz w:val="28"/>
                <w:szCs w:val="28"/>
                <w:highlight w:val="none"/>
              </w:rPr>
            </w:pPr>
            <w:r>
              <w:rPr>
                <w:rFonts w:eastAsia="仿宋_GB2312"/>
                <w:b/>
                <w:color w:val="auto"/>
                <w:sz w:val="28"/>
                <w:szCs w:val="28"/>
                <w:highlight w:val="none"/>
              </w:rPr>
              <w:t>评价内容</w:t>
            </w:r>
          </w:p>
        </w:tc>
        <w:tc>
          <w:tcPr>
            <w:tcW w:w="3240" w:type="dxa"/>
            <w:tcBorders>
              <w:top w:val="single" w:color="FFFFFF" w:sz="4" w:space="0"/>
              <w:left w:val="single" w:color="FFFFFF" w:sz="6" w:space="0"/>
              <w:bottom w:val="single" w:color="FFFFFF" w:sz="6"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color w:val="auto"/>
                <w:sz w:val="28"/>
                <w:szCs w:val="28"/>
                <w:highlight w:val="none"/>
              </w:rPr>
            </w:pPr>
            <w:r>
              <w:rPr>
                <w:rFonts w:eastAsia="仿宋_GB2312"/>
                <w:b/>
                <w:color w:val="auto"/>
                <w:sz w:val="28"/>
                <w:szCs w:val="28"/>
                <w:highlight w:val="none"/>
              </w:rPr>
              <w:t>分值</w:t>
            </w:r>
          </w:p>
        </w:tc>
        <w:tc>
          <w:tcPr>
            <w:tcW w:w="2995" w:type="dxa"/>
            <w:tcBorders>
              <w:top w:val="single" w:color="FFFFFF" w:sz="4" w:space="0"/>
              <w:left w:val="single" w:color="FFFFFF" w:sz="6" w:space="0"/>
              <w:bottom w:val="single" w:color="FFFFFF" w:sz="6" w:space="0"/>
              <w:right w:val="single" w:color="FFFFFF" w:sz="4" w:space="0"/>
            </w:tcBorders>
            <w:shd w:val="clear" w:color="auto" w:fill="C0C0C0"/>
            <w:vAlign w:val="center"/>
          </w:tcPr>
          <w:p>
            <w:pPr>
              <w:adjustRightInd w:val="0"/>
              <w:snapToGrid w:val="0"/>
              <w:spacing w:before="120" w:after="60" w:line="300" w:lineRule="auto"/>
              <w:jc w:val="center"/>
              <w:rPr>
                <w:rFonts w:eastAsia="仿宋_GB2312"/>
                <w:b/>
                <w:color w:val="auto"/>
                <w:sz w:val="28"/>
                <w:szCs w:val="28"/>
                <w:highlight w:val="none"/>
              </w:rPr>
            </w:pPr>
            <w:r>
              <w:rPr>
                <w:rFonts w:eastAsia="仿宋_GB2312"/>
                <w:b/>
                <w:color w:val="auto"/>
                <w:sz w:val="28"/>
                <w:szCs w:val="28"/>
                <w:highlight w:val="none"/>
              </w:rPr>
              <w:t>评价得分</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423" w:hRule="atLeast"/>
          <w:jc w:val="center"/>
        </w:trPr>
        <w:tc>
          <w:tcPr>
            <w:tcW w:w="2250" w:type="dxa"/>
            <w:tcBorders>
              <w:top w:val="single" w:color="FFFFFF" w:sz="6" w:space="0"/>
              <w:left w:val="single" w:color="FFFFFF" w:sz="4" w:space="0"/>
              <w:bottom w:val="single" w:color="FFFFFF" w:sz="6" w:space="0"/>
              <w:right w:val="single" w:color="FFFFFF" w:sz="6" w:space="0"/>
            </w:tcBorders>
            <w:shd w:val="clear" w:color="auto" w:fill="C0C0C0"/>
            <w:vAlign w:val="center"/>
          </w:tcPr>
          <w:p>
            <w:pPr>
              <w:pStyle w:val="3"/>
              <w:adjustRightInd w:val="0"/>
              <w:snapToGrid w:val="0"/>
              <w:spacing w:before="120" w:after="60" w:line="300" w:lineRule="auto"/>
              <w:ind w:firstLine="0"/>
              <w:jc w:val="center"/>
              <w:rPr>
                <w:rFonts w:eastAsia="仿宋_GB2312"/>
                <w:b/>
                <w:color w:val="auto"/>
                <w:sz w:val="28"/>
                <w:szCs w:val="28"/>
                <w:highlight w:val="none"/>
              </w:rPr>
            </w:pPr>
            <w:r>
              <w:rPr>
                <w:rFonts w:hint="eastAsia" w:eastAsia="仿宋_GB2312"/>
                <w:b/>
                <w:color w:val="auto"/>
                <w:sz w:val="28"/>
                <w:szCs w:val="28"/>
                <w:highlight w:val="none"/>
              </w:rPr>
              <w:t>决策管理</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10.00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8.04</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475" w:hRule="atLeast"/>
          <w:jc w:val="center"/>
        </w:trPr>
        <w:tc>
          <w:tcPr>
            <w:tcW w:w="2250" w:type="dxa"/>
            <w:tcBorders>
              <w:top w:val="single" w:color="FFFFFF" w:sz="6" w:space="0"/>
              <w:left w:val="single" w:color="FFFFFF" w:sz="4" w:space="0"/>
              <w:bottom w:val="single" w:color="FFFFFF" w:sz="6"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color w:val="auto"/>
                <w:sz w:val="28"/>
                <w:szCs w:val="28"/>
                <w:highlight w:val="none"/>
              </w:rPr>
            </w:pPr>
            <w:r>
              <w:rPr>
                <w:rFonts w:hint="eastAsia" w:eastAsia="仿宋_GB2312"/>
                <w:b/>
                <w:color w:val="auto"/>
                <w:sz w:val="28"/>
                <w:szCs w:val="28"/>
                <w:highlight w:val="none"/>
              </w:rPr>
              <w:t>过程管理</w:t>
            </w:r>
          </w:p>
        </w:tc>
        <w:tc>
          <w:tcPr>
            <w:tcW w:w="3240" w:type="dxa"/>
            <w:tcBorders>
              <w:top w:val="single" w:color="FFFFFF" w:sz="6" w:space="0"/>
              <w:left w:val="single" w:color="FFFFFF" w:sz="6" w:space="0"/>
              <w:bottom w:val="single" w:color="FFFFFF" w:sz="6" w:space="0"/>
              <w:right w:val="single" w:color="FFFFFF" w:sz="6"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20.00</w:t>
            </w:r>
          </w:p>
        </w:tc>
        <w:tc>
          <w:tcPr>
            <w:tcW w:w="2995" w:type="dxa"/>
            <w:tcBorders>
              <w:top w:val="single" w:color="FFFFFF" w:sz="6" w:space="0"/>
              <w:left w:val="single" w:color="FFFFFF" w:sz="6" w:space="0"/>
              <w:bottom w:val="single" w:color="FFFFFF" w:sz="6" w:space="0"/>
              <w:right w:val="single" w:color="FFFFFF" w:sz="4"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16.20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399" w:hRule="atLeast"/>
          <w:jc w:val="center"/>
        </w:trPr>
        <w:tc>
          <w:tcPr>
            <w:tcW w:w="2250" w:type="dxa"/>
            <w:tcBorders>
              <w:top w:val="single" w:color="FFFFFF" w:sz="6" w:space="0"/>
              <w:left w:val="single" w:color="FFFFFF" w:sz="4"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color w:val="auto"/>
                <w:sz w:val="28"/>
                <w:szCs w:val="28"/>
                <w:highlight w:val="none"/>
              </w:rPr>
            </w:pPr>
            <w:r>
              <w:rPr>
                <w:rFonts w:hint="eastAsia" w:eastAsia="仿宋_GB2312"/>
                <w:b/>
                <w:color w:val="auto"/>
                <w:sz w:val="28"/>
                <w:szCs w:val="28"/>
                <w:highlight w:val="none"/>
              </w:rPr>
              <w:t>项目产出</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40.00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34.20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450" w:hRule="atLeast"/>
          <w:jc w:val="center"/>
        </w:trPr>
        <w:tc>
          <w:tcPr>
            <w:tcW w:w="2250" w:type="dxa"/>
            <w:tcBorders>
              <w:top w:val="single" w:color="FFFFFF" w:sz="6" w:space="0"/>
              <w:left w:val="single" w:color="FFFFFF" w:sz="4"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color w:val="auto"/>
                <w:sz w:val="28"/>
                <w:szCs w:val="28"/>
                <w:highlight w:val="none"/>
              </w:rPr>
            </w:pPr>
            <w:r>
              <w:rPr>
                <w:rFonts w:hint="eastAsia" w:eastAsia="仿宋_GB2312"/>
                <w:b/>
                <w:color w:val="auto"/>
                <w:sz w:val="28"/>
                <w:szCs w:val="28"/>
                <w:highlight w:val="none"/>
              </w:rPr>
              <w:t>项目效益</w:t>
            </w:r>
          </w:p>
        </w:tc>
        <w:tc>
          <w:tcPr>
            <w:tcW w:w="3240" w:type="dxa"/>
            <w:tcBorders>
              <w:top w:val="single" w:color="FFFFFF" w:sz="6"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30.00</w:t>
            </w:r>
          </w:p>
        </w:tc>
        <w:tc>
          <w:tcPr>
            <w:tcW w:w="2995" w:type="dxa"/>
            <w:tcBorders>
              <w:top w:val="single" w:color="FFFFFF" w:sz="6" w:space="0"/>
              <w:left w:val="single" w:color="FFFFFF" w:sz="4" w:space="0"/>
              <w:bottom w:val="single" w:color="FFFFFF" w:sz="4" w:space="0"/>
              <w:right w:val="single" w:color="FFFFFF" w:sz="4"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23.40</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521" w:hRule="atLeast"/>
          <w:jc w:val="center"/>
        </w:trPr>
        <w:tc>
          <w:tcPr>
            <w:tcW w:w="2250" w:type="dxa"/>
            <w:tcBorders>
              <w:top w:val="single" w:color="FFFFFF" w:sz="4" w:space="0"/>
              <w:left w:val="single" w:color="FFFFFF" w:sz="4"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color w:val="auto"/>
                <w:sz w:val="28"/>
                <w:szCs w:val="28"/>
                <w:highlight w:val="none"/>
              </w:rPr>
            </w:pPr>
            <w:r>
              <w:rPr>
                <w:rFonts w:eastAsia="仿宋_GB2312"/>
                <w:b/>
                <w:color w:val="auto"/>
                <w:sz w:val="28"/>
                <w:szCs w:val="28"/>
                <w:highlight w:val="none"/>
              </w:rPr>
              <w:t>综合得分</w:t>
            </w:r>
          </w:p>
        </w:tc>
        <w:tc>
          <w:tcPr>
            <w:tcW w:w="3240" w:type="dxa"/>
            <w:tcBorders>
              <w:top w:val="single" w:color="FFFFFF" w:sz="4"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100.00</w:t>
            </w:r>
          </w:p>
        </w:tc>
        <w:tc>
          <w:tcPr>
            <w:tcW w:w="2995" w:type="dxa"/>
            <w:tcBorders>
              <w:top w:val="single" w:color="FFFFFF" w:sz="4" w:space="0"/>
              <w:left w:val="single" w:color="FFFFFF" w:sz="4" w:space="0"/>
              <w:bottom w:val="single" w:color="FFFFFF" w:sz="4" w:space="0"/>
              <w:right w:val="single" w:color="FFFFFF" w:sz="4" w:space="0"/>
            </w:tcBorders>
            <w:shd w:val="clear" w:color="auto" w:fill="C0C0C0"/>
            <w:vAlign w:val="center"/>
          </w:tcPr>
          <w:p>
            <w:pPr>
              <w:adjustRightInd w:val="0"/>
              <w:snapToGrid w:val="0"/>
              <w:jc w:val="center"/>
              <w:rPr>
                <w:rFonts w:ascii="仿宋_GB2312" w:eastAsia="仿宋_GB2312"/>
                <w:b/>
                <w:color w:val="auto"/>
                <w:sz w:val="28"/>
                <w:szCs w:val="28"/>
                <w:highlight w:val="none"/>
              </w:rPr>
            </w:pPr>
            <w:r>
              <w:rPr>
                <w:rFonts w:hint="eastAsia" w:ascii="仿宋_GB2312" w:eastAsia="仿宋_GB2312"/>
                <w:b/>
                <w:color w:val="auto"/>
                <w:sz w:val="28"/>
                <w:szCs w:val="28"/>
                <w:highlight w:val="none"/>
              </w:rPr>
              <w:t>81.84</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C0C0C0"/>
          <w:tblCellMar>
            <w:top w:w="0" w:type="dxa"/>
            <w:left w:w="57" w:type="dxa"/>
            <w:bottom w:w="0" w:type="dxa"/>
            <w:right w:w="57" w:type="dxa"/>
          </w:tblCellMar>
        </w:tblPrEx>
        <w:trPr>
          <w:cantSplit/>
          <w:trHeight w:val="415" w:hRule="atLeast"/>
          <w:jc w:val="center"/>
        </w:trPr>
        <w:tc>
          <w:tcPr>
            <w:tcW w:w="2250" w:type="dxa"/>
            <w:tcBorders>
              <w:top w:val="single" w:color="FFFFFF" w:sz="4" w:space="0"/>
              <w:left w:val="single" w:color="FFFFFF" w:sz="4" w:space="0"/>
              <w:bottom w:val="single" w:color="FFFFFF" w:sz="4" w:space="0"/>
              <w:right w:val="single" w:color="FFFFFF" w:sz="6" w:space="0"/>
            </w:tcBorders>
            <w:shd w:val="clear" w:color="auto" w:fill="C0C0C0"/>
            <w:vAlign w:val="center"/>
          </w:tcPr>
          <w:p>
            <w:pPr>
              <w:adjustRightInd w:val="0"/>
              <w:snapToGrid w:val="0"/>
              <w:spacing w:before="120" w:after="60" w:line="300" w:lineRule="auto"/>
              <w:jc w:val="center"/>
              <w:rPr>
                <w:rFonts w:eastAsia="仿宋_GB2312"/>
                <w:b/>
                <w:color w:val="auto"/>
                <w:sz w:val="28"/>
                <w:szCs w:val="28"/>
                <w:highlight w:val="none"/>
              </w:rPr>
            </w:pPr>
            <w:r>
              <w:rPr>
                <w:rFonts w:eastAsia="仿宋_GB2312"/>
                <w:b/>
                <w:color w:val="auto"/>
                <w:sz w:val="28"/>
                <w:szCs w:val="28"/>
                <w:highlight w:val="none"/>
              </w:rPr>
              <w:t>绩效评定级别</w:t>
            </w:r>
          </w:p>
        </w:tc>
        <w:tc>
          <w:tcPr>
            <w:tcW w:w="6235" w:type="dxa"/>
            <w:gridSpan w:val="2"/>
            <w:tcBorders>
              <w:top w:val="single" w:color="FFFFFF" w:sz="4" w:space="0"/>
              <w:left w:val="single" w:color="FFFFFF" w:sz="6" w:space="0"/>
              <w:bottom w:val="single" w:color="FFFFFF" w:sz="4" w:space="0"/>
              <w:right w:val="single" w:color="FFFFFF" w:sz="4" w:space="0"/>
            </w:tcBorders>
            <w:shd w:val="clear" w:color="auto" w:fill="C0C0C0"/>
            <w:vAlign w:val="center"/>
          </w:tcPr>
          <w:p>
            <w:pPr>
              <w:adjustRightInd w:val="0"/>
              <w:snapToGrid w:val="0"/>
              <w:jc w:val="center"/>
              <w:rPr>
                <w:rFonts w:eastAsia="仿宋_GB2312"/>
                <w:b/>
                <w:color w:val="auto"/>
                <w:sz w:val="28"/>
                <w:szCs w:val="28"/>
                <w:highlight w:val="none"/>
              </w:rPr>
            </w:pPr>
            <w:r>
              <w:rPr>
                <w:rFonts w:hint="eastAsia" w:eastAsia="仿宋_GB2312"/>
                <w:b/>
                <w:color w:val="auto"/>
                <w:sz w:val="28"/>
                <w:szCs w:val="28"/>
                <w:highlight w:val="none"/>
              </w:rPr>
              <w:t>良</w:t>
            </w:r>
          </w:p>
        </w:tc>
      </w:tr>
    </w:tbl>
    <w:p>
      <w:pPr>
        <w:jc w:val="center"/>
        <w:rPr>
          <w:rFonts w:ascii="黑体" w:hAnsi="黑体" w:eastAsia="黑体" w:cs="黑体"/>
          <w:b/>
          <w:bCs/>
          <w:color w:val="auto"/>
          <w:highlight w:val="none"/>
        </w:rPr>
      </w:pPr>
      <w:bookmarkStart w:id="26" w:name="_Toc12199"/>
      <w:bookmarkStart w:id="27" w:name="_Toc16343"/>
      <w:r>
        <w:rPr>
          <w:rFonts w:hint="eastAsia" w:ascii="黑体" w:hAnsi="黑体" w:eastAsia="黑体" w:cs="黑体"/>
          <w:bCs/>
          <w:color w:val="auto"/>
          <w:szCs w:val="32"/>
          <w:highlight w:val="none"/>
        </w:rPr>
        <w:t>社会化管控项目绩效评价结论</w:t>
      </w:r>
    </w:p>
    <w:p>
      <w:pPr>
        <w:pStyle w:val="2"/>
        <w:spacing w:before="0" w:after="0" w:line="560" w:lineRule="exact"/>
        <w:ind w:firstLine="640" w:firstLineChars="200"/>
        <w:rPr>
          <w:rFonts w:ascii="楷体_GB2312" w:hAnsi="楷体_GB2312" w:eastAsia="楷体_GB2312" w:cs="楷体_GB2312"/>
          <w:b w:val="0"/>
          <w:color w:val="auto"/>
          <w:kern w:val="44"/>
          <w:highlight w:val="none"/>
        </w:rPr>
      </w:pPr>
      <w:bookmarkStart w:id="28" w:name="_Toc3187"/>
      <w:bookmarkStart w:id="29" w:name="_Toc16175"/>
      <w:bookmarkStart w:id="30" w:name="_Toc7714"/>
      <w:bookmarkStart w:id="31" w:name="_Toc8000"/>
      <w:r>
        <w:rPr>
          <w:rFonts w:hint="eastAsia" w:ascii="楷体_GB2312" w:hAnsi="楷体_GB2312" w:eastAsia="楷体_GB2312" w:cs="楷体_GB2312"/>
          <w:b w:val="0"/>
          <w:color w:val="auto"/>
          <w:kern w:val="44"/>
          <w:highlight w:val="none"/>
        </w:rPr>
        <w:t>（二）评价结论</w:t>
      </w:r>
      <w:bookmarkEnd w:id="26"/>
      <w:bookmarkEnd w:id="27"/>
      <w:bookmarkEnd w:id="28"/>
      <w:bookmarkEnd w:id="29"/>
      <w:bookmarkEnd w:id="30"/>
      <w:bookmarkEnd w:id="31"/>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1.决策指标分析。该指标分值10分，评价得分8.04分。</w:t>
      </w:r>
    </w:p>
    <w:p>
      <w:pPr>
        <w:spacing w:line="560" w:lineRule="exact"/>
        <w:ind w:firstLine="560" w:firstLineChars="200"/>
        <w:rPr>
          <w:rFonts w:hint="eastAsia"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2.过程指标分析。该指标分值20分，评价得分16.20分。</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bCs/>
          <w:color w:val="auto"/>
          <w:kern w:val="44"/>
          <w:sz w:val="28"/>
          <w:szCs w:val="28"/>
          <w:highlight w:val="none"/>
        </w:rPr>
        <w:t>3.产出指标分析。该指标分值40分，评价得分34.20分。</w:t>
      </w:r>
    </w:p>
    <w:p>
      <w:pPr>
        <w:spacing w:line="520" w:lineRule="exact"/>
        <w:ind w:firstLine="560" w:firstLineChars="200"/>
        <w:rPr>
          <w:rFonts w:hint="eastAsia" w:ascii="仿宋_GB2312" w:hAnsi="仿宋_GB2312" w:eastAsia="仿宋_GB2312" w:cs="仿宋_GB2312"/>
          <w:bCs/>
          <w:color w:val="auto"/>
          <w:kern w:val="0"/>
          <w:sz w:val="28"/>
          <w:szCs w:val="28"/>
          <w:highlight w:val="none"/>
        </w:rPr>
      </w:pPr>
      <w:r>
        <w:rPr>
          <w:rFonts w:hint="eastAsia" w:ascii="仿宋_GB2312" w:eastAsia="仿宋_GB2312"/>
          <w:bCs/>
          <w:color w:val="auto"/>
          <w:kern w:val="44"/>
          <w:sz w:val="28"/>
          <w:szCs w:val="28"/>
          <w:highlight w:val="none"/>
        </w:rPr>
        <w:t>4.效益指标分析。该指标分值30分，评价得分23.40分。</w:t>
      </w:r>
    </w:p>
    <w:p>
      <w:pPr>
        <w:spacing w:line="520" w:lineRule="exact"/>
        <w:ind w:firstLine="560" w:firstLineChars="200"/>
        <w:rPr>
          <w:rFonts w:hint="eastAsia" w:ascii="黑体" w:hAnsi="黑体" w:eastAsia="黑体" w:cs="黑体"/>
          <w:bCs/>
          <w:color w:val="auto"/>
          <w:kern w:val="0"/>
          <w:sz w:val="28"/>
          <w:szCs w:val="28"/>
          <w:highlight w:val="none"/>
        </w:rPr>
      </w:pPr>
      <w:r>
        <w:rPr>
          <w:rFonts w:hint="eastAsia" w:ascii="黑体" w:hAnsi="黑体" w:eastAsia="黑体" w:cs="黑体"/>
          <w:bCs/>
          <w:color w:val="auto"/>
          <w:kern w:val="0"/>
          <w:sz w:val="28"/>
          <w:szCs w:val="28"/>
          <w:highlight w:val="none"/>
        </w:rPr>
        <w:t>四、绩效评价指标分析</w:t>
      </w:r>
    </w:p>
    <w:p>
      <w:pPr>
        <w:pStyle w:val="2"/>
        <w:spacing w:before="0" w:after="0" w:line="560" w:lineRule="exact"/>
        <w:ind w:firstLine="640" w:firstLineChars="200"/>
        <w:rPr>
          <w:rFonts w:ascii="楷体_GB2312" w:hAnsi="楷体_GB2312" w:eastAsia="楷体_GB2312" w:cs="楷体_GB2312"/>
          <w:b w:val="0"/>
          <w:bCs w:val="0"/>
          <w:color w:val="auto"/>
          <w:kern w:val="44"/>
          <w:highlight w:val="none"/>
        </w:rPr>
      </w:pPr>
      <w:bookmarkStart w:id="32" w:name="_Toc5416"/>
      <w:bookmarkStart w:id="33" w:name="_Toc9077"/>
      <w:bookmarkStart w:id="34" w:name="_Toc22802"/>
      <w:bookmarkStart w:id="35" w:name="_Toc6429"/>
      <w:r>
        <w:rPr>
          <w:rFonts w:hint="eastAsia" w:ascii="楷体_GB2312" w:hAnsi="楷体_GB2312" w:eastAsia="楷体_GB2312" w:cs="楷体_GB2312"/>
          <w:b w:val="0"/>
          <w:color w:val="auto"/>
          <w:kern w:val="44"/>
          <w:highlight w:val="none"/>
        </w:rPr>
        <w:t>（一）项目决策情况</w:t>
      </w:r>
      <w:bookmarkEnd w:id="32"/>
      <w:bookmarkEnd w:id="33"/>
      <w:bookmarkEnd w:id="34"/>
      <w:bookmarkEnd w:id="35"/>
    </w:p>
    <w:p>
      <w:pPr>
        <w:spacing w:line="560" w:lineRule="exact"/>
        <w:ind w:firstLine="560" w:firstLineChars="200"/>
        <w:rPr>
          <w:rFonts w:ascii="仿宋_GB2312" w:hAnsi="仿宋_GB2312" w:eastAsia="仿宋_GB2312" w:cs="仿宋_GB2312"/>
          <w:bCs/>
          <w:color w:val="auto"/>
          <w:kern w:val="44"/>
          <w:sz w:val="28"/>
          <w:szCs w:val="28"/>
          <w:highlight w:val="none"/>
        </w:rPr>
      </w:pPr>
      <w:r>
        <w:rPr>
          <w:rFonts w:hint="eastAsia" w:ascii="仿宋_GB2312" w:hAnsi="仿宋_GB2312" w:eastAsia="仿宋_GB2312" w:cs="仿宋_GB2312"/>
          <w:bCs/>
          <w:color w:val="auto"/>
          <w:kern w:val="44"/>
          <w:sz w:val="28"/>
          <w:szCs w:val="28"/>
          <w:highlight w:val="none"/>
        </w:rPr>
        <w:t>1.项目立项情况</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hAnsi="仿宋_GB2312" w:eastAsia="仿宋_GB2312" w:cs="仿宋_GB2312"/>
          <w:bCs/>
          <w:color w:val="auto"/>
          <w:kern w:val="44"/>
          <w:sz w:val="28"/>
          <w:szCs w:val="28"/>
          <w:highlight w:val="none"/>
        </w:rPr>
        <w:t>（1）立项依据充分性</w:t>
      </w:r>
    </w:p>
    <w:p>
      <w:pPr>
        <w:spacing w:line="560" w:lineRule="exact"/>
        <w:ind w:firstLine="560" w:firstLineChars="200"/>
        <w:rPr>
          <w:color w:val="auto"/>
          <w:sz w:val="28"/>
          <w:szCs w:val="28"/>
          <w:highlight w:val="none"/>
        </w:rPr>
      </w:pPr>
      <w:r>
        <w:rPr>
          <w:rFonts w:hint="eastAsia" w:ascii="仿宋_GB2312" w:eastAsia="仿宋_GB2312"/>
          <w:bCs/>
          <w:color w:val="auto"/>
          <w:kern w:val="44"/>
          <w:sz w:val="28"/>
          <w:szCs w:val="28"/>
          <w:highlight w:val="none"/>
        </w:rPr>
        <w:t>通过对采育镇农耕地违法建设、抢载抢种等情况进行巡查工作，有助于规范化村庄建设、营造良好的人居环境，项目属于公共财政支持范围，具有公共性。</w:t>
      </w:r>
    </w:p>
    <w:p>
      <w:pPr>
        <w:spacing w:line="560" w:lineRule="exact"/>
        <w:ind w:firstLine="560" w:firstLineChars="200"/>
        <w:rPr>
          <w:rFonts w:ascii="仿宋_GB2312" w:hAnsi="仿宋_GB2312" w:eastAsia="仿宋_GB2312" w:cs="仿宋_GB2312"/>
          <w:bCs/>
          <w:color w:val="auto"/>
          <w:kern w:val="44"/>
          <w:sz w:val="28"/>
          <w:szCs w:val="28"/>
          <w:highlight w:val="none"/>
        </w:rPr>
      </w:pPr>
      <w:r>
        <w:rPr>
          <w:rFonts w:hint="eastAsia" w:ascii="仿宋_GB2312" w:hAnsi="仿宋_GB2312" w:eastAsia="仿宋_GB2312" w:cs="仿宋_GB2312"/>
          <w:bCs/>
          <w:color w:val="auto"/>
          <w:kern w:val="44"/>
          <w:sz w:val="28"/>
          <w:szCs w:val="28"/>
          <w:highlight w:val="none"/>
        </w:rPr>
        <w:t>（2）立项程序规范性</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该项目为延续性项目，经采育镇政府第八期、第三十五期党委会研究审议，确定与北京京铁卫士保安服务有限公司、北京老兵安卫保安服务有限公司签订服务合同。</w:t>
      </w:r>
    </w:p>
    <w:p>
      <w:pPr>
        <w:spacing w:line="560" w:lineRule="exact"/>
        <w:ind w:firstLine="560" w:firstLineChars="200"/>
        <w:rPr>
          <w:rFonts w:ascii="仿宋_GB2312" w:eastAsia="仿宋_GB2312"/>
          <w:color w:val="auto"/>
          <w:sz w:val="28"/>
          <w:szCs w:val="28"/>
          <w:highlight w:val="none"/>
        </w:rPr>
      </w:pPr>
      <w:r>
        <w:rPr>
          <w:rFonts w:hint="eastAsia" w:eastAsia="仿宋_GB2312"/>
          <w:bCs/>
          <w:color w:val="auto"/>
          <w:kern w:val="44"/>
          <w:sz w:val="28"/>
          <w:szCs w:val="28"/>
          <w:highlight w:val="none"/>
        </w:rPr>
        <w:t>评价认为，该</w:t>
      </w:r>
      <w:r>
        <w:rPr>
          <w:rFonts w:hint="eastAsia" w:ascii="仿宋_GB2312" w:eastAsia="仿宋_GB2312"/>
          <w:bCs/>
          <w:color w:val="auto"/>
          <w:kern w:val="44"/>
          <w:sz w:val="28"/>
          <w:szCs w:val="28"/>
          <w:highlight w:val="none"/>
        </w:rPr>
        <w:t>项目属于公共财政支持范围，具有公共性，项目主要实施内容符合其职能</w:t>
      </w:r>
      <w:r>
        <w:rPr>
          <w:rFonts w:hint="eastAsia" w:eastAsia="仿宋_GB2312"/>
          <w:bCs/>
          <w:color w:val="auto"/>
          <w:kern w:val="44"/>
          <w:sz w:val="28"/>
          <w:szCs w:val="28"/>
          <w:highlight w:val="none"/>
        </w:rPr>
        <w:t>，但项目前期立项规范性不足，项目前期论证不够充分</w:t>
      </w:r>
      <w:r>
        <w:rPr>
          <w:rFonts w:hint="eastAsia" w:ascii="仿宋_GB2312" w:eastAsia="仿宋_GB2312"/>
          <w:color w:val="auto"/>
          <w:sz w:val="28"/>
          <w:szCs w:val="28"/>
          <w:highlight w:val="none"/>
        </w:rPr>
        <w:t>。</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2.绩效目标情况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（1）绩效目标合理性</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该项目绩效目标设置较为完整，各项指标围绕项目主要内容进行设置，从目标基本可了解项目整体要求及产出。</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（2）绩效指标明确性</w:t>
      </w:r>
    </w:p>
    <w:p>
      <w:pPr>
        <w:spacing w:line="560" w:lineRule="exact"/>
        <w:ind w:firstLine="560" w:firstLineChars="200"/>
        <w:rPr>
          <w:rFonts w:ascii="仿宋_GB2312" w:eastAsia="仿宋_GB2312"/>
          <w:bCs/>
          <w:color w:val="auto"/>
          <w:kern w:val="44"/>
          <w:sz w:val="28"/>
          <w:szCs w:val="28"/>
          <w:highlight w:val="none"/>
        </w:rPr>
      </w:pPr>
      <w:r>
        <w:rPr>
          <w:rFonts w:hint="eastAsia" w:ascii="仿宋_GB2312" w:eastAsia="仿宋_GB2312"/>
          <w:color w:val="auto"/>
          <w:sz w:val="28"/>
          <w:szCs w:val="28"/>
          <w:highlight w:val="none"/>
        </w:rPr>
        <w:t>该项目绩效指标设置较为完整，但部分绩效指标不够明确、细化。</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评价认为，该项目绩效目标较为完整，各项指标围绕项目主要内容进行设置，但整体绩效目标合理性有待提高，部分绩效指标不够明确、细化。</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3.资金投入情况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（1）预算编制科学性</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该项目预算费用包括专业管理人员费用、管控巡查车辆费用等，预算内容与项目内容较为匹配。但项目预算编制科学性存在不足，一是项目预算论证不充分；二是项目预算编制依据不充分。</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（2）资金分配合理性</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该项目根据项目年度目标内容分配资金，并根据项目实际情况签订合同，预算内容与支出内容较为匹配，但项目存在决策资金超过招投标预算额度的情况。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评价认为，该项目预算内容与项目内容较为匹配，但项目预算论证不充分，项目预算编制依据不充分，资金分配合理性存在不足。</w:t>
      </w:r>
    </w:p>
    <w:p>
      <w:pPr>
        <w:pStyle w:val="2"/>
        <w:spacing w:before="0" w:after="0" w:line="560" w:lineRule="exact"/>
        <w:ind w:firstLine="640" w:firstLineChars="200"/>
        <w:rPr>
          <w:rFonts w:ascii="楷体_GB2312" w:hAnsi="楷体_GB2312" w:eastAsia="楷体_GB2312" w:cs="楷体_GB2312"/>
          <w:b w:val="0"/>
          <w:color w:val="auto"/>
          <w:kern w:val="44"/>
          <w:highlight w:val="none"/>
        </w:rPr>
      </w:pPr>
      <w:bookmarkStart w:id="36" w:name="_Toc10550"/>
      <w:bookmarkStart w:id="37" w:name="_Toc19861"/>
      <w:bookmarkStart w:id="38" w:name="_Toc7542"/>
      <w:bookmarkStart w:id="39" w:name="_Toc1962"/>
      <w:r>
        <w:rPr>
          <w:rFonts w:hint="eastAsia" w:ascii="楷体_GB2312" w:hAnsi="楷体_GB2312" w:eastAsia="楷体_GB2312" w:cs="楷体_GB2312"/>
          <w:b w:val="0"/>
          <w:color w:val="auto"/>
          <w:kern w:val="44"/>
          <w:highlight w:val="none"/>
        </w:rPr>
        <w:t>（二）项目过程情况</w:t>
      </w:r>
      <w:bookmarkEnd w:id="36"/>
      <w:bookmarkEnd w:id="37"/>
      <w:bookmarkEnd w:id="38"/>
      <w:bookmarkEnd w:id="39"/>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1.资金管理情况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评价认为，该项目资金使用较为合规，但未制定相应的成本控制措施。</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2.组织实施情况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（1）管理制度健全性</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采育镇政府根据单位内部制度和相关规定，结合项目实际内容，不定期对日常工作进行监督和检查，对发现的问题进行及时沟通解决。但项目管理制度健全性存在不足，未制定项目实施方案。</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（2）制度执行有效性</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评价认为，该项目组织机构较为健全，项目基本按照相关管理制度执行，但管理制度健全性不足，未制定项目实施方案，项目过程资料不完整，合同签订内容不明确，项目合同期限的合理性不足。</w:t>
      </w:r>
    </w:p>
    <w:p>
      <w:pPr>
        <w:pStyle w:val="2"/>
        <w:spacing w:before="0" w:after="0" w:line="560" w:lineRule="exact"/>
        <w:ind w:firstLine="640" w:firstLineChars="200"/>
        <w:rPr>
          <w:rFonts w:ascii="楷体_GB2312" w:hAnsi="楷体_GB2312" w:eastAsia="楷体_GB2312" w:cs="楷体_GB2312"/>
          <w:b w:val="0"/>
          <w:color w:val="auto"/>
          <w:kern w:val="44"/>
          <w:highlight w:val="none"/>
        </w:rPr>
      </w:pPr>
      <w:bookmarkStart w:id="40" w:name="_Toc15102"/>
      <w:bookmarkStart w:id="41" w:name="_Toc20905"/>
      <w:bookmarkStart w:id="42" w:name="_Toc696"/>
      <w:bookmarkStart w:id="43" w:name="_Toc626"/>
      <w:r>
        <w:rPr>
          <w:rFonts w:hint="eastAsia" w:ascii="楷体_GB2312" w:hAnsi="楷体_GB2312" w:eastAsia="楷体_GB2312" w:cs="楷体_GB2312"/>
          <w:b w:val="0"/>
          <w:color w:val="auto"/>
          <w:kern w:val="44"/>
          <w:highlight w:val="none"/>
        </w:rPr>
        <w:t>（三）项目产出情况</w:t>
      </w:r>
      <w:bookmarkEnd w:id="40"/>
      <w:bookmarkEnd w:id="41"/>
      <w:bookmarkEnd w:id="42"/>
      <w:bookmarkEnd w:id="43"/>
    </w:p>
    <w:p>
      <w:pPr>
        <w:spacing w:line="560" w:lineRule="exact"/>
        <w:ind w:firstLine="560" w:firstLineChars="200"/>
        <w:rPr>
          <w:rFonts w:ascii="仿宋_GB2312" w:hAnsi="仿宋_GB2312" w:eastAsia="仿宋_GB2312" w:cs="仿宋_GB2312"/>
          <w:bCs/>
          <w:color w:val="auto"/>
          <w:kern w:val="44"/>
          <w:sz w:val="28"/>
          <w:szCs w:val="28"/>
          <w:highlight w:val="none"/>
        </w:rPr>
      </w:pPr>
      <w:r>
        <w:rPr>
          <w:rFonts w:hint="eastAsia" w:ascii="仿宋_GB2312" w:hAnsi="仿宋_GB2312" w:eastAsia="仿宋_GB2312" w:cs="仿宋_GB2312"/>
          <w:bCs/>
          <w:color w:val="auto"/>
          <w:kern w:val="44"/>
          <w:sz w:val="28"/>
          <w:szCs w:val="28"/>
          <w:highlight w:val="none"/>
        </w:rPr>
        <w:t>1.产出数量指标完成情况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依据项目巡查记录、巡查台账、合同，数量指标完成情况达到预期目标。</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2.产出质量指标完成情况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依据巡查记录、巡查台账，基本达到预期目标，但缺少验收和考核总结信息。</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3.产出时效指标完成情况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该依据提供的项目明细账、付款凭证、合同等，项目按进度推进。</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4.产出成本指标完成情况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项目按照合同进行支付，预算执行率较低。</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评价认为，该项目数量指标、质量指标、时效指标完成情况基本符合目标设定，但项目预算执行率较低。</w:t>
      </w:r>
    </w:p>
    <w:p>
      <w:pPr>
        <w:pStyle w:val="2"/>
        <w:spacing w:before="0" w:after="0" w:line="560" w:lineRule="exact"/>
        <w:ind w:firstLine="640" w:firstLineChars="200"/>
        <w:rPr>
          <w:rFonts w:ascii="楷体_GB2312" w:hAnsi="楷体_GB2312" w:eastAsia="楷体_GB2312" w:cs="楷体_GB2312"/>
          <w:b w:val="0"/>
          <w:color w:val="auto"/>
          <w:kern w:val="44"/>
          <w:highlight w:val="none"/>
        </w:rPr>
      </w:pPr>
      <w:bookmarkStart w:id="44" w:name="_Toc21243"/>
      <w:bookmarkStart w:id="45" w:name="_Toc32074"/>
      <w:bookmarkStart w:id="46" w:name="_Toc8635"/>
      <w:bookmarkStart w:id="47" w:name="_Toc4505"/>
      <w:r>
        <w:rPr>
          <w:rFonts w:hint="eastAsia" w:ascii="楷体_GB2312" w:hAnsi="楷体_GB2312" w:eastAsia="楷体_GB2312" w:cs="楷体_GB2312"/>
          <w:b w:val="0"/>
          <w:color w:val="auto"/>
          <w:kern w:val="44"/>
          <w:highlight w:val="none"/>
        </w:rPr>
        <w:t>（四）项目效益情况</w:t>
      </w:r>
      <w:bookmarkEnd w:id="44"/>
      <w:bookmarkEnd w:id="45"/>
      <w:bookmarkEnd w:id="46"/>
      <w:bookmarkEnd w:id="47"/>
    </w:p>
    <w:p>
      <w:pPr>
        <w:spacing w:line="560" w:lineRule="exact"/>
        <w:ind w:firstLine="560" w:firstLineChars="200"/>
        <w:rPr>
          <w:rFonts w:ascii="仿宋_GB2312" w:hAnsi="仿宋_GB2312" w:eastAsia="仿宋_GB2312" w:cs="仿宋_GB2312"/>
          <w:bCs/>
          <w:color w:val="auto"/>
          <w:kern w:val="44"/>
          <w:sz w:val="28"/>
          <w:szCs w:val="28"/>
          <w:highlight w:val="none"/>
        </w:rPr>
      </w:pPr>
      <w:r>
        <w:rPr>
          <w:rFonts w:hint="eastAsia" w:ascii="仿宋_GB2312" w:hAnsi="仿宋_GB2312" w:eastAsia="仿宋_GB2312" w:cs="仿宋_GB2312"/>
          <w:bCs/>
          <w:color w:val="auto"/>
          <w:kern w:val="44"/>
          <w:sz w:val="28"/>
          <w:szCs w:val="28"/>
          <w:highlight w:val="none"/>
        </w:rPr>
        <w:t>1.实施效益指标完成情况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通过该项目实施，可使全镇集体土地违法建设、私搭乱建、抢栽抢种等情况得到有效控制</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项目实施效益较好。但项目绩效成果呈现不充分，未针对项目进行总结评价，缺少相关数据支撑，对于绩效成果的表述不够充分。</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2.服务对象满意度指标完成情况</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满意度调查不够全面，仅对村委会进行了满意度调查，调查对象未包含村民，无法呈现受益群体村民对巡查工作的满意度情况。</w:t>
      </w:r>
    </w:p>
    <w:p>
      <w:pPr>
        <w:spacing w:line="520" w:lineRule="exact"/>
        <w:ind w:firstLine="560" w:firstLineChars="200"/>
        <w:outlineLvl w:val="0"/>
        <w:rPr>
          <w:rFonts w:hint="eastAsia" w:ascii="仿宋_GB2312" w:hAnsi="仿宋_GB2312" w:eastAsia="仿宋_GB2312" w:cs="仿宋_GB2312"/>
          <w:color w:val="auto"/>
          <w:kern w:val="0"/>
          <w:sz w:val="28"/>
          <w:szCs w:val="28"/>
          <w:highlight w:val="none"/>
        </w:rPr>
      </w:pPr>
      <w:r>
        <w:rPr>
          <w:rFonts w:hint="eastAsia" w:ascii="仿宋_GB2312" w:eastAsia="仿宋_GB2312"/>
          <w:color w:val="auto"/>
          <w:sz w:val="28"/>
          <w:szCs w:val="28"/>
          <w:highlight w:val="none"/>
        </w:rPr>
        <w:t>评价认为，该项目的实施效益较好，但项目绩效成果呈现不充分，满意度调查不够全面。</w:t>
      </w:r>
    </w:p>
    <w:p>
      <w:pPr>
        <w:spacing w:line="520" w:lineRule="exact"/>
        <w:ind w:firstLine="560" w:firstLineChars="200"/>
        <w:rPr>
          <w:rFonts w:hint="eastAsia" w:ascii="黑体" w:hAnsi="黑体" w:eastAsia="黑体" w:cs="黑体"/>
          <w:bCs/>
          <w:color w:val="auto"/>
          <w:kern w:val="0"/>
          <w:sz w:val="28"/>
          <w:szCs w:val="28"/>
          <w:highlight w:val="none"/>
        </w:rPr>
      </w:pPr>
      <w:r>
        <w:rPr>
          <w:rFonts w:hint="eastAsia" w:ascii="黑体" w:hAnsi="黑体" w:eastAsia="黑体" w:cs="黑体"/>
          <w:bCs/>
          <w:color w:val="auto"/>
          <w:kern w:val="0"/>
          <w:sz w:val="28"/>
          <w:szCs w:val="28"/>
          <w:highlight w:val="none"/>
        </w:rPr>
        <w:t>五、主要经验及做法、存在的问题及原因分析</w:t>
      </w:r>
    </w:p>
    <w:p>
      <w:pPr>
        <w:pStyle w:val="2"/>
        <w:spacing w:before="0" w:after="0" w:line="560" w:lineRule="exact"/>
        <w:ind w:firstLine="640" w:firstLineChars="200"/>
        <w:rPr>
          <w:rFonts w:ascii="楷体_GB2312" w:hAnsi="楷体_GB2312" w:eastAsia="楷体_GB2312" w:cs="楷体_GB2312"/>
          <w:b w:val="0"/>
          <w:color w:val="auto"/>
          <w:kern w:val="44"/>
          <w:highlight w:val="none"/>
        </w:rPr>
      </w:pPr>
      <w:bookmarkStart w:id="48" w:name="_Toc18515"/>
      <w:bookmarkStart w:id="49" w:name="_Toc29142"/>
      <w:bookmarkStart w:id="50" w:name="_Toc19459"/>
      <w:bookmarkStart w:id="51" w:name="_Toc6814"/>
      <w:r>
        <w:rPr>
          <w:rFonts w:hint="eastAsia" w:ascii="楷体_GB2312" w:hAnsi="楷体_GB2312" w:eastAsia="楷体_GB2312" w:cs="楷体_GB2312"/>
          <w:b w:val="0"/>
          <w:color w:val="auto"/>
          <w:kern w:val="44"/>
          <w:highlight w:val="none"/>
        </w:rPr>
        <w:t>（一）主要经验及做法</w:t>
      </w:r>
      <w:bookmarkEnd w:id="48"/>
      <w:bookmarkEnd w:id="49"/>
      <w:bookmarkEnd w:id="50"/>
      <w:bookmarkEnd w:id="51"/>
    </w:p>
    <w:p>
      <w:pPr>
        <w:spacing w:line="560" w:lineRule="exact"/>
        <w:ind w:firstLine="560" w:firstLineChars="200"/>
        <w:rPr>
          <w:rFonts w:ascii="仿宋_GB2312" w:hAnsi="仿宋_GB2312" w:eastAsia="仿宋_GB2312" w:cs="仿宋_GB2312"/>
          <w:bCs/>
          <w:color w:val="auto"/>
          <w:kern w:val="44"/>
          <w:sz w:val="28"/>
          <w:szCs w:val="28"/>
          <w:highlight w:val="none"/>
        </w:rPr>
      </w:pPr>
      <w:r>
        <w:rPr>
          <w:rFonts w:hint="eastAsia" w:ascii="仿宋_GB2312" w:hAnsi="仿宋_GB2312" w:eastAsia="仿宋_GB2312" w:cs="仿宋_GB2312"/>
          <w:bCs/>
          <w:color w:val="auto"/>
          <w:kern w:val="44"/>
          <w:sz w:val="28"/>
          <w:szCs w:val="28"/>
          <w:highlight w:val="none"/>
        </w:rPr>
        <w:t>通过科室划分片区、设置巡查队负责人、记录台账、定位水印照片影像留痕等方式，对巡查队伍进行有效管理。后续将建立健全网格化、覆盖式巡查防控机制。分片巡查，责任到组，定岗、定点、定责，确保巡查无遗漏。同时，创新宣传方式多样化，加大宣传力度和覆盖面，增强全民参与拆违控违工作的意识，保证第一时间对违法建设的苗头进行劝解和制止，从源头上控制违法建筑的形成。</w:t>
      </w:r>
    </w:p>
    <w:p>
      <w:pPr>
        <w:pStyle w:val="2"/>
        <w:spacing w:before="0" w:after="0" w:line="560" w:lineRule="exact"/>
        <w:ind w:firstLine="640" w:firstLineChars="200"/>
        <w:rPr>
          <w:rFonts w:ascii="楷体_GB2312" w:hAnsi="楷体_GB2312" w:eastAsia="楷体_GB2312" w:cs="楷体_GB2312"/>
          <w:b w:val="0"/>
          <w:color w:val="auto"/>
          <w:kern w:val="44"/>
          <w:highlight w:val="none"/>
        </w:rPr>
      </w:pPr>
      <w:bookmarkStart w:id="52" w:name="_Toc17565"/>
      <w:bookmarkStart w:id="53" w:name="_Toc19799"/>
      <w:bookmarkStart w:id="54" w:name="_Toc22145"/>
      <w:bookmarkStart w:id="55" w:name="_Toc26327"/>
      <w:r>
        <w:rPr>
          <w:rFonts w:hint="eastAsia" w:ascii="楷体_GB2312" w:hAnsi="楷体_GB2312" w:eastAsia="楷体_GB2312" w:cs="楷体_GB2312"/>
          <w:b w:val="0"/>
          <w:color w:val="auto"/>
          <w:kern w:val="44"/>
          <w:highlight w:val="none"/>
        </w:rPr>
        <w:t>（二）存在的问题及原因分析</w:t>
      </w:r>
      <w:bookmarkEnd w:id="52"/>
      <w:bookmarkEnd w:id="53"/>
      <w:bookmarkEnd w:id="54"/>
      <w:bookmarkEnd w:id="55"/>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1.项目前期立项规范性不足，论证不够充分</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2</w:t>
      </w:r>
      <w:r>
        <w:rPr>
          <w:rFonts w:ascii="仿宋_GB2312" w:eastAsia="仿宋_GB2312"/>
          <w:color w:val="auto"/>
          <w:sz w:val="28"/>
          <w:szCs w:val="28"/>
          <w:highlight w:val="none"/>
        </w:rPr>
        <w:t>.</w:t>
      </w:r>
      <w:r>
        <w:rPr>
          <w:rFonts w:hint="eastAsia"/>
          <w:color w:val="auto"/>
          <w:sz w:val="28"/>
          <w:szCs w:val="28"/>
          <w:highlight w:val="none"/>
        </w:rPr>
        <w:t xml:space="preserve"> </w:t>
      </w:r>
      <w:r>
        <w:rPr>
          <w:rFonts w:hint="eastAsia" w:ascii="仿宋_GB2312" w:eastAsia="仿宋_GB2312"/>
          <w:color w:val="auto"/>
          <w:sz w:val="28"/>
          <w:szCs w:val="28"/>
          <w:highlight w:val="none"/>
        </w:rPr>
        <w:t>整体绩效目标合理性有待提高，部分绩效指标不够明确、细化</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3</w:t>
      </w:r>
      <w:r>
        <w:rPr>
          <w:rFonts w:ascii="仿宋_GB2312" w:eastAsia="仿宋_GB2312"/>
          <w:color w:val="auto"/>
          <w:sz w:val="28"/>
          <w:szCs w:val="28"/>
          <w:highlight w:val="none"/>
        </w:rPr>
        <w:t>.</w:t>
      </w:r>
      <w:r>
        <w:rPr>
          <w:rFonts w:hint="eastAsia" w:ascii="仿宋_GB2312" w:eastAsia="仿宋_GB2312"/>
          <w:color w:val="auto"/>
          <w:sz w:val="28"/>
          <w:szCs w:val="28"/>
          <w:highlight w:val="none"/>
        </w:rPr>
        <w:t>预算编制科学性不足，资金管理规范性不足</w:t>
      </w:r>
    </w:p>
    <w:p>
      <w:pPr>
        <w:spacing w:line="560" w:lineRule="exact"/>
        <w:ind w:firstLine="560" w:firstLineChars="200"/>
        <w:rPr>
          <w:rFonts w:ascii="仿宋_GB2312" w:eastAsia="仿宋_GB2312"/>
          <w:color w:val="auto"/>
          <w:sz w:val="28"/>
          <w:szCs w:val="28"/>
          <w:highlight w:val="none"/>
        </w:rPr>
      </w:pPr>
      <w:r>
        <w:rPr>
          <w:rFonts w:ascii="仿宋_GB2312" w:eastAsia="仿宋_GB2312"/>
          <w:color w:val="auto"/>
          <w:sz w:val="28"/>
          <w:szCs w:val="28"/>
          <w:highlight w:val="none"/>
        </w:rPr>
        <w:t>4.</w:t>
      </w:r>
      <w:r>
        <w:rPr>
          <w:rFonts w:hint="eastAsia" w:ascii="仿宋_GB2312" w:eastAsia="仿宋_GB2312"/>
          <w:color w:val="auto"/>
          <w:sz w:val="28"/>
          <w:szCs w:val="28"/>
          <w:highlight w:val="none"/>
        </w:rPr>
        <w:t>管理制度健全性存在不足，未制定项目实施方案</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5</w:t>
      </w:r>
      <w:r>
        <w:rPr>
          <w:rFonts w:ascii="仿宋_GB2312" w:eastAsia="仿宋_GB2312"/>
          <w:color w:val="auto"/>
          <w:sz w:val="28"/>
          <w:szCs w:val="28"/>
          <w:highlight w:val="none"/>
        </w:rPr>
        <w:t>.</w:t>
      </w:r>
      <w:r>
        <w:rPr>
          <w:rFonts w:hint="eastAsia" w:ascii="仿宋_GB2312" w:eastAsia="仿宋_GB2312"/>
          <w:color w:val="auto"/>
          <w:sz w:val="28"/>
          <w:szCs w:val="28"/>
          <w:highlight w:val="none"/>
        </w:rPr>
        <w:t>项目管理不够规范，合同管理不够规范</w:t>
      </w:r>
    </w:p>
    <w:p>
      <w:pPr>
        <w:spacing w:line="560" w:lineRule="exact"/>
        <w:ind w:firstLine="560" w:firstLineChars="200"/>
        <w:rPr>
          <w:rFonts w:ascii="仿宋_GB2312" w:eastAsia="仿宋_GB2312"/>
          <w:color w:val="auto"/>
          <w:sz w:val="28"/>
          <w:szCs w:val="28"/>
          <w:highlight w:val="none"/>
        </w:rPr>
      </w:pPr>
      <w:r>
        <w:rPr>
          <w:rFonts w:hint="eastAsia" w:ascii="仿宋_GB2312" w:eastAsia="仿宋_GB2312"/>
          <w:color w:val="auto"/>
          <w:sz w:val="28"/>
          <w:szCs w:val="28"/>
          <w:highlight w:val="none"/>
        </w:rPr>
        <w:t>6</w:t>
      </w:r>
      <w:r>
        <w:rPr>
          <w:rFonts w:ascii="仿宋_GB2312" w:eastAsia="仿宋_GB2312"/>
          <w:color w:val="auto"/>
          <w:sz w:val="28"/>
          <w:szCs w:val="28"/>
          <w:highlight w:val="none"/>
        </w:rPr>
        <w:t>.</w:t>
      </w:r>
      <w:r>
        <w:rPr>
          <w:rFonts w:hint="eastAsia" w:ascii="仿宋_GB2312" w:eastAsia="仿宋_GB2312"/>
          <w:color w:val="auto"/>
          <w:sz w:val="28"/>
          <w:szCs w:val="28"/>
          <w:highlight w:val="none"/>
        </w:rPr>
        <w:t xml:space="preserve"> 项目绩效成果呈现不充分，满意度调查不够全面</w:t>
      </w:r>
    </w:p>
    <w:p>
      <w:pPr>
        <w:spacing w:line="520" w:lineRule="exact"/>
        <w:ind w:firstLine="560" w:firstLineChars="200"/>
        <w:rPr>
          <w:rFonts w:hint="eastAsia" w:ascii="黑体" w:hAnsi="黑体" w:eastAsia="黑体" w:cs="黑体"/>
          <w:bCs/>
          <w:color w:val="auto"/>
          <w:kern w:val="0"/>
          <w:sz w:val="28"/>
          <w:szCs w:val="28"/>
          <w:highlight w:val="none"/>
        </w:rPr>
      </w:pPr>
      <w:r>
        <w:rPr>
          <w:rFonts w:hint="eastAsia" w:ascii="黑体" w:hAnsi="黑体" w:eastAsia="黑体" w:cs="黑体"/>
          <w:bCs/>
          <w:color w:val="auto"/>
          <w:kern w:val="0"/>
          <w:sz w:val="28"/>
          <w:szCs w:val="28"/>
          <w:highlight w:val="none"/>
        </w:rPr>
        <w:t>六、有关建议</w:t>
      </w:r>
    </w:p>
    <w:p>
      <w:pPr>
        <w:spacing w:line="560" w:lineRule="exact"/>
        <w:ind w:firstLine="640" w:firstLineChars="200"/>
        <w:rPr>
          <w:rFonts w:ascii="楷体_GB2312" w:hAnsi="楷体_GB2312" w:eastAsia="楷体_GB2312" w:cs="楷体_GB2312"/>
          <w:color w:val="auto"/>
          <w:kern w:val="44"/>
          <w:sz w:val="32"/>
          <w:szCs w:val="32"/>
          <w:highlight w:val="none"/>
        </w:rPr>
      </w:pPr>
      <w:bookmarkStart w:id="56" w:name="_Toc7610"/>
      <w:bookmarkStart w:id="57" w:name="_Toc13458"/>
      <w:bookmarkStart w:id="58" w:name="_Toc28269"/>
      <w:r>
        <w:rPr>
          <w:rFonts w:hint="eastAsia" w:ascii="楷体_GB2312" w:hAnsi="楷体_GB2312" w:eastAsia="楷体_GB2312" w:cs="楷体_GB2312"/>
          <w:color w:val="auto"/>
          <w:kern w:val="44"/>
          <w:sz w:val="32"/>
          <w:szCs w:val="32"/>
          <w:highlight w:val="none"/>
        </w:rPr>
        <w:t>（一）加强项目前期立项。</w:t>
      </w:r>
    </w:p>
    <w:p>
      <w:pPr>
        <w:spacing w:line="560" w:lineRule="exact"/>
        <w:ind w:firstLine="640" w:firstLineChars="200"/>
        <w:rPr>
          <w:rFonts w:ascii="楷体_GB2312" w:hAnsi="楷体_GB2312" w:eastAsia="楷体_GB2312" w:cs="楷体_GB2312"/>
          <w:color w:val="auto"/>
          <w:kern w:val="44"/>
          <w:sz w:val="32"/>
          <w:szCs w:val="32"/>
          <w:highlight w:val="none"/>
        </w:rPr>
      </w:pPr>
      <w:r>
        <w:rPr>
          <w:rFonts w:hint="eastAsia" w:ascii="楷体_GB2312" w:hAnsi="楷体_GB2312" w:eastAsia="楷体_GB2312" w:cs="楷体_GB2312"/>
          <w:color w:val="auto"/>
          <w:kern w:val="44"/>
          <w:sz w:val="32"/>
          <w:szCs w:val="32"/>
          <w:highlight w:val="none"/>
        </w:rPr>
        <w:t>（二）科学合理制定项目绩效目标。</w:t>
      </w:r>
      <w:bookmarkEnd w:id="56"/>
      <w:bookmarkEnd w:id="57"/>
      <w:bookmarkEnd w:id="58"/>
    </w:p>
    <w:p>
      <w:pPr>
        <w:spacing w:line="560" w:lineRule="exact"/>
        <w:ind w:firstLine="640" w:firstLineChars="200"/>
        <w:rPr>
          <w:rFonts w:ascii="楷体_GB2312" w:hAnsi="楷体_GB2312" w:eastAsia="楷体_GB2312" w:cs="楷体_GB2312"/>
          <w:color w:val="auto"/>
          <w:kern w:val="44"/>
          <w:sz w:val="32"/>
          <w:szCs w:val="32"/>
          <w:highlight w:val="none"/>
        </w:rPr>
      </w:pPr>
      <w:r>
        <w:rPr>
          <w:rFonts w:hint="eastAsia" w:ascii="楷体_GB2312" w:hAnsi="楷体_GB2312" w:eastAsia="楷体_GB2312" w:cs="楷体_GB2312"/>
          <w:color w:val="auto"/>
          <w:kern w:val="44"/>
          <w:sz w:val="32"/>
          <w:szCs w:val="32"/>
          <w:highlight w:val="none"/>
        </w:rPr>
        <w:t>（三）加强预算编制科学性及资金管理规范性。</w:t>
      </w:r>
    </w:p>
    <w:p>
      <w:pPr>
        <w:spacing w:line="560" w:lineRule="exact"/>
        <w:ind w:firstLine="640" w:firstLineChars="200"/>
        <w:rPr>
          <w:rFonts w:ascii="楷体_GB2312" w:hAnsi="楷体_GB2312" w:eastAsia="楷体_GB2312" w:cs="楷体_GB2312"/>
          <w:color w:val="auto"/>
          <w:kern w:val="44"/>
          <w:sz w:val="32"/>
          <w:szCs w:val="32"/>
          <w:highlight w:val="none"/>
        </w:rPr>
      </w:pPr>
      <w:bookmarkStart w:id="59" w:name="_Toc23300"/>
      <w:bookmarkStart w:id="60" w:name="_Toc17553"/>
      <w:bookmarkStart w:id="61" w:name="_Toc6630"/>
      <w:r>
        <w:rPr>
          <w:rFonts w:hint="eastAsia" w:ascii="楷体_GB2312" w:hAnsi="楷体_GB2312" w:eastAsia="楷体_GB2312" w:cs="楷体_GB2312"/>
          <w:color w:val="auto"/>
          <w:kern w:val="44"/>
          <w:sz w:val="32"/>
          <w:szCs w:val="32"/>
          <w:highlight w:val="none"/>
        </w:rPr>
        <w:t>（四）健全项目管理制度，制定项目实施方案。</w:t>
      </w:r>
      <w:bookmarkEnd w:id="59"/>
      <w:bookmarkEnd w:id="60"/>
      <w:bookmarkEnd w:id="61"/>
    </w:p>
    <w:p>
      <w:pPr>
        <w:spacing w:line="560" w:lineRule="exact"/>
        <w:ind w:firstLine="640" w:firstLineChars="200"/>
        <w:rPr>
          <w:rFonts w:ascii="楷体_GB2312" w:hAnsi="楷体_GB2312" w:eastAsia="楷体_GB2312" w:cs="楷体_GB2312"/>
          <w:color w:val="auto"/>
          <w:kern w:val="44"/>
          <w:sz w:val="32"/>
          <w:szCs w:val="32"/>
          <w:highlight w:val="none"/>
        </w:rPr>
      </w:pPr>
      <w:bookmarkStart w:id="62" w:name="_Toc7739"/>
      <w:bookmarkStart w:id="63" w:name="_Toc2522"/>
      <w:bookmarkStart w:id="64" w:name="_Toc14"/>
      <w:r>
        <w:rPr>
          <w:rFonts w:hint="eastAsia" w:ascii="楷体_GB2312" w:hAnsi="楷体_GB2312" w:eastAsia="楷体_GB2312" w:cs="楷体_GB2312"/>
          <w:color w:val="auto"/>
          <w:kern w:val="44"/>
          <w:sz w:val="32"/>
          <w:szCs w:val="32"/>
          <w:highlight w:val="none"/>
        </w:rPr>
        <w:t>（五）加强项目管理及合同管理。</w:t>
      </w:r>
      <w:bookmarkEnd w:id="62"/>
      <w:bookmarkEnd w:id="63"/>
      <w:bookmarkEnd w:id="64"/>
    </w:p>
    <w:p>
      <w:pPr>
        <w:spacing w:line="560" w:lineRule="exact"/>
        <w:ind w:firstLine="640" w:firstLineChars="200"/>
        <w:rPr>
          <w:rFonts w:ascii="楷体_GB2312" w:hAnsi="楷体_GB2312" w:eastAsia="楷体_GB2312" w:cs="楷体_GB2312"/>
          <w:color w:val="auto"/>
          <w:kern w:val="44"/>
          <w:sz w:val="32"/>
          <w:szCs w:val="32"/>
          <w:highlight w:val="none"/>
        </w:rPr>
      </w:pPr>
      <w:bookmarkStart w:id="65" w:name="_Toc5970"/>
      <w:bookmarkStart w:id="66" w:name="_Toc24348"/>
      <w:bookmarkStart w:id="67" w:name="_Toc12225"/>
      <w:r>
        <w:rPr>
          <w:rFonts w:hint="eastAsia" w:ascii="楷体_GB2312" w:hAnsi="楷体_GB2312" w:eastAsia="楷体_GB2312" w:cs="楷体_GB2312"/>
          <w:color w:val="auto"/>
          <w:kern w:val="44"/>
          <w:sz w:val="32"/>
          <w:szCs w:val="32"/>
          <w:highlight w:val="none"/>
        </w:rPr>
        <w:t>（六）强化绩效意识，加强绩效资料的归集，呈现项目实施效果。</w:t>
      </w:r>
      <w:bookmarkEnd w:id="65"/>
      <w:bookmarkEnd w:id="66"/>
      <w:bookmarkEnd w:id="67"/>
    </w:p>
    <w:p>
      <w:pPr>
        <w:numPr>
          <w:ilvl w:val="0"/>
          <w:numId w:val="0"/>
        </w:numPr>
        <w:spacing w:line="520" w:lineRule="exact"/>
        <w:ind w:firstLine="560" w:firstLineChars="200"/>
        <w:rPr>
          <w:rFonts w:hint="eastAsia" w:ascii="黑体" w:hAnsi="黑体" w:eastAsia="黑体" w:cs="黑体"/>
          <w:bCs/>
          <w:color w:val="auto"/>
          <w:kern w:val="0"/>
          <w:sz w:val="28"/>
          <w:szCs w:val="28"/>
          <w:highlight w:val="none"/>
        </w:rPr>
      </w:pPr>
      <w:r>
        <w:rPr>
          <w:rFonts w:hint="eastAsia" w:ascii="黑体" w:hAnsi="黑体" w:eastAsia="黑体" w:cs="黑体"/>
          <w:bCs/>
          <w:color w:val="auto"/>
          <w:kern w:val="0"/>
          <w:sz w:val="28"/>
          <w:szCs w:val="28"/>
          <w:highlight w:val="none"/>
          <w:lang w:val="en-US" w:eastAsia="zh-CN"/>
        </w:rPr>
        <w:t>七、</w:t>
      </w:r>
      <w:r>
        <w:rPr>
          <w:rFonts w:hint="eastAsia" w:ascii="黑体" w:hAnsi="黑体" w:eastAsia="黑体" w:cs="黑体"/>
          <w:bCs/>
          <w:color w:val="auto"/>
          <w:kern w:val="0"/>
          <w:sz w:val="28"/>
          <w:szCs w:val="28"/>
          <w:highlight w:val="none"/>
        </w:rPr>
        <w:t>其他需要说明的问题</w:t>
      </w:r>
    </w:p>
    <w:p>
      <w:pPr>
        <w:pStyle w:val="10"/>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eastAsia="仿宋_GB2312"/>
          <w:color w:val="auto"/>
          <w:highlight w:val="none"/>
          <w:lang w:val="en-US" w:eastAsia="zh-CN"/>
        </w:rPr>
      </w:pPr>
      <w:r>
        <w:rPr>
          <w:rFonts w:hint="eastAsia"/>
          <w:color w:val="auto"/>
          <w:highlight w:val="none"/>
          <w:lang w:val="en-US" w:eastAsia="zh-CN"/>
        </w:rPr>
        <w:t>无</w:t>
      </w:r>
    </w:p>
    <w:tbl>
      <w:tblPr>
        <w:tblStyle w:val="11"/>
        <w:tblW w:w="8928" w:type="dxa"/>
        <w:jc w:val="center"/>
        <w:tblLayout w:type="fixed"/>
        <w:tblCellMar>
          <w:top w:w="0" w:type="dxa"/>
          <w:left w:w="108" w:type="dxa"/>
          <w:bottom w:w="0" w:type="dxa"/>
          <w:right w:w="108" w:type="dxa"/>
        </w:tblCellMar>
      </w:tblPr>
      <w:tblGrid>
        <w:gridCol w:w="578"/>
        <w:gridCol w:w="963"/>
        <w:gridCol w:w="1092"/>
        <w:gridCol w:w="718"/>
        <w:gridCol w:w="1114"/>
        <w:gridCol w:w="279"/>
        <w:gridCol w:w="839"/>
        <w:gridCol w:w="837"/>
        <w:gridCol w:w="277"/>
        <w:gridCol w:w="280"/>
        <w:gridCol w:w="416"/>
        <w:gridCol w:w="141"/>
        <w:gridCol w:w="695"/>
        <w:gridCol w:w="699"/>
      </w:tblGrid>
      <w:tr>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vAlign w:val="center"/>
          </w:tcPr>
          <w:p>
            <w:pPr>
              <w:widowControl/>
              <w:spacing w:line="320" w:lineRule="exact"/>
              <w:jc w:val="center"/>
              <w:rPr>
                <w:rFonts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项目支出绩效自评表</w:t>
            </w:r>
          </w:p>
        </w:tc>
      </w:tr>
      <w:tr>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vAlign w:val="top"/>
          </w:tcPr>
          <w:p>
            <w:pPr>
              <w:widowControl/>
              <w:jc w:val="center"/>
              <w:rPr>
                <w:rFonts w:ascii="宋体" w:hAnsi="宋体" w:cs="宋体"/>
                <w:color w:val="auto"/>
                <w:kern w:val="0"/>
                <w:sz w:val="22"/>
                <w:highlight w:val="none"/>
              </w:rPr>
            </w:pPr>
            <w:r>
              <w:rPr>
                <w:rFonts w:hint="eastAsia" w:ascii="宋体" w:hAnsi="宋体" w:cs="宋体"/>
                <w:color w:val="auto"/>
                <w:kern w:val="0"/>
                <w:sz w:val="22"/>
                <w:highlight w:val="none"/>
              </w:rPr>
              <w:t>（2022年度）</w:t>
            </w: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项目名称</w:t>
            </w:r>
          </w:p>
        </w:tc>
        <w:tc>
          <w:tcPr>
            <w:tcW w:w="738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主管部门</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实施单位</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1541"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w:t>
            </w:r>
            <w:r>
              <w:rPr>
                <w:rFonts w:ascii="宋体" w:hAnsi="宋体" w:cs="宋体"/>
                <w:color w:val="auto"/>
                <w:kern w:val="0"/>
                <w:sz w:val="18"/>
                <w:szCs w:val="18"/>
                <w:highlight w:val="none"/>
              </w:rPr>
              <w:t>负责人</w:t>
            </w:r>
          </w:p>
        </w:tc>
        <w:tc>
          <w:tcPr>
            <w:tcW w:w="404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ascii="宋体" w:hAnsi="宋体" w:cs="宋体"/>
                <w:color w:val="auto"/>
                <w:kern w:val="0"/>
                <w:sz w:val="18"/>
                <w:szCs w:val="18"/>
                <w:highlight w:val="none"/>
              </w:rPr>
              <w:t>联系电话</w:t>
            </w:r>
          </w:p>
        </w:tc>
        <w:tc>
          <w:tcPr>
            <w:tcW w:w="223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1541"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项目资金</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（万元）</w:t>
            </w: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年初预算</w:t>
            </w: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全年预算数</w:t>
            </w: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全年执行数</w:t>
            </w: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分值</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执行率</w:t>
            </w: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得分</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年度资金总额</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10分</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其中：当年财政拨款</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tblPrEx>
          <w:tblCellMar>
            <w:top w:w="0" w:type="dxa"/>
            <w:left w:w="108" w:type="dxa"/>
            <w:bottom w:w="0" w:type="dxa"/>
            <w:right w:w="108" w:type="dxa"/>
          </w:tblCellMar>
        </w:tblPrEx>
        <w:trPr>
          <w:trHeight w:val="272"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     上年结转资金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 xml:space="preserve">  其他资金</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154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810" w:type="dxa"/>
            <w:gridSpan w:val="2"/>
            <w:tcBorders>
              <w:top w:val="single" w:color="auto" w:sz="4" w:space="0"/>
              <w:left w:val="nil"/>
              <w:bottom w:val="single" w:color="auto" w:sz="4" w:space="0"/>
              <w:right w:val="single" w:color="auto" w:sz="4" w:space="0"/>
            </w:tcBorders>
            <w:vAlign w:val="center"/>
          </w:tcPr>
          <w:p>
            <w:pPr>
              <w:widowControl/>
              <w:spacing w:line="240" w:lineRule="exact"/>
              <w:ind w:firstLine="780" w:firstLineChars="600"/>
              <w:rPr>
                <w:rFonts w:ascii="宋体" w:hAnsi="宋体" w:cs="宋体"/>
                <w:color w:val="auto"/>
                <w:kern w:val="0"/>
                <w:sz w:val="18"/>
                <w:szCs w:val="18"/>
                <w:highlight w:val="none"/>
              </w:rPr>
            </w:pPr>
            <w:r>
              <w:rPr>
                <w:rFonts w:hint="eastAsia" w:ascii="宋体" w:hAnsi="宋体" w:cs="宋体"/>
                <w:b/>
                <w:bCs/>
                <w:color w:val="auto"/>
                <w:kern w:val="0"/>
                <w:sz w:val="13"/>
                <w:szCs w:val="13"/>
                <w:highlight w:val="none"/>
              </w:rPr>
              <w:t>中央直达资金</w:t>
            </w:r>
            <w:r>
              <w:rPr>
                <w:rFonts w:hint="eastAsia" w:ascii="宋体" w:hAnsi="宋体" w:cs="宋体"/>
                <w:color w:val="auto"/>
                <w:kern w:val="0"/>
                <w:sz w:val="13"/>
                <w:szCs w:val="13"/>
                <w:highlight w:val="none"/>
              </w:rPr>
              <w:t xml:space="preserve"> </w:t>
            </w:r>
          </w:p>
        </w:tc>
        <w:tc>
          <w:tcPr>
            <w:tcW w:w="111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8"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11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6"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69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r>
      <w:tr>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年度总体目标</w:t>
            </w: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预期目标</w:t>
            </w: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实际完成情况</w:t>
            </w:r>
          </w:p>
        </w:tc>
      </w:tr>
      <w:tr>
        <w:tblPrEx>
          <w:tblCellMar>
            <w:top w:w="0" w:type="dxa"/>
            <w:left w:w="108" w:type="dxa"/>
            <w:bottom w:w="0" w:type="dxa"/>
            <w:right w:w="108" w:type="dxa"/>
          </w:tblCellMar>
        </w:tblPrEx>
        <w:trPr>
          <w:trHeight w:val="454" w:hRule="exact"/>
          <w:jc w:val="center"/>
        </w:trPr>
        <w:tc>
          <w:tcPr>
            <w:tcW w:w="57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00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3345"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517" w:hRule="exact"/>
          <w:jc w:val="center"/>
        </w:trPr>
        <w:tc>
          <w:tcPr>
            <w:tcW w:w="57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绩</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效</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指</w:t>
            </w:r>
            <w:r>
              <w:rPr>
                <w:rFonts w:hint="eastAsia" w:ascii="宋体" w:hAnsi="宋体" w:cs="宋体"/>
                <w:color w:val="auto"/>
                <w:kern w:val="0"/>
                <w:sz w:val="18"/>
                <w:szCs w:val="18"/>
                <w:highlight w:val="none"/>
              </w:rPr>
              <w:br w:type="textWrapping"/>
            </w:r>
            <w:r>
              <w:rPr>
                <w:rFonts w:hint="eastAsia" w:ascii="宋体" w:hAnsi="宋体" w:cs="宋体"/>
                <w:color w:val="auto"/>
                <w:kern w:val="0"/>
                <w:sz w:val="18"/>
                <w:szCs w:val="18"/>
                <w:highlight w:val="none"/>
              </w:rPr>
              <w:t>标</w:t>
            </w:r>
          </w:p>
        </w:tc>
        <w:tc>
          <w:tcPr>
            <w:tcW w:w="963"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一级指标</w:t>
            </w:r>
          </w:p>
        </w:tc>
        <w:tc>
          <w:tcPr>
            <w:tcW w:w="109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二级指标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三级指标</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年度</w:t>
            </w:r>
          </w:p>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指标值</w:t>
            </w: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实际</w:t>
            </w:r>
          </w:p>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完成值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分值</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得分</w:t>
            </w: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偏差原因分析及改进措施</w:t>
            </w: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产出指标</w:t>
            </w:r>
          </w:p>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（50分）</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数量指标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质量指标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时效指标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成本指标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效益指标</w:t>
            </w:r>
          </w:p>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（30分）</w:t>
            </w: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经济效益</w:t>
            </w:r>
          </w:p>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社会效益</w:t>
            </w:r>
          </w:p>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生态效益</w:t>
            </w:r>
          </w:p>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3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可持续影响指标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满意度</w:t>
            </w:r>
          </w:p>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指标</w:t>
            </w:r>
          </w:p>
          <w:p>
            <w:pPr>
              <w:widowControl/>
              <w:spacing w:line="240" w:lineRule="exact"/>
              <w:jc w:val="center"/>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（10分）</w:t>
            </w:r>
          </w:p>
        </w:tc>
        <w:tc>
          <w:tcPr>
            <w:tcW w:w="1092"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服务对象满意度指标</w:t>
            </w: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指标1：</w:t>
            </w:r>
          </w:p>
        </w:tc>
        <w:tc>
          <w:tcPr>
            <w:tcW w:w="8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指标2：</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57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96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09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2111"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auto"/>
                <w:kern w:val="0"/>
                <w:sz w:val="18"/>
                <w:szCs w:val="18"/>
                <w:highlight w:val="none"/>
              </w:rPr>
            </w:pPr>
            <w:r>
              <w:rPr>
                <w:rFonts w:hint="eastAsia" w:ascii="宋体" w:hAnsi="宋体" w:cs="宋体"/>
                <w:color w:val="auto"/>
                <w:kern w:val="0"/>
                <w:sz w:val="18"/>
                <w:szCs w:val="18"/>
                <w:highlight w:val="none"/>
              </w:rPr>
              <w:t>……</w:t>
            </w:r>
          </w:p>
        </w:tc>
        <w:tc>
          <w:tcPr>
            <w:tcW w:w="83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83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r>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总分</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r>
              <w:rPr>
                <w:rFonts w:hint="eastAsia" w:ascii="宋体" w:hAnsi="宋体" w:cs="宋体"/>
                <w:color w:val="auto"/>
                <w:kern w:val="0"/>
                <w:sz w:val="18"/>
                <w:szCs w:val="18"/>
                <w:highlight w:val="none"/>
              </w:rPr>
              <w:t>100</w:t>
            </w:r>
          </w:p>
        </w:tc>
        <w:tc>
          <w:tcPr>
            <w:tcW w:w="55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c>
          <w:tcPr>
            <w:tcW w:w="139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auto"/>
                <w:kern w:val="0"/>
                <w:sz w:val="18"/>
                <w:szCs w:val="18"/>
                <w:highlight w:val="none"/>
              </w:rPr>
            </w:pPr>
          </w:p>
        </w:tc>
      </w:tr>
    </w:tbl>
    <w:p>
      <w:pPr>
        <w:spacing w:line="480" w:lineRule="exact"/>
        <w:ind w:firstLine="480" w:firstLineChars="200"/>
        <w:rPr>
          <w:rFonts w:hint="eastAsia" w:ascii="仿宋_GB2312" w:hAnsi="宋体" w:eastAsia="仿宋_GB2312" w:cs="宋体"/>
          <w:color w:val="auto"/>
          <w:kern w:val="0"/>
          <w:sz w:val="24"/>
          <w:highlight w:val="none"/>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2000000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Style w:val="14"/>
                            </w:rPr>
                          </w:pPr>
                          <w:r>
                            <w:fldChar w:fldCharType="begin"/>
                          </w:r>
                          <w:r>
                            <w:rPr>
                              <w:rStyle w:val="14"/>
                            </w:rPr>
                            <w:instrText xml:space="preserve">PAGE  </w:instrText>
                          </w:r>
                          <w:r>
                            <w:fldChar w:fldCharType="separate"/>
                          </w:r>
                          <w:r>
                            <w:rPr>
                              <w:rStyle w:val="14"/>
                            </w:rPr>
                            <w:t>34</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pPr>
                      <w:pStyle w:val="7"/>
                      <w:rPr>
                        <w:rStyle w:val="14"/>
                      </w:rPr>
                    </w:pPr>
                    <w:r>
                      <w:fldChar w:fldCharType="begin"/>
                    </w:r>
                    <w:r>
                      <w:rPr>
                        <w:rStyle w:val="14"/>
                      </w:rPr>
                      <w:instrText xml:space="preserve">PAGE  </w:instrText>
                    </w:r>
                    <w:r>
                      <w:fldChar w:fldCharType="separate"/>
                    </w:r>
                    <w:r>
                      <w:rPr>
                        <w:rStyle w:val="14"/>
                      </w:rPr>
                      <w:t>34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0NDFkNDU2NDkwYWNlYjZhOTc3ZjBkYmI2ODQ0NGEifQ=="/>
  </w:docVars>
  <w:rsids>
    <w:rsidRoot w:val="00100246"/>
    <w:rsid w:val="00003B03"/>
    <w:rsid w:val="000040E6"/>
    <w:rsid w:val="0001182B"/>
    <w:rsid w:val="00011D72"/>
    <w:rsid w:val="00013CEC"/>
    <w:rsid w:val="000151AE"/>
    <w:rsid w:val="00027CD5"/>
    <w:rsid w:val="00030701"/>
    <w:rsid w:val="00031717"/>
    <w:rsid w:val="00031B8E"/>
    <w:rsid w:val="000331DA"/>
    <w:rsid w:val="00033EC1"/>
    <w:rsid w:val="00034224"/>
    <w:rsid w:val="00036102"/>
    <w:rsid w:val="00040275"/>
    <w:rsid w:val="00042925"/>
    <w:rsid w:val="0004719C"/>
    <w:rsid w:val="00047F6E"/>
    <w:rsid w:val="00051B00"/>
    <w:rsid w:val="000601B1"/>
    <w:rsid w:val="00066E19"/>
    <w:rsid w:val="0006752F"/>
    <w:rsid w:val="000711FB"/>
    <w:rsid w:val="00071797"/>
    <w:rsid w:val="00071860"/>
    <w:rsid w:val="0007258E"/>
    <w:rsid w:val="00077A9E"/>
    <w:rsid w:val="00077F4A"/>
    <w:rsid w:val="00077FE5"/>
    <w:rsid w:val="00080447"/>
    <w:rsid w:val="00080576"/>
    <w:rsid w:val="00084E8C"/>
    <w:rsid w:val="00085663"/>
    <w:rsid w:val="0008577F"/>
    <w:rsid w:val="00085C9B"/>
    <w:rsid w:val="00095948"/>
    <w:rsid w:val="00095C26"/>
    <w:rsid w:val="00096504"/>
    <w:rsid w:val="00096B86"/>
    <w:rsid w:val="000A04BD"/>
    <w:rsid w:val="000A1770"/>
    <w:rsid w:val="000A283C"/>
    <w:rsid w:val="000A464E"/>
    <w:rsid w:val="000A6E29"/>
    <w:rsid w:val="000B15B7"/>
    <w:rsid w:val="000B70F1"/>
    <w:rsid w:val="000C1EC5"/>
    <w:rsid w:val="000C2CD8"/>
    <w:rsid w:val="000C4611"/>
    <w:rsid w:val="000D0D2F"/>
    <w:rsid w:val="000D2BF4"/>
    <w:rsid w:val="000D6854"/>
    <w:rsid w:val="000D6BFA"/>
    <w:rsid w:val="000D720C"/>
    <w:rsid w:val="000E0B26"/>
    <w:rsid w:val="000E3291"/>
    <w:rsid w:val="000E56A1"/>
    <w:rsid w:val="000F08FE"/>
    <w:rsid w:val="000F278A"/>
    <w:rsid w:val="000F2A48"/>
    <w:rsid w:val="000F49BE"/>
    <w:rsid w:val="00100246"/>
    <w:rsid w:val="00104858"/>
    <w:rsid w:val="0010682D"/>
    <w:rsid w:val="001073C6"/>
    <w:rsid w:val="00107DB5"/>
    <w:rsid w:val="001141B7"/>
    <w:rsid w:val="0011483D"/>
    <w:rsid w:val="00115724"/>
    <w:rsid w:val="001211C1"/>
    <w:rsid w:val="00130995"/>
    <w:rsid w:val="00131FF9"/>
    <w:rsid w:val="00132320"/>
    <w:rsid w:val="001351C8"/>
    <w:rsid w:val="0013555C"/>
    <w:rsid w:val="001366D8"/>
    <w:rsid w:val="001369A7"/>
    <w:rsid w:val="001428C5"/>
    <w:rsid w:val="001503D8"/>
    <w:rsid w:val="0015083A"/>
    <w:rsid w:val="00156E6E"/>
    <w:rsid w:val="00157540"/>
    <w:rsid w:val="00157B8F"/>
    <w:rsid w:val="00164DC3"/>
    <w:rsid w:val="0017111F"/>
    <w:rsid w:val="00173393"/>
    <w:rsid w:val="00173CF6"/>
    <w:rsid w:val="00176C13"/>
    <w:rsid w:val="00177804"/>
    <w:rsid w:val="00180DAD"/>
    <w:rsid w:val="00181B15"/>
    <w:rsid w:val="00181BD8"/>
    <w:rsid w:val="0018370E"/>
    <w:rsid w:val="00183BC8"/>
    <w:rsid w:val="00183DF4"/>
    <w:rsid w:val="001852E1"/>
    <w:rsid w:val="00191568"/>
    <w:rsid w:val="0019509B"/>
    <w:rsid w:val="001A04EE"/>
    <w:rsid w:val="001A4277"/>
    <w:rsid w:val="001A5E6B"/>
    <w:rsid w:val="001A774A"/>
    <w:rsid w:val="001A7D2E"/>
    <w:rsid w:val="001B1DF9"/>
    <w:rsid w:val="001B1E93"/>
    <w:rsid w:val="001B375E"/>
    <w:rsid w:val="001B5E87"/>
    <w:rsid w:val="001B5E91"/>
    <w:rsid w:val="001B6B10"/>
    <w:rsid w:val="001B7988"/>
    <w:rsid w:val="001C3B5C"/>
    <w:rsid w:val="001D37F4"/>
    <w:rsid w:val="001D78D9"/>
    <w:rsid w:val="001E0556"/>
    <w:rsid w:val="001E2355"/>
    <w:rsid w:val="001E2379"/>
    <w:rsid w:val="001E29A9"/>
    <w:rsid w:val="001E5148"/>
    <w:rsid w:val="001E526B"/>
    <w:rsid w:val="001F5857"/>
    <w:rsid w:val="00206EC3"/>
    <w:rsid w:val="0021047C"/>
    <w:rsid w:val="002109A1"/>
    <w:rsid w:val="00211E4E"/>
    <w:rsid w:val="00213D1C"/>
    <w:rsid w:val="00213F9A"/>
    <w:rsid w:val="00214C3A"/>
    <w:rsid w:val="00214F36"/>
    <w:rsid w:val="00217517"/>
    <w:rsid w:val="00220836"/>
    <w:rsid w:val="0022204B"/>
    <w:rsid w:val="00222628"/>
    <w:rsid w:val="0022396B"/>
    <w:rsid w:val="002253CB"/>
    <w:rsid w:val="002326DE"/>
    <w:rsid w:val="00234314"/>
    <w:rsid w:val="00240A1B"/>
    <w:rsid w:val="00241724"/>
    <w:rsid w:val="00242904"/>
    <w:rsid w:val="0024390C"/>
    <w:rsid w:val="00243EB9"/>
    <w:rsid w:val="00244163"/>
    <w:rsid w:val="002441F4"/>
    <w:rsid w:val="00244204"/>
    <w:rsid w:val="002448A4"/>
    <w:rsid w:val="0024528B"/>
    <w:rsid w:val="00245A0A"/>
    <w:rsid w:val="00246C42"/>
    <w:rsid w:val="002515CC"/>
    <w:rsid w:val="0025205B"/>
    <w:rsid w:val="00253EC4"/>
    <w:rsid w:val="00254515"/>
    <w:rsid w:val="00256BEA"/>
    <w:rsid w:val="0026479D"/>
    <w:rsid w:val="002673C4"/>
    <w:rsid w:val="0027112B"/>
    <w:rsid w:val="00271C3F"/>
    <w:rsid w:val="00272460"/>
    <w:rsid w:val="00272DFF"/>
    <w:rsid w:val="00273070"/>
    <w:rsid w:val="0027394A"/>
    <w:rsid w:val="00273989"/>
    <w:rsid w:val="00274D50"/>
    <w:rsid w:val="002760D5"/>
    <w:rsid w:val="00276289"/>
    <w:rsid w:val="0028081D"/>
    <w:rsid w:val="0028458C"/>
    <w:rsid w:val="002911BD"/>
    <w:rsid w:val="00291C98"/>
    <w:rsid w:val="00294DE9"/>
    <w:rsid w:val="002A1488"/>
    <w:rsid w:val="002A4C2B"/>
    <w:rsid w:val="002A6BB5"/>
    <w:rsid w:val="002B19D0"/>
    <w:rsid w:val="002B3682"/>
    <w:rsid w:val="002B5464"/>
    <w:rsid w:val="002B646D"/>
    <w:rsid w:val="002C0443"/>
    <w:rsid w:val="002C09C7"/>
    <w:rsid w:val="002C12FB"/>
    <w:rsid w:val="002C24BC"/>
    <w:rsid w:val="002C75B6"/>
    <w:rsid w:val="002D03C6"/>
    <w:rsid w:val="002D08BF"/>
    <w:rsid w:val="002D0FDF"/>
    <w:rsid w:val="002D3955"/>
    <w:rsid w:val="002D5CBE"/>
    <w:rsid w:val="002D6867"/>
    <w:rsid w:val="002D68A9"/>
    <w:rsid w:val="002D72D1"/>
    <w:rsid w:val="002E06AE"/>
    <w:rsid w:val="002E4B75"/>
    <w:rsid w:val="002E68DD"/>
    <w:rsid w:val="002E6973"/>
    <w:rsid w:val="002F17C2"/>
    <w:rsid w:val="002F32EE"/>
    <w:rsid w:val="002F4054"/>
    <w:rsid w:val="002F4147"/>
    <w:rsid w:val="002F5574"/>
    <w:rsid w:val="002F6DB5"/>
    <w:rsid w:val="00300B5F"/>
    <w:rsid w:val="00301D20"/>
    <w:rsid w:val="00302B19"/>
    <w:rsid w:val="00303337"/>
    <w:rsid w:val="00303428"/>
    <w:rsid w:val="003051DF"/>
    <w:rsid w:val="003053C4"/>
    <w:rsid w:val="003058A3"/>
    <w:rsid w:val="00307DA5"/>
    <w:rsid w:val="0031106F"/>
    <w:rsid w:val="0031169D"/>
    <w:rsid w:val="0031170D"/>
    <w:rsid w:val="00313E14"/>
    <w:rsid w:val="00315182"/>
    <w:rsid w:val="0031582C"/>
    <w:rsid w:val="003167DD"/>
    <w:rsid w:val="00321BD8"/>
    <w:rsid w:val="00325687"/>
    <w:rsid w:val="00332C14"/>
    <w:rsid w:val="00335079"/>
    <w:rsid w:val="003352CE"/>
    <w:rsid w:val="00336496"/>
    <w:rsid w:val="00341D8E"/>
    <w:rsid w:val="00343DCD"/>
    <w:rsid w:val="00346172"/>
    <w:rsid w:val="003502B9"/>
    <w:rsid w:val="00351B8F"/>
    <w:rsid w:val="00353226"/>
    <w:rsid w:val="003532B1"/>
    <w:rsid w:val="00353675"/>
    <w:rsid w:val="00353717"/>
    <w:rsid w:val="00354630"/>
    <w:rsid w:val="003569FF"/>
    <w:rsid w:val="00361501"/>
    <w:rsid w:val="00365A24"/>
    <w:rsid w:val="003712DB"/>
    <w:rsid w:val="00373DDC"/>
    <w:rsid w:val="00375F7E"/>
    <w:rsid w:val="00381863"/>
    <w:rsid w:val="00382A86"/>
    <w:rsid w:val="00383BCC"/>
    <w:rsid w:val="00385243"/>
    <w:rsid w:val="003925D4"/>
    <w:rsid w:val="00392D10"/>
    <w:rsid w:val="00393366"/>
    <w:rsid w:val="003937DC"/>
    <w:rsid w:val="00393D75"/>
    <w:rsid w:val="00395361"/>
    <w:rsid w:val="003A2F2D"/>
    <w:rsid w:val="003A379F"/>
    <w:rsid w:val="003A43AC"/>
    <w:rsid w:val="003A4EB6"/>
    <w:rsid w:val="003A6E5D"/>
    <w:rsid w:val="003A7AE9"/>
    <w:rsid w:val="003A7BC5"/>
    <w:rsid w:val="003A7FF5"/>
    <w:rsid w:val="003B0352"/>
    <w:rsid w:val="003B4437"/>
    <w:rsid w:val="003B48C4"/>
    <w:rsid w:val="003B5E20"/>
    <w:rsid w:val="003B6DAD"/>
    <w:rsid w:val="003B735F"/>
    <w:rsid w:val="003C030C"/>
    <w:rsid w:val="003C29E8"/>
    <w:rsid w:val="003C45F4"/>
    <w:rsid w:val="003C4A29"/>
    <w:rsid w:val="003C55FC"/>
    <w:rsid w:val="003C5718"/>
    <w:rsid w:val="003C685F"/>
    <w:rsid w:val="003C71DA"/>
    <w:rsid w:val="003D0EC3"/>
    <w:rsid w:val="003D7274"/>
    <w:rsid w:val="003E2074"/>
    <w:rsid w:val="003E4B21"/>
    <w:rsid w:val="003E4D82"/>
    <w:rsid w:val="003E557A"/>
    <w:rsid w:val="003E5BC1"/>
    <w:rsid w:val="003F0D1B"/>
    <w:rsid w:val="003F1DD6"/>
    <w:rsid w:val="003F214A"/>
    <w:rsid w:val="00401087"/>
    <w:rsid w:val="00402E26"/>
    <w:rsid w:val="004049C7"/>
    <w:rsid w:val="004110BC"/>
    <w:rsid w:val="00411D17"/>
    <w:rsid w:val="004121B3"/>
    <w:rsid w:val="0041271F"/>
    <w:rsid w:val="004152CC"/>
    <w:rsid w:val="0041688E"/>
    <w:rsid w:val="004170EF"/>
    <w:rsid w:val="00417D28"/>
    <w:rsid w:val="0042093C"/>
    <w:rsid w:val="004212CD"/>
    <w:rsid w:val="004233DD"/>
    <w:rsid w:val="00423F0A"/>
    <w:rsid w:val="00424405"/>
    <w:rsid w:val="00425B25"/>
    <w:rsid w:val="00425D24"/>
    <w:rsid w:val="00426A4D"/>
    <w:rsid w:val="00427687"/>
    <w:rsid w:val="00430C87"/>
    <w:rsid w:val="00433231"/>
    <w:rsid w:val="004334CA"/>
    <w:rsid w:val="0043506A"/>
    <w:rsid w:val="00435830"/>
    <w:rsid w:val="0043619C"/>
    <w:rsid w:val="004445B8"/>
    <w:rsid w:val="0044475D"/>
    <w:rsid w:val="00444D1E"/>
    <w:rsid w:val="0044571A"/>
    <w:rsid w:val="0044705D"/>
    <w:rsid w:val="0045090E"/>
    <w:rsid w:val="004510B8"/>
    <w:rsid w:val="00453E36"/>
    <w:rsid w:val="00457286"/>
    <w:rsid w:val="00460BC2"/>
    <w:rsid w:val="00461FA5"/>
    <w:rsid w:val="00463566"/>
    <w:rsid w:val="00464182"/>
    <w:rsid w:val="00471C52"/>
    <w:rsid w:val="0047460C"/>
    <w:rsid w:val="00474FF2"/>
    <w:rsid w:val="00477429"/>
    <w:rsid w:val="00480098"/>
    <w:rsid w:val="00484211"/>
    <w:rsid w:val="004843AC"/>
    <w:rsid w:val="00484A93"/>
    <w:rsid w:val="004856B9"/>
    <w:rsid w:val="00485B54"/>
    <w:rsid w:val="00485E12"/>
    <w:rsid w:val="004865DA"/>
    <w:rsid w:val="0048779C"/>
    <w:rsid w:val="00487AB7"/>
    <w:rsid w:val="00487ED0"/>
    <w:rsid w:val="00495044"/>
    <w:rsid w:val="00495C98"/>
    <w:rsid w:val="0049682C"/>
    <w:rsid w:val="004A168E"/>
    <w:rsid w:val="004A482A"/>
    <w:rsid w:val="004A4EC7"/>
    <w:rsid w:val="004B0003"/>
    <w:rsid w:val="004C020A"/>
    <w:rsid w:val="004C03A3"/>
    <w:rsid w:val="004C0BF7"/>
    <w:rsid w:val="004C44B8"/>
    <w:rsid w:val="004C705D"/>
    <w:rsid w:val="004C73F4"/>
    <w:rsid w:val="004C7629"/>
    <w:rsid w:val="004D0D5D"/>
    <w:rsid w:val="004D250C"/>
    <w:rsid w:val="004D48B4"/>
    <w:rsid w:val="004E27DD"/>
    <w:rsid w:val="004E3350"/>
    <w:rsid w:val="004E5292"/>
    <w:rsid w:val="004F1C7E"/>
    <w:rsid w:val="004F2C5B"/>
    <w:rsid w:val="004F4178"/>
    <w:rsid w:val="004F641B"/>
    <w:rsid w:val="004F71F3"/>
    <w:rsid w:val="00500D0B"/>
    <w:rsid w:val="005027F0"/>
    <w:rsid w:val="005052FA"/>
    <w:rsid w:val="005069E1"/>
    <w:rsid w:val="005076D6"/>
    <w:rsid w:val="00507E59"/>
    <w:rsid w:val="005122B5"/>
    <w:rsid w:val="0052381C"/>
    <w:rsid w:val="005239D1"/>
    <w:rsid w:val="00523E52"/>
    <w:rsid w:val="005346B3"/>
    <w:rsid w:val="0053551F"/>
    <w:rsid w:val="00537DB3"/>
    <w:rsid w:val="0054051C"/>
    <w:rsid w:val="00543CA2"/>
    <w:rsid w:val="00545686"/>
    <w:rsid w:val="00545FC8"/>
    <w:rsid w:val="00546A84"/>
    <w:rsid w:val="00547BE2"/>
    <w:rsid w:val="0055353D"/>
    <w:rsid w:val="00555B6F"/>
    <w:rsid w:val="005606FD"/>
    <w:rsid w:val="0056187C"/>
    <w:rsid w:val="00562EA6"/>
    <w:rsid w:val="00570350"/>
    <w:rsid w:val="00571656"/>
    <w:rsid w:val="00576B03"/>
    <w:rsid w:val="0058691B"/>
    <w:rsid w:val="00591655"/>
    <w:rsid w:val="00591BEC"/>
    <w:rsid w:val="005940EA"/>
    <w:rsid w:val="00594448"/>
    <w:rsid w:val="005953D8"/>
    <w:rsid w:val="005A09F1"/>
    <w:rsid w:val="005A1D6F"/>
    <w:rsid w:val="005A4D82"/>
    <w:rsid w:val="005A52A6"/>
    <w:rsid w:val="005B0DEC"/>
    <w:rsid w:val="005B368E"/>
    <w:rsid w:val="005B4097"/>
    <w:rsid w:val="005B6598"/>
    <w:rsid w:val="005B6E69"/>
    <w:rsid w:val="005C0015"/>
    <w:rsid w:val="005C2BCE"/>
    <w:rsid w:val="005C2CA5"/>
    <w:rsid w:val="005C45EE"/>
    <w:rsid w:val="005C667E"/>
    <w:rsid w:val="005C7062"/>
    <w:rsid w:val="005C7788"/>
    <w:rsid w:val="005D10B9"/>
    <w:rsid w:val="005D18DA"/>
    <w:rsid w:val="005D2868"/>
    <w:rsid w:val="005D6795"/>
    <w:rsid w:val="005E00DC"/>
    <w:rsid w:val="005E3BBC"/>
    <w:rsid w:val="005E3EC6"/>
    <w:rsid w:val="005E4E07"/>
    <w:rsid w:val="005E4E46"/>
    <w:rsid w:val="005E5275"/>
    <w:rsid w:val="005E6CC5"/>
    <w:rsid w:val="005E79F8"/>
    <w:rsid w:val="005E7DC8"/>
    <w:rsid w:val="005E7EC9"/>
    <w:rsid w:val="005F1806"/>
    <w:rsid w:val="005F6EB2"/>
    <w:rsid w:val="005F7087"/>
    <w:rsid w:val="005F7F3B"/>
    <w:rsid w:val="00603B88"/>
    <w:rsid w:val="00611BE4"/>
    <w:rsid w:val="0061219B"/>
    <w:rsid w:val="00612CB5"/>
    <w:rsid w:val="00614081"/>
    <w:rsid w:val="006161F6"/>
    <w:rsid w:val="006162AE"/>
    <w:rsid w:val="00621419"/>
    <w:rsid w:val="00626446"/>
    <w:rsid w:val="00626BE8"/>
    <w:rsid w:val="00632804"/>
    <w:rsid w:val="006370FF"/>
    <w:rsid w:val="006376DA"/>
    <w:rsid w:val="00641972"/>
    <w:rsid w:val="006459DA"/>
    <w:rsid w:val="00647BA8"/>
    <w:rsid w:val="006502E8"/>
    <w:rsid w:val="00650E8B"/>
    <w:rsid w:val="00652D60"/>
    <w:rsid w:val="0065675C"/>
    <w:rsid w:val="006573F2"/>
    <w:rsid w:val="0065793F"/>
    <w:rsid w:val="0066263B"/>
    <w:rsid w:val="00663072"/>
    <w:rsid w:val="00664B68"/>
    <w:rsid w:val="0066543D"/>
    <w:rsid w:val="006659E4"/>
    <w:rsid w:val="0066713A"/>
    <w:rsid w:val="006701AB"/>
    <w:rsid w:val="0067195C"/>
    <w:rsid w:val="006724F7"/>
    <w:rsid w:val="00673A6E"/>
    <w:rsid w:val="00673CDC"/>
    <w:rsid w:val="006744EA"/>
    <w:rsid w:val="0067511A"/>
    <w:rsid w:val="0067539B"/>
    <w:rsid w:val="00675543"/>
    <w:rsid w:val="00677194"/>
    <w:rsid w:val="00677396"/>
    <w:rsid w:val="00677AD9"/>
    <w:rsid w:val="00681970"/>
    <w:rsid w:val="00682743"/>
    <w:rsid w:val="00685151"/>
    <w:rsid w:val="00690641"/>
    <w:rsid w:val="00690D88"/>
    <w:rsid w:val="00691844"/>
    <w:rsid w:val="006932C1"/>
    <w:rsid w:val="00693DDF"/>
    <w:rsid w:val="00696F9E"/>
    <w:rsid w:val="006A1B3E"/>
    <w:rsid w:val="006A308B"/>
    <w:rsid w:val="006A374A"/>
    <w:rsid w:val="006A505E"/>
    <w:rsid w:val="006A513E"/>
    <w:rsid w:val="006A5265"/>
    <w:rsid w:val="006B045E"/>
    <w:rsid w:val="006B0CB9"/>
    <w:rsid w:val="006B1EF0"/>
    <w:rsid w:val="006B2609"/>
    <w:rsid w:val="006B2750"/>
    <w:rsid w:val="006B2AB4"/>
    <w:rsid w:val="006B3678"/>
    <w:rsid w:val="006B3C51"/>
    <w:rsid w:val="006B7390"/>
    <w:rsid w:val="006C0084"/>
    <w:rsid w:val="006C107D"/>
    <w:rsid w:val="006C3600"/>
    <w:rsid w:val="006C4534"/>
    <w:rsid w:val="006C4DA3"/>
    <w:rsid w:val="006C5205"/>
    <w:rsid w:val="006C7272"/>
    <w:rsid w:val="006C75F6"/>
    <w:rsid w:val="006D3F53"/>
    <w:rsid w:val="006D60AF"/>
    <w:rsid w:val="006E0A24"/>
    <w:rsid w:val="006E26FF"/>
    <w:rsid w:val="006E3B83"/>
    <w:rsid w:val="006E401F"/>
    <w:rsid w:val="006F6F0B"/>
    <w:rsid w:val="00701651"/>
    <w:rsid w:val="007049BF"/>
    <w:rsid w:val="00704E79"/>
    <w:rsid w:val="00707A26"/>
    <w:rsid w:val="0071120F"/>
    <w:rsid w:val="00716380"/>
    <w:rsid w:val="00717CB2"/>
    <w:rsid w:val="00722165"/>
    <w:rsid w:val="00724B1C"/>
    <w:rsid w:val="00731228"/>
    <w:rsid w:val="00731779"/>
    <w:rsid w:val="00737A08"/>
    <w:rsid w:val="0074250A"/>
    <w:rsid w:val="007428F0"/>
    <w:rsid w:val="00742B05"/>
    <w:rsid w:val="00745919"/>
    <w:rsid w:val="00750E0E"/>
    <w:rsid w:val="007512EF"/>
    <w:rsid w:val="00755055"/>
    <w:rsid w:val="007551AC"/>
    <w:rsid w:val="00755BFF"/>
    <w:rsid w:val="00756247"/>
    <w:rsid w:val="007570A7"/>
    <w:rsid w:val="0076101C"/>
    <w:rsid w:val="007613FF"/>
    <w:rsid w:val="00763D87"/>
    <w:rsid w:val="007670B2"/>
    <w:rsid w:val="00771795"/>
    <w:rsid w:val="0077427C"/>
    <w:rsid w:val="00774925"/>
    <w:rsid w:val="00776D1A"/>
    <w:rsid w:val="00790DD2"/>
    <w:rsid w:val="0079279F"/>
    <w:rsid w:val="00793E69"/>
    <w:rsid w:val="007A063C"/>
    <w:rsid w:val="007A16B0"/>
    <w:rsid w:val="007A19EA"/>
    <w:rsid w:val="007A5AFC"/>
    <w:rsid w:val="007A6092"/>
    <w:rsid w:val="007A60B7"/>
    <w:rsid w:val="007A64A6"/>
    <w:rsid w:val="007A7C89"/>
    <w:rsid w:val="007B1487"/>
    <w:rsid w:val="007B2A43"/>
    <w:rsid w:val="007B326F"/>
    <w:rsid w:val="007B6A58"/>
    <w:rsid w:val="007B6C06"/>
    <w:rsid w:val="007B7B78"/>
    <w:rsid w:val="007C32B1"/>
    <w:rsid w:val="007C67E0"/>
    <w:rsid w:val="007C6887"/>
    <w:rsid w:val="007C7A22"/>
    <w:rsid w:val="007C7C62"/>
    <w:rsid w:val="007D1076"/>
    <w:rsid w:val="007D12B7"/>
    <w:rsid w:val="007D2A49"/>
    <w:rsid w:val="007D5E38"/>
    <w:rsid w:val="007D7AC4"/>
    <w:rsid w:val="007E0340"/>
    <w:rsid w:val="007E141D"/>
    <w:rsid w:val="007E1D4A"/>
    <w:rsid w:val="007E53C0"/>
    <w:rsid w:val="007E7703"/>
    <w:rsid w:val="007E7E5E"/>
    <w:rsid w:val="007F0850"/>
    <w:rsid w:val="007F251D"/>
    <w:rsid w:val="007F4558"/>
    <w:rsid w:val="007F5985"/>
    <w:rsid w:val="007F64DF"/>
    <w:rsid w:val="008050EF"/>
    <w:rsid w:val="0080652C"/>
    <w:rsid w:val="0080715F"/>
    <w:rsid w:val="008113D6"/>
    <w:rsid w:val="008127BF"/>
    <w:rsid w:val="00812BA7"/>
    <w:rsid w:val="00813A87"/>
    <w:rsid w:val="00815F57"/>
    <w:rsid w:val="0081760B"/>
    <w:rsid w:val="0082106B"/>
    <w:rsid w:val="008218AC"/>
    <w:rsid w:val="00822E27"/>
    <w:rsid w:val="00822E51"/>
    <w:rsid w:val="00824B15"/>
    <w:rsid w:val="00825205"/>
    <w:rsid w:val="00825359"/>
    <w:rsid w:val="0082560F"/>
    <w:rsid w:val="00825E13"/>
    <w:rsid w:val="00826F07"/>
    <w:rsid w:val="00827693"/>
    <w:rsid w:val="00830060"/>
    <w:rsid w:val="008319CB"/>
    <w:rsid w:val="008337CB"/>
    <w:rsid w:val="00834A3C"/>
    <w:rsid w:val="00837658"/>
    <w:rsid w:val="00837CD4"/>
    <w:rsid w:val="008400EE"/>
    <w:rsid w:val="00840791"/>
    <w:rsid w:val="00845576"/>
    <w:rsid w:val="00845BE6"/>
    <w:rsid w:val="00850180"/>
    <w:rsid w:val="00850708"/>
    <w:rsid w:val="00851024"/>
    <w:rsid w:val="008526D7"/>
    <w:rsid w:val="0085325C"/>
    <w:rsid w:val="0086238C"/>
    <w:rsid w:val="008655DC"/>
    <w:rsid w:val="0086732D"/>
    <w:rsid w:val="0086763B"/>
    <w:rsid w:val="00870183"/>
    <w:rsid w:val="00875726"/>
    <w:rsid w:val="00877F10"/>
    <w:rsid w:val="0088225D"/>
    <w:rsid w:val="00882F8D"/>
    <w:rsid w:val="00883A46"/>
    <w:rsid w:val="00884FB0"/>
    <w:rsid w:val="008853A5"/>
    <w:rsid w:val="008944DA"/>
    <w:rsid w:val="00894D78"/>
    <w:rsid w:val="00894E2E"/>
    <w:rsid w:val="0089686A"/>
    <w:rsid w:val="008A29B6"/>
    <w:rsid w:val="008A6A18"/>
    <w:rsid w:val="008B033F"/>
    <w:rsid w:val="008B4003"/>
    <w:rsid w:val="008B5267"/>
    <w:rsid w:val="008B7443"/>
    <w:rsid w:val="008C179E"/>
    <w:rsid w:val="008C2379"/>
    <w:rsid w:val="008C4FF7"/>
    <w:rsid w:val="008C5C4C"/>
    <w:rsid w:val="008C7056"/>
    <w:rsid w:val="008C706D"/>
    <w:rsid w:val="008D3145"/>
    <w:rsid w:val="008D757F"/>
    <w:rsid w:val="008E0EBD"/>
    <w:rsid w:val="008E1A54"/>
    <w:rsid w:val="008E1F95"/>
    <w:rsid w:val="008E36B6"/>
    <w:rsid w:val="008E4267"/>
    <w:rsid w:val="008E4847"/>
    <w:rsid w:val="008E5FF1"/>
    <w:rsid w:val="008E6204"/>
    <w:rsid w:val="008E63D2"/>
    <w:rsid w:val="008E6E14"/>
    <w:rsid w:val="008E75DD"/>
    <w:rsid w:val="008F13A8"/>
    <w:rsid w:val="008F1528"/>
    <w:rsid w:val="008F1AE5"/>
    <w:rsid w:val="008F4E21"/>
    <w:rsid w:val="008F55D9"/>
    <w:rsid w:val="009057DE"/>
    <w:rsid w:val="00905F97"/>
    <w:rsid w:val="00906FA3"/>
    <w:rsid w:val="00907A36"/>
    <w:rsid w:val="0091239D"/>
    <w:rsid w:val="00912825"/>
    <w:rsid w:val="009129B8"/>
    <w:rsid w:val="00912B99"/>
    <w:rsid w:val="00912C78"/>
    <w:rsid w:val="00913E20"/>
    <w:rsid w:val="009269A2"/>
    <w:rsid w:val="0093164D"/>
    <w:rsid w:val="009351E9"/>
    <w:rsid w:val="00937862"/>
    <w:rsid w:val="00942279"/>
    <w:rsid w:val="00944C57"/>
    <w:rsid w:val="009524EB"/>
    <w:rsid w:val="00962013"/>
    <w:rsid w:val="00963942"/>
    <w:rsid w:val="00966B48"/>
    <w:rsid w:val="0096716C"/>
    <w:rsid w:val="009672B2"/>
    <w:rsid w:val="00971C66"/>
    <w:rsid w:val="0097634D"/>
    <w:rsid w:val="0098419C"/>
    <w:rsid w:val="009843EF"/>
    <w:rsid w:val="00985E93"/>
    <w:rsid w:val="009867F2"/>
    <w:rsid w:val="00991347"/>
    <w:rsid w:val="00991811"/>
    <w:rsid w:val="00993B1D"/>
    <w:rsid w:val="009957C9"/>
    <w:rsid w:val="00996018"/>
    <w:rsid w:val="0099738E"/>
    <w:rsid w:val="009A07FE"/>
    <w:rsid w:val="009A3291"/>
    <w:rsid w:val="009A385E"/>
    <w:rsid w:val="009A493E"/>
    <w:rsid w:val="009A531F"/>
    <w:rsid w:val="009A59FA"/>
    <w:rsid w:val="009A628F"/>
    <w:rsid w:val="009A6931"/>
    <w:rsid w:val="009B1F9A"/>
    <w:rsid w:val="009B1FA9"/>
    <w:rsid w:val="009B349F"/>
    <w:rsid w:val="009B4293"/>
    <w:rsid w:val="009B6715"/>
    <w:rsid w:val="009C0337"/>
    <w:rsid w:val="009C7B74"/>
    <w:rsid w:val="009D07F8"/>
    <w:rsid w:val="009D0BE2"/>
    <w:rsid w:val="009D114E"/>
    <w:rsid w:val="009D210F"/>
    <w:rsid w:val="009D309C"/>
    <w:rsid w:val="009D37B1"/>
    <w:rsid w:val="009D4717"/>
    <w:rsid w:val="009D694D"/>
    <w:rsid w:val="009D75FA"/>
    <w:rsid w:val="009E2350"/>
    <w:rsid w:val="009E264E"/>
    <w:rsid w:val="009E60AE"/>
    <w:rsid w:val="009F0C98"/>
    <w:rsid w:val="009F0F81"/>
    <w:rsid w:val="009F2543"/>
    <w:rsid w:val="009F256D"/>
    <w:rsid w:val="009F341E"/>
    <w:rsid w:val="009F57CE"/>
    <w:rsid w:val="00A013FD"/>
    <w:rsid w:val="00A04384"/>
    <w:rsid w:val="00A117CA"/>
    <w:rsid w:val="00A12225"/>
    <w:rsid w:val="00A14C18"/>
    <w:rsid w:val="00A174D7"/>
    <w:rsid w:val="00A22648"/>
    <w:rsid w:val="00A25898"/>
    <w:rsid w:val="00A3071D"/>
    <w:rsid w:val="00A3182E"/>
    <w:rsid w:val="00A31A89"/>
    <w:rsid w:val="00A32F06"/>
    <w:rsid w:val="00A34934"/>
    <w:rsid w:val="00A34EFE"/>
    <w:rsid w:val="00A36546"/>
    <w:rsid w:val="00A403E1"/>
    <w:rsid w:val="00A4069C"/>
    <w:rsid w:val="00A429CB"/>
    <w:rsid w:val="00A44E87"/>
    <w:rsid w:val="00A5063C"/>
    <w:rsid w:val="00A52749"/>
    <w:rsid w:val="00A5422E"/>
    <w:rsid w:val="00A55CD6"/>
    <w:rsid w:val="00A56EC1"/>
    <w:rsid w:val="00A57628"/>
    <w:rsid w:val="00A6350C"/>
    <w:rsid w:val="00A6370B"/>
    <w:rsid w:val="00A63A73"/>
    <w:rsid w:val="00A64C0C"/>
    <w:rsid w:val="00A6655C"/>
    <w:rsid w:val="00A66CBB"/>
    <w:rsid w:val="00A6704E"/>
    <w:rsid w:val="00A67EA4"/>
    <w:rsid w:val="00A83AA1"/>
    <w:rsid w:val="00A86C3C"/>
    <w:rsid w:val="00A90C56"/>
    <w:rsid w:val="00A91446"/>
    <w:rsid w:val="00A9343A"/>
    <w:rsid w:val="00A9706C"/>
    <w:rsid w:val="00A973F4"/>
    <w:rsid w:val="00A97B34"/>
    <w:rsid w:val="00AA1B5C"/>
    <w:rsid w:val="00AA2482"/>
    <w:rsid w:val="00AA2484"/>
    <w:rsid w:val="00AA7A27"/>
    <w:rsid w:val="00AB3FB0"/>
    <w:rsid w:val="00AB465D"/>
    <w:rsid w:val="00AB6ACD"/>
    <w:rsid w:val="00AC114C"/>
    <w:rsid w:val="00AC1478"/>
    <w:rsid w:val="00AC4FDC"/>
    <w:rsid w:val="00AC6C2D"/>
    <w:rsid w:val="00AC6E17"/>
    <w:rsid w:val="00AD2FF3"/>
    <w:rsid w:val="00AD7764"/>
    <w:rsid w:val="00AD7FE2"/>
    <w:rsid w:val="00AE0DC7"/>
    <w:rsid w:val="00AE1284"/>
    <w:rsid w:val="00AE1B18"/>
    <w:rsid w:val="00AE7339"/>
    <w:rsid w:val="00AF1B0B"/>
    <w:rsid w:val="00AF242C"/>
    <w:rsid w:val="00AF26E0"/>
    <w:rsid w:val="00AF3CC4"/>
    <w:rsid w:val="00AF701D"/>
    <w:rsid w:val="00B05886"/>
    <w:rsid w:val="00B05903"/>
    <w:rsid w:val="00B05B2E"/>
    <w:rsid w:val="00B05DDE"/>
    <w:rsid w:val="00B12C7A"/>
    <w:rsid w:val="00B12E10"/>
    <w:rsid w:val="00B22073"/>
    <w:rsid w:val="00B22BC3"/>
    <w:rsid w:val="00B25865"/>
    <w:rsid w:val="00B272B6"/>
    <w:rsid w:val="00B2771B"/>
    <w:rsid w:val="00B32F2C"/>
    <w:rsid w:val="00B336E9"/>
    <w:rsid w:val="00B33AE5"/>
    <w:rsid w:val="00B34BDD"/>
    <w:rsid w:val="00B35BE5"/>
    <w:rsid w:val="00B3644E"/>
    <w:rsid w:val="00B46965"/>
    <w:rsid w:val="00B511E0"/>
    <w:rsid w:val="00B54ED0"/>
    <w:rsid w:val="00B550DF"/>
    <w:rsid w:val="00B55D47"/>
    <w:rsid w:val="00B6052E"/>
    <w:rsid w:val="00B61340"/>
    <w:rsid w:val="00B61976"/>
    <w:rsid w:val="00B6204E"/>
    <w:rsid w:val="00B62C94"/>
    <w:rsid w:val="00B649EC"/>
    <w:rsid w:val="00B64E2B"/>
    <w:rsid w:val="00B65F4C"/>
    <w:rsid w:val="00B728DD"/>
    <w:rsid w:val="00B72D43"/>
    <w:rsid w:val="00B74121"/>
    <w:rsid w:val="00B81022"/>
    <w:rsid w:val="00B813F3"/>
    <w:rsid w:val="00B82B6E"/>
    <w:rsid w:val="00B85FF0"/>
    <w:rsid w:val="00B86150"/>
    <w:rsid w:val="00B878F9"/>
    <w:rsid w:val="00B9044A"/>
    <w:rsid w:val="00B915D5"/>
    <w:rsid w:val="00B960F3"/>
    <w:rsid w:val="00B96A31"/>
    <w:rsid w:val="00BA05E6"/>
    <w:rsid w:val="00BA1346"/>
    <w:rsid w:val="00BA21D7"/>
    <w:rsid w:val="00BA51B0"/>
    <w:rsid w:val="00BA6319"/>
    <w:rsid w:val="00BC03B0"/>
    <w:rsid w:val="00BC06A3"/>
    <w:rsid w:val="00BC0CEA"/>
    <w:rsid w:val="00BC17FB"/>
    <w:rsid w:val="00BC2220"/>
    <w:rsid w:val="00BC26B9"/>
    <w:rsid w:val="00BC26FA"/>
    <w:rsid w:val="00BC4E01"/>
    <w:rsid w:val="00BC6AE3"/>
    <w:rsid w:val="00BC73F6"/>
    <w:rsid w:val="00BD1177"/>
    <w:rsid w:val="00BD1374"/>
    <w:rsid w:val="00BD3531"/>
    <w:rsid w:val="00BD4E35"/>
    <w:rsid w:val="00BD5192"/>
    <w:rsid w:val="00BE1A72"/>
    <w:rsid w:val="00BE34CA"/>
    <w:rsid w:val="00BF116A"/>
    <w:rsid w:val="00BF2920"/>
    <w:rsid w:val="00BF30F7"/>
    <w:rsid w:val="00C02213"/>
    <w:rsid w:val="00C03325"/>
    <w:rsid w:val="00C0623C"/>
    <w:rsid w:val="00C06A07"/>
    <w:rsid w:val="00C1074D"/>
    <w:rsid w:val="00C132B6"/>
    <w:rsid w:val="00C1599F"/>
    <w:rsid w:val="00C20BAB"/>
    <w:rsid w:val="00C21A6C"/>
    <w:rsid w:val="00C24A10"/>
    <w:rsid w:val="00C27003"/>
    <w:rsid w:val="00C27597"/>
    <w:rsid w:val="00C30C25"/>
    <w:rsid w:val="00C32BD4"/>
    <w:rsid w:val="00C32D1F"/>
    <w:rsid w:val="00C33E48"/>
    <w:rsid w:val="00C3618B"/>
    <w:rsid w:val="00C403FB"/>
    <w:rsid w:val="00C4316E"/>
    <w:rsid w:val="00C441A2"/>
    <w:rsid w:val="00C5076B"/>
    <w:rsid w:val="00C512D4"/>
    <w:rsid w:val="00C51CF4"/>
    <w:rsid w:val="00C531E2"/>
    <w:rsid w:val="00C55569"/>
    <w:rsid w:val="00C55D0D"/>
    <w:rsid w:val="00C57E34"/>
    <w:rsid w:val="00C64659"/>
    <w:rsid w:val="00C662E9"/>
    <w:rsid w:val="00C66C2D"/>
    <w:rsid w:val="00C66F47"/>
    <w:rsid w:val="00C7190B"/>
    <w:rsid w:val="00C735B7"/>
    <w:rsid w:val="00C74C2A"/>
    <w:rsid w:val="00C76852"/>
    <w:rsid w:val="00C77210"/>
    <w:rsid w:val="00C777FA"/>
    <w:rsid w:val="00C77989"/>
    <w:rsid w:val="00C81E51"/>
    <w:rsid w:val="00C82B0D"/>
    <w:rsid w:val="00C87B73"/>
    <w:rsid w:val="00C87C63"/>
    <w:rsid w:val="00C87FC6"/>
    <w:rsid w:val="00C92444"/>
    <w:rsid w:val="00C92FBB"/>
    <w:rsid w:val="00C93327"/>
    <w:rsid w:val="00C93C13"/>
    <w:rsid w:val="00C93DEA"/>
    <w:rsid w:val="00C97B4D"/>
    <w:rsid w:val="00CA22C2"/>
    <w:rsid w:val="00CA3722"/>
    <w:rsid w:val="00CA4E02"/>
    <w:rsid w:val="00CA5602"/>
    <w:rsid w:val="00CA5CA9"/>
    <w:rsid w:val="00CA78E2"/>
    <w:rsid w:val="00CB1BBE"/>
    <w:rsid w:val="00CB3E89"/>
    <w:rsid w:val="00CB65DB"/>
    <w:rsid w:val="00CB6BD9"/>
    <w:rsid w:val="00CC293A"/>
    <w:rsid w:val="00CD1557"/>
    <w:rsid w:val="00CD5FA4"/>
    <w:rsid w:val="00CE19F6"/>
    <w:rsid w:val="00CE50E3"/>
    <w:rsid w:val="00CF020A"/>
    <w:rsid w:val="00CF366B"/>
    <w:rsid w:val="00CF5D9D"/>
    <w:rsid w:val="00CF606C"/>
    <w:rsid w:val="00CF7423"/>
    <w:rsid w:val="00CF7A70"/>
    <w:rsid w:val="00D001F5"/>
    <w:rsid w:val="00D02C8A"/>
    <w:rsid w:val="00D03E80"/>
    <w:rsid w:val="00D03F61"/>
    <w:rsid w:val="00D11F27"/>
    <w:rsid w:val="00D15B9F"/>
    <w:rsid w:val="00D15DD6"/>
    <w:rsid w:val="00D16172"/>
    <w:rsid w:val="00D16A83"/>
    <w:rsid w:val="00D24198"/>
    <w:rsid w:val="00D25548"/>
    <w:rsid w:val="00D2601F"/>
    <w:rsid w:val="00D27759"/>
    <w:rsid w:val="00D30028"/>
    <w:rsid w:val="00D325D3"/>
    <w:rsid w:val="00D408D6"/>
    <w:rsid w:val="00D50AF0"/>
    <w:rsid w:val="00D511DD"/>
    <w:rsid w:val="00D52231"/>
    <w:rsid w:val="00D54907"/>
    <w:rsid w:val="00D559CE"/>
    <w:rsid w:val="00D55C2A"/>
    <w:rsid w:val="00D571C1"/>
    <w:rsid w:val="00D602F4"/>
    <w:rsid w:val="00D6457E"/>
    <w:rsid w:val="00D650A8"/>
    <w:rsid w:val="00D677B3"/>
    <w:rsid w:val="00D742E2"/>
    <w:rsid w:val="00D7580E"/>
    <w:rsid w:val="00D76CAF"/>
    <w:rsid w:val="00D857BA"/>
    <w:rsid w:val="00D85F56"/>
    <w:rsid w:val="00D87DAF"/>
    <w:rsid w:val="00D91E3B"/>
    <w:rsid w:val="00D923FB"/>
    <w:rsid w:val="00D9446D"/>
    <w:rsid w:val="00D96033"/>
    <w:rsid w:val="00D975B4"/>
    <w:rsid w:val="00D97FE2"/>
    <w:rsid w:val="00DA16EA"/>
    <w:rsid w:val="00DA2994"/>
    <w:rsid w:val="00DA3179"/>
    <w:rsid w:val="00DA3D64"/>
    <w:rsid w:val="00DB05DC"/>
    <w:rsid w:val="00DB08E8"/>
    <w:rsid w:val="00DB0DED"/>
    <w:rsid w:val="00DB3073"/>
    <w:rsid w:val="00DB3BA9"/>
    <w:rsid w:val="00DB50FE"/>
    <w:rsid w:val="00DB5EDA"/>
    <w:rsid w:val="00DC2349"/>
    <w:rsid w:val="00DC3026"/>
    <w:rsid w:val="00DC5E9A"/>
    <w:rsid w:val="00DD104F"/>
    <w:rsid w:val="00DD1EDB"/>
    <w:rsid w:val="00DD57AA"/>
    <w:rsid w:val="00DE1578"/>
    <w:rsid w:val="00DE5BE9"/>
    <w:rsid w:val="00DE6556"/>
    <w:rsid w:val="00DE7F67"/>
    <w:rsid w:val="00DF0529"/>
    <w:rsid w:val="00DF0D0F"/>
    <w:rsid w:val="00DF13D6"/>
    <w:rsid w:val="00DF27D2"/>
    <w:rsid w:val="00DF27D6"/>
    <w:rsid w:val="00DF2BEA"/>
    <w:rsid w:val="00DF4488"/>
    <w:rsid w:val="00DF4619"/>
    <w:rsid w:val="00DF5B98"/>
    <w:rsid w:val="00DF6FA8"/>
    <w:rsid w:val="00DF701E"/>
    <w:rsid w:val="00DF7BE5"/>
    <w:rsid w:val="00E00D49"/>
    <w:rsid w:val="00E019A8"/>
    <w:rsid w:val="00E03A46"/>
    <w:rsid w:val="00E03C6D"/>
    <w:rsid w:val="00E0476F"/>
    <w:rsid w:val="00E04899"/>
    <w:rsid w:val="00E0796F"/>
    <w:rsid w:val="00E21E88"/>
    <w:rsid w:val="00E24371"/>
    <w:rsid w:val="00E26641"/>
    <w:rsid w:val="00E2778F"/>
    <w:rsid w:val="00E27881"/>
    <w:rsid w:val="00E33023"/>
    <w:rsid w:val="00E331F3"/>
    <w:rsid w:val="00E34413"/>
    <w:rsid w:val="00E3498D"/>
    <w:rsid w:val="00E41F39"/>
    <w:rsid w:val="00E42425"/>
    <w:rsid w:val="00E43E55"/>
    <w:rsid w:val="00E4470A"/>
    <w:rsid w:val="00E4554E"/>
    <w:rsid w:val="00E46D22"/>
    <w:rsid w:val="00E4768F"/>
    <w:rsid w:val="00E478C5"/>
    <w:rsid w:val="00E53C0E"/>
    <w:rsid w:val="00E54CB1"/>
    <w:rsid w:val="00E54F7E"/>
    <w:rsid w:val="00E560CE"/>
    <w:rsid w:val="00E5674E"/>
    <w:rsid w:val="00E63783"/>
    <w:rsid w:val="00E650E2"/>
    <w:rsid w:val="00E66809"/>
    <w:rsid w:val="00E678F0"/>
    <w:rsid w:val="00E75CAD"/>
    <w:rsid w:val="00E76010"/>
    <w:rsid w:val="00E76922"/>
    <w:rsid w:val="00E8595B"/>
    <w:rsid w:val="00E86459"/>
    <w:rsid w:val="00E915EC"/>
    <w:rsid w:val="00EA11B1"/>
    <w:rsid w:val="00EA2224"/>
    <w:rsid w:val="00EA51AD"/>
    <w:rsid w:val="00EA7194"/>
    <w:rsid w:val="00EB02F8"/>
    <w:rsid w:val="00EB1329"/>
    <w:rsid w:val="00EB2987"/>
    <w:rsid w:val="00EB2D75"/>
    <w:rsid w:val="00EB34BE"/>
    <w:rsid w:val="00EB43AD"/>
    <w:rsid w:val="00EB571A"/>
    <w:rsid w:val="00EC2804"/>
    <w:rsid w:val="00EC6138"/>
    <w:rsid w:val="00ED1DCF"/>
    <w:rsid w:val="00ED43C9"/>
    <w:rsid w:val="00ED7460"/>
    <w:rsid w:val="00EE26C7"/>
    <w:rsid w:val="00EE2C60"/>
    <w:rsid w:val="00EE2E58"/>
    <w:rsid w:val="00EE487A"/>
    <w:rsid w:val="00EE734C"/>
    <w:rsid w:val="00EF6907"/>
    <w:rsid w:val="00EF6D91"/>
    <w:rsid w:val="00F01F54"/>
    <w:rsid w:val="00F04831"/>
    <w:rsid w:val="00F04975"/>
    <w:rsid w:val="00F04C70"/>
    <w:rsid w:val="00F04D4D"/>
    <w:rsid w:val="00F11DD8"/>
    <w:rsid w:val="00F12745"/>
    <w:rsid w:val="00F13766"/>
    <w:rsid w:val="00F16273"/>
    <w:rsid w:val="00F20A77"/>
    <w:rsid w:val="00F22C60"/>
    <w:rsid w:val="00F231A4"/>
    <w:rsid w:val="00F23252"/>
    <w:rsid w:val="00F27B2A"/>
    <w:rsid w:val="00F27C54"/>
    <w:rsid w:val="00F345D3"/>
    <w:rsid w:val="00F356ED"/>
    <w:rsid w:val="00F35909"/>
    <w:rsid w:val="00F359B5"/>
    <w:rsid w:val="00F35BA9"/>
    <w:rsid w:val="00F37183"/>
    <w:rsid w:val="00F4144F"/>
    <w:rsid w:val="00F433F3"/>
    <w:rsid w:val="00F47F64"/>
    <w:rsid w:val="00F522D9"/>
    <w:rsid w:val="00F52F54"/>
    <w:rsid w:val="00F53584"/>
    <w:rsid w:val="00F53DC2"/>
    <w:rsid w:val="00F5449B"/>
    <w:rsid w:val="00F61B24"/>
    <w:rsid w:val="00F62CED"/>
    <w:rsid w:val="00F62DE5"/>
    <w:rsid w:val="00F63F8A"/>
    <w:rsid w:val="00F703DC"/>
    <w:rsid w:val="00F71D06"/>
    <w:rsid w:val="00F73B46"/>
    <w:rsid w:val="00F73D01"/>
    <w:rsid w:val="00F73DEE"/>
    <w:rsid w:val="00F755FF"/>
    <w:rsid w:val="00F7642B"/>
    <w:rsid w:val="00F76A43"/>
    <w:rsid w:val="00F77753"/>
    <w:rsid w:val="00F80334"/>
    <w:rsid w:val="00F83855"/>
    <w:rsid w:val="00F83DF9"/>
    <w:rsid w:val="00F85DA0"/>
    <w:rsid w:val="00F930AF"/>
    <w:rsid w:val="00F9352C"/>
    <w:rsid w:val="00F93C59"/>
    <w:rsid w:val="00F975B0"/>
    <w:rsid w:val="00F97F74"/>
    <w:rsid w:val="00FA15F1"/>
    <w:rsid w:val="00FA19F5"/>
    <w:rsid w:val="00FA4A69"/>
    <w:rsid w:val="00FA649A"/>
    <w:rsid w:val="00FB1248"/>
    <w:rsid w:val="00FB1FA9"/>
    <w:rsid w:val="00FB208D"/>
    <w:rsid w:val="00FB3CF4"/>
    <w:rsid w:val="00FB4A27"/>
    <w:rsid w:val="00FB4A49"/>
    <w:rsid w:val="00FB69B3"/>
    <w:rsid w:val="00FC6FBE"/>
    <w:rsid w:val="00FD1162"/>
    <w:rsid w:val="00FD2232"/>
    <w:rsid w:val="00FD4AE7"/>
    <w:rsid w:val="00FD65A9"/>
    <w:rsid w:val="00FD7508"/>
    <w:rsid w:val="00FE1E51"/>
    <w:rsid w:val="00FE2496"/>
    <w:rsid w:val="00FE522D"/>
    <w:rsid w:val="00FE6A2B"/>
    <w:rsid w:val="00FE6BD5"/>
    <w:rsid w:val="00FF0275"/>
    <w:rsid w:val="00FF0718"/>
    <w:rsid w:val="00FF07B3"/>
    <w:rsid w:val="00FF1E37"/>
    <w:rsid w:val="00FF2F95"/>
    <w:rsid w:val="00FF5DC8"/>
    <w:rsid w:val="00FF60B1"/>
    <w:rsid w:val="00FF76AA"/>
    <w:rsid w:val="00FF7FE8"/>
    <w:rsid w:val="0B2D79F3"/>
    <w:rsid w:val="0D2140DF"/>
    <w:rsid w:val="18E305F3"/>
    <w:rsid w:val="1AC47300"/>
    <w:rsid w:val="1F2B01B1"/>
    <w:rsid w:val="225B3474"/>
    <w:rsid w:val="29AC63C5"/>
    <w:rsid w:val="2C4E2ECE"/>
    <w:rsid w:val="30FD3114"/>
    <w:rsid w:val="32001FA9"/>
    <w:rsid w:val="38CC7A0B"/>
    <w:rsid w:val="398C629A"/>
    <w:rsid w:val="3B217306"/>
    <w:rsid w:val="3DB16560"/>
    <w:rsid w:val="3E2B7D36"/>
    <w:rsid w:val="409E549C"/>
    <w:rsid w:val="4FF4136B"/>
    <w:rsid w:val="53302F35"/>
    <w:rsid w:val="58D61AB2"/>
    <w:rsid w:val="58DF17B7"/>
    <w:rsid w:val="5DFE70FF"/>
    <w:rsid w:val="5E1C3ED8"/>
    <w:rsid w:val="6494769F"/>
    <w:rsid w:val="66AF27DD"/>
    <w:rsid w:val="69847B7E"/>
    <w:rsid w:val="6E9C573F"/>
    <w:rsid w:val="70E108B8"/>
    <w:rsid w:val="74AF2EE8"/>
    <w:rsid w:val="755802CB"/>
    <w:rsid w:val="76E47B8D"/>
    <w:rsid w:val="799F4335"/>
    <w:rsid w:val="7D08410F"/>
    <w:rsid w:val="B8F3A5B6"/>
    <w:rsid w:val="FFDD5F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12">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link w:val="15"/>
    <w:uiPriority w:val="0"/>
    <w:pPr>
      <w:ind w:firstLine="645"/>
    </w:pPr>
    <w:rPr>
      <w:rFonts w:ascii="仿宋_GB2312" w:hAnsi="Calibri" w:eastAsia="仿宋_GB2312"/>
      <w:sz w:val="32"/>
      <w:szCs w:val="32"/>
    </w:rPr>
  </w:style>
  <w:style w:type="paragraph" w:styleId="5">
    <w:name w:val="Date"/>
    <w:basedOn w:val="1"/>
    <w:next w:val="1"/>
    <w:link w:val="16"/>
    <w:uiPriority w:val="0"/>
    <w:pPr>
      <w:ind w:left="100" w:leftChars="2500"/>
    </w:pPr>
  </w:style>
  <w:style w:type="paragraph" w:styleId="6">
    <w:name w:val="Balloon Text"/>
    <w:basedOn w:val="1"/>
    <w:link w:val="17"/>
    <w:semiHidden/>
    <w:qFormat/>
    <w:uiPriority w:val="0"/>
    <w:rPr>
      <w:sz w:val="18"/>
      <w:szCs w:val="18"/>
    </w:rPr>
  </w:style>
  <w:style w:type="paragraph" w:styleId="7">
    <w:name w:val="footer"/>
    <w:basedOn w:val="1"/>
    <w:link w:val="18"/>
    <w:uiPriority w:val="0"/>
    <w:pPr>
      <w:tabs>
        <w:tab w:val="center" w:pos="4153"/>
        <w:tab w:val="right" w:pos="8306"/>
      </w:tabs>
      <w:snapToGrid w:val="0"/>
      <w:jc w:val="left"/>
    </w:pPr>
    <w:rPr>
      <w:sz w:val="18"/>
      <w:szCs w:val="18"/>
    </w:rPr>
  </w:style>
  <w:style w:type="paragraph" w:styleId="8">
    <w:name w:val="header"/>
    <w:basedOn w:val="1"/>
    <w:link w:val="19"/>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uiPriority w:val="0"/>
    <w:pPr>
      <w:spacing w:before="100" w:beforeAutospacing="1" w:after="100" w:afterAutospacing="1"/>
      <w:ind w:right="238"/>
      <w:jc w:val="left"/>
    </w:pPr>
    <w:rPr>
      <w:b/>
      <w:kern w:val="0"/>
      <w:sz w:val="24"/>
      <w:szCs w:val="20"/>
    </w:rPr>
  </w:style>
  <w:style w:type="paragraph" w:styleId="10">
    <w:name w:val="Body Text First Indent 2"/>
    <w:basedOn w:val="4"/>
    <w:qFormat/>
    <w:uiPriority w:val="0"/>
    <w:pPr>
      <w:ind w:firstLine="420" w:firstLineChars="200"/>
    </w:pPr>
  </w:style>
  <w:style w:type="character" w:styleId="13">
    <w:name w:val="Strong"/>
    <w:qFormat/>
    <w:uiPriority w:val="0"/>
    <w:rPr>
      <w:b/>
    </w:rPr>
  </w:style>
  <w:style w:type="character" w:styleId="14">
    <w:name w:val="page number"/>
    <w:uiPriority w:val="0"/>
  </w:style>
  <w:style w:type="character" w:customStyle="1" w:styleId="15">
    <w:name w:val="正文文本缩进 Char"/>
    <w:link w:val="4"/>
    <w:uiPriority w:val="0"/>
    <w:rPr>
      <w:rFonts w:ascii="仿宋_GB2312" w:hAnsi="Calibri" w:eastAsia="仿宋_GB2312"/>
      <w:kern w:val="2"/>
      <w:sz w:val="32"/>
      <w:szCs w:val="32"/>
    </w:rPr>
  </w:style>
  <w:style w:type="character" w:customStyle="1" w:styleId="16">
    <w:name w:val="日期 Char"/>
    <w:link w:val="5"/>
    <w:uiPriority w:val="0"/>
    <w:rPr>
      <w:kern w:val="2"/>
      <w:sz w:val="21"/>
      <w:szCs w:val="24"/>
    </w:rPr>
  </w:style>
  <w:style w:type="character" w:customStyle="1" w:styleId="17">
    <w:name w:val="批注框文本 Char"/>
    <w:link w:val="6"/>
    <w:semiHidden/>
    <w:uiPriority w:val="0"/>
    <w:rPr>
      <w:kern w:val="2"/>
      <w:sz w:val="18"/>
      <w:szCs w:val="18"/>
    </w:rPr>
  </w:style>
  <w:style w:type="character" w:customStyle="1" w:styleId="18">
    <w:name w:val="页脚 Char"/>
    <w:link w:val="7"/>
    <w:uiPriority w:val="0"/>
    <w:rPr>
      <w:rFonts w:eastAsia="宋体"/>
      <w:kern w:val="2"/>
      <w:sz w:val="18"/>
      <w:szCs w:val="18"/>
      <w:lang w:val="en-US" w:eastAsia="zh-CN" w:bidi="ar-SA"/>
    </w:rPr>
  </w:style>
  <w:style w:type="character" w:customStyle="1" w:styleId="19">
    <w:name w:val="页眉 Char"/>
    <w:link w:val="8"/>
    <w:uiPriority w:val="0"/>
    <w:rPr>
      <w:rFonts w:ascii="Calibri" w:hAnsi="Calibri" w:eastAsia="宋体"/>
      <w:kern w:val="2"/>
      <w:sz w:val="18"/>
      <w:szCs w:val="18"/>
      <w:lang w:val="en-US" w:eastAsia="zh-CN" w:bidi="ar-SA"/>
    </w:rPr>
  </w:style>
  <w:style w:type="paragraph" w:customStyle="1" w:styleId="20">
    <w:name w:val=" Char Char Char Char Char Char Char"/>
    <w:basedOn w:val="1"/>
    <w:qFormat/>
    <w:uiPriority w:val="0"/>
    <w:rPr>
      <w:rFonts w:ascii="Tahoma" w:hAnsi="Tahoma"/>
      <w:sz w:val="24"/>
      <w:szCs w:val="20"/>
    </w:rPr>
  </w:style>
  <w:style w:type="paragraph" w:customStyle="1" w:styleId="21">
    <w:name w:val="Char1 Char Char Char"/>
    <w:basedOn w:val="1"/>
    <w:uiPriority w:val="0"/>
    <w:pPr>
      <w:widowControl/>
      <w:spacing w:after="160" w:line="240" w:lineRule="exact"/>
      <w:jc w:val="left"/>
    </w:pPr>
    <w:rPr>
      <w:szCs w:val="20"/>
    </w:rPr>
  </w:style>
  <w:style w:type="paragraph" w:customStyle="1" w:styleId="22">
    <w:name w:val="Char"/>
    <w:basedOn w:val="1"/>
    <w:uiPriority w:val="0"/>
    <w:rPr>
      <w:rFonts w:ascii="Tahoma" w:hAnsi="Tahoma"/>
      <w:sz w:val="24"/>
      <w:szCs w:val="20"/>
    </w:rPr>
  </w:style>
  <w:style w:type="paragraph" w:customStyle="1" w:styleId="23">
    <w:name w:val="Char Char3 Char Char"/>
    <w:basedOn w:val="1"/>
    <w:uiPriority w:val="0"/>
    <w:rPr>
      <w:szCs w:val="21"/>
    </w:rPr>
  </w:style>
  <w:style w:type="paragraph" w:customStyle="1" w:styleId="24">
    <w:name w:val="Char Char Char Char Char Char Char"/>
    <w:basedOn w:val="1"/>
    <w:uiPriority w:val="0"/>
    <w:rPr>
      <w:rFonts w:ascii="Tahoma" w:hAnsi="Tahoma"/>
      <w:sz w:val="24"/>
      <w:szCs w:val="20"/>
    </w:rPr>
  </w:style>
  <w:style w:type="paragraph" w:customStyle="1" w:styleId="2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2443</Words>
  <Characters>13928</Characters>
  <Lines>116</Lines>
  <Paragraphs>32</Paragraphs>
  <TotalTime>5</TotalTime>
  <ScaleCrop>false</ScaleCrop>
  <LinksUpToDate>false</LinksUpToDate>
  <CharactersWithSpaces>16339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2017-07-07T07:16:00Z</dcterms:created>
  <dc:creator>常程</dc:creator>
  <cp:lastModifiedBy>一小蝶儿豆腐</cp:lastModifiedBy>
  <cp:lastPrinted>2023-10-24T06:58:48Z</cp:lastPrinted>
  <dcterms:modified xsi:type="dcterms:W3CDTF">2023-10-24T07:02:55Z</dcterms:modified>
  <dc:title>北京市财政局关于做好向市人大常委会报送2015年度市级部门决算（草案）</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6F434D5033B54D60AF64D788A3792573_13</vt:lpwstr>
  </property>
</Properties>
</file>