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246"/>
        <w:gridCol w:w="484"/>
        <w:gridCol w:w="236"/>
        <w:gridCol w:w="236"/>
        <w:gridCol w:w="394"/>
        <w:gridCol w:w="806"/>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bookmarkStart w:id="0" w:name="_GoBack"/>
            <w:bookmarkEnd w:id="0"/>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北臧村镇自然灾害综合风险普查城乡房屋建筑承灾体调查项目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3089"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镇政府</w:t>
            </w: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350"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07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规划科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24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350"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80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r>
              <w:rPr>
                <w:rFonts w:hint="eastAsia" w:ascii="宋体" w:hAnsi="宋体" w:cs="宋体"/>
                <w:color w:val="000000"/>
                <w:kern w:val="0"/>
                <w:sz w:val="24"/>
                <w:szCs w:val="22"/>
              </w:rPr>
              <w:t>（10分）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2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1025000元</w:t>
            </w:r>
          </w:p>
        </w:tc>
        <w:tc>
          <w:tcPr>
            <w:tcW w:w="1350"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1025000元</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4"/>
                <w:lang w:val="en-US"/>
              </w:rPr>
            </w:pPr>
            <w:r>
              <w:rPr>
                <w:rFonts w:hint="eastAsia" w:ascii="宋体" w:hAnsi="宋体" w:cs="宋体"/>
                <w:i w:val="0"/>
                <w:iCs w:val="0"/>
                <w:color w:val="000000"/>
                <w:kern w:val="0"/>
                <w:sz w:val="20"/>
                <w:szCs w:val="20"/>
                <w:u w:val="none"/>
                <w:lang w:val="en-US" w:eastAsia="zh-CN" w:bidi="ar"/>
              </w:rPr>
              <w:t>100%</w:t>
            </w:r>
          </w:p>
        </w:tc>
        <w:tc>
          <w:tcPr>
            <w:tcW w:w="1276"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2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1025000元</w:t>
            </w:r>
          </w:p>
        </w:tc>
        <w:tc>
          <w:tcPr>
            <w:tcW w:w="1350"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1025000元</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24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350"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753"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根据《北京市大兴区人民政府办公室关于开展第一次全国自然灾害综合风险普查的通知》（京兴政办发〔2021〕4号）要求，完成我镇自然灾害综合风险普查城乡房屋建筑承灾体调查工作。</w:t>
            </w:r>
          </w:p>
        </w:tc>
        <w:tc>
          <w:tcPr>
            <w:tcW w:w="4424" w:type="dxa"/>
            <w:gridSpan w:val="7"/>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ascii="宋体" w:hAnsi="宋体" w:cs="宋体"/>
                <w:color w:val="000000"/>
                <w:kern w:val="0"/>
                <w:sz w:val="24"/>
              </w:rPr>
            </w:pPr>
            <w:r>
              <w:rPr>
                <w:rFonts w:hint="eastAsia" w:ascii="宋体" w:hAnsi="宋体" w:cs="宋体"/>
                <w:i w:val="0"/>
                <w:iCs w:val="0"/>
                <w:color w:val="000000"/>
                <w:kern w:val="0"/>
                <w:sz w:val="20"/>
                <w:szCs w:val="20"/>
                <w:u w:val="none"/>
                <w:lang w:val="en-US" w:eastAsia="zh-CN" w:bidi="ar"/>
              </w:rPr>
              <w:t>已</w:t>
            </w:r>
            <w:r>
              <w:rPr>
                <w:rFonts w:hint="eastAsia" w:ascii="宋体" w:hAnsi="宋体" w:eastAsia="宋体" w:cs="宋体"/>
                <w:i w:val="0"/>
                <w:iCs w:val="0"/>
                <w:color w:val="000000"/>
                <w:kern w:val="0"/>
                <w:sz w:val="20"/>
                <w:szCs w:val="20"/>
                <w:u w:val="none"/>
                <w:lang w:val="en-US" w:eastAsia="zh-CN" w:bidi="ar"/>
              </w:rPr>
              <w:t>完成我镇自然灾害综合风险普查城乡房屋建筑承灾体调查工作。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24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350"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产出指标</w:t>
            </w:r>
            <w:r>
              <w:rPr>
                <w:rFonts w:hint="eastAsia" w:ascii="宋体" w:hAnsi="宋体" w:cs="宋体"/>
                <w:i w:val="0"/>
                <w:iCs w:val="0"/>
                <w:color w:val="000000"/>
                <w:kern w:val="0"/>
                <w:sz w:val="20"/>
                <w:szCs w:val="20"/>
                <w:u w:val="none"/>
                <w:lang w:val="en-US" w:eastAsia="zh-CN" w:bidi="ar"/>
              </w:rPr>
              <w:t>（55分）</w:t>
            </w:r>
          </w:p>
        </w:tc>
        <w:tc>
          <w:tcPr>
            <w:tcW w:w="1381" w:type="dxa"/>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承灾体单体调查栋数</w:t>
            </w:r>
          </w:p>
        </w:tc>
        <w:tc>
          <w:tcPr>
            <w:tcW w:w="1246" w:type="dxa"/>
            <w:tcBorders>
              <w:top w:val="single" w:color="auto" w:sz="4" w:space="0"/>
              <w:left w:val="single" w:color="auto" w:sz="4" w:space="0"/>
              <w:bottom w:val="single" w:color="auto" w:sz="4" w:space="0"/>
              <w:right w:val="single" w:color="000000" w:sz="4" w:space="0"/>
            </w:tcBorders>
            <w:vAlign w:val="center"/>
          </w:tcPr>
          <w:p>
            <w:pPr>
              <w:jc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2.28万栋</w:t>
            </w:r>
          </w:p>
        </w:tc>
        <w:tc>
          <w:tcPr>
            <w:tcW w:w="1350" w:type="dxa"/>
            <w:gridSpan w:val="4"/>
            <w:tcBorders>
              <w:top w:val="single" w:color="auto" w:sz="4" w:space="0"/>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2.28万栋</w:t>
            </w:r>
          </w:p>
        </w:tc>
        <w:tc>
          <w:tcPr>
            <w:tcW w:w="8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10</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6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调查完成率</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100%</w:t>
            </w:r>
          </w:p>
        </w:tc>
        <w:tc>
          <w:tcPr>
            <w:tcW w:w="135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0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验收通过率</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135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时效指标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计划开始时间</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2021年10月30日</w:t>
            </w:r>
          </w:p>
        </w:tc>
        <w:tc>
          <w:tcPr>
            <w:tcW w:w="1350"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计划完成时间</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2022年3月30日</w:t>
            </w:r>
          </w:p>
        </w:tc>
        <w:tc>
          <w:tcPr>
            <w:tcW w:w="1350"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9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实施持续时间</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5个月</w:t>
            </w:r>
          </w:p>
        </w:tc>
        <w:tc>
          <w:tcPr>
            <w:tcW w:w="1350" w:type="dxa"/>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项目预算控制数</w:t>
            </w:r>
          </w:p>
        </w:tc>
        <w:tc>
          <w:tcPr>
            <w:tcW w:w="1246" w:type="dxa"/>
            <w:tcBorders>
              <w:top w:val="single" w:color="auto" w:sz="4" w:space="0"/>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2078130元</w:t>
            </w:r>
          </w:p>
        </w:tc>
        <w:tc>
          <w:tcPr>
            <w:tcW w:w="135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w:t>
            </w:r>
            <w:r>
              <w:rPr>
                <w:rFonts w:hint="eastAsia" w:ascii="宋体" w:hAnsi="宋体" w:cs="宋体"/>
                <w:kern w:val="0"/>
                <w:sz w:val="24"/>
                <w:lang w:val="en-US" w:eastAsia="zh-CN"/>
              </w:rPr>
              <w:t>5</w:t>
            </w:r>
            <w:r>
              <w:rPr>
                <w:rFonts w:hint="eastAsia" w:ascii="宋体" w:hAnsi="宋体" w:cs="宋体"/>
                <w:kern w:val="0"/>
                <w:sz w:val="24"/>
              </w:rPr>
              <w:t>分)</w:t>
            </w:r>
          </w:p>
        </w:tc>
        <w:tc>
          <w:tcPr>
            <w:tcW w:w="138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社会效益指标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承灾体防灾提升率</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有所提升</w:t>
            </w:r>
          </w:p>
        </w:tc>
        <w:tc>
          <w:tcPr>
            <w:tcW w:w="135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生态效益指标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自然灾害预防</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有所提升</w:t>
            </w:r>
          </w:p>
        </w:tc>
        <w:tc>
          <w:tcPr>
            <w:tcW w:w="1350"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社会评价及廉政反馈情况</w:t>
            </w:r>
          </w:p>
        </w:tc>
        <w:tc>
          <w:tcPr>
            <w:tcW w:w="1246" w:type="dxa"/>
            <w:tcBorders>
              <w:top w:val="single" w:color="auto" w:sz="4" w:space="0"/>
              <w:left w:val="nil"/>
              <w:bottom w:val="single" w:color="auto" w:sz="4" w:space="0"/>
              <w:right w:val="single" w:color="auto" w:sz="4" w:space="0"/>
            </w:tcBorders>
            <w:vAlign w:val="center"/>
          </w:tcPr>
          <w:p>
            <w:pPr>
              <w:jc w:val="center"/>
            </w:pPr>
            <w:r>
              <w:rPr>
                <w:rFonts w:hint="eastAsia"/>
              </w:rPr>
              <w:t>比较满意</w:t>
            </w:r>
          </w:p>
        </w:tc>
        <w:tc>
          <w:tcPr>
            <w:tcW w:w="1350"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可持续影响指标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建立房屋建筑灾害风险基础数据库</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长期</w:t>
            </w:r>
          </w:p>
        </w:tc>
        <w:tc>
          <w:tcPr>
            <w:tcW w:w="135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主管部门满意度</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≥95%</w:t>
            </w:r>
          </w:p>
        </w:tc>
        <w:tc>
          <w:tcPr>
            <w:tcW w:w="135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nil"/>
              <w:left w:val="single" w:color="auto" w:sz="4" w:space="0"/>
              <w:bottom w:val="single" w:color="auto" w:sz="4" w:space="0"/>
              <w:right w:val="single" w:color="auto" w:sz="4" w:space="0"/>
            </w:tcBorders>
            <w:vAlign w:val="center"/>
          </w:tcPr>
          <w:p>
            <w:pPr>
              <w:jc w:val="center"/>
              <w:rPr>
                <w:rFonts w:hint="eastAsia"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居民满意度</w:t>
            </w:r>
          </w:p>
        </w:tc>
        <w:tc>
          <w:tcPr>
            <w:tcW w:w="1246"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≥95%</w:t>
            </w:r>
          </w:p>
        </w:tc>
        <w:tc>
          <w:tcPr>
            <w:tcW w:w="1350" w:type="dxa"/>
            <w:gridSpan w:val="4"/>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53"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54" w:hRule="atLeast"/>
        </w:trPr>
        <w:tc>
          <w:tcPr>
            <w:tcW w:w="11023" w:type="dxa"/>
            <w:gridSpan w:val="12"/>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ZmEyMmMyYWNjODI5NTY5ODU0YTIwY2VjYjQyNzg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2420CA3"/>
    <w:rsid w:val="09FD0D99"/>
    <w:rsid w:val="22D56551"/>
    <w:rsid w:val="2CF077F9"/>
    <w:rsid w:val="325C2CBB"/>
    <w:rsid w:val="33554BCC"/>
    <w:rsid w:val="3BA80795"/>
    <w:rsid w:val="4F6F3786"/>
    <w:rsid w:val="52D414EB"/>
    <w:rsid w:val="53C17A19"/>
    <w:rsid w:val="5CD61BFF"/>
    <w:rsid w:val="5D6D2549"/>
    <w:rsid w:val="64AA2E81"/>
    <w:rsid w:val="6FCE6041"/>
    <w:rsid w:val="74865314"/>
    <w:rsid w:val="74BF20A3"/>
    <w:rsid w:val="795B44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994</Words>
  <Characters>1153</Characters>
  <Lines>8</Lines>
  <Paragraphs>2</Paragraphs>
  <TotalTime>0</TotalTime>
  <ScaleCrop>false</ScaleCrop>
  <LinksUpToDate>false</LinksUpToDate>
  <CharactersWithSpaces>1198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2023-04-24T08:27:25Z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1E54EF1910DD415C81B8DE4015556119</vt:lpwstr>
  </property>
</Properties>
</file>