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9"/>
        <w:gridCol w:w="1257"/>
        <w:gridCol w:w="1837"/>
        <w:gridCol w:w="1837"/>
        <w:gridCol w:w="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84" w:hRule="atLeast"/>
        </w:trPr>
        <w:tc>
          <w:tcPr>
            <w:tcW w:w="11023" w:type="dxa"/>
            <w:gridSpan w:val="13"/>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11" w:hRule="atLeast"/>
        </w:trPr>
        <w:tc>
          <w:tcPr>
            <w:tcW w:w="11023" w:type="dxa"/>
            <w:gridSpan w:val="13"/>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3</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5"/>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10"/>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劳务派遣人员经费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roun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9264;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C8dTW10QEAAK0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OC4eglBUA/KZDvvWT5&#10;Ekk1T+PNSzFOSc6sottQdtUzg7F/40lFWE+1FMmvIpfdIcgL9egYsehyU7j60EzUym/zW4bu53NF&#10;er5lm+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hi2Yw1wAAAAkBAAAPAAAAAAAAAAEAIAAAACIA&#10;AABkcnMvZG93bnJldi54bWxQSwECFAAUAAAACACHTuJAvHU1tdEBAACtAwAADgAAAAAAAAABACAA&#10;AAAmAQAAZHJzL2Uyb0RvYy54bWxQSwUGAAAAAAYABgBZAQAAaQUAAAAA&#10;">
                      <v:fill on="f" focussize="0,0"/>
                      <v:stroke color="#000000" joinstyle="round"/>
                      <v:imagedata o:title=""/>
                      <o:lock v:ext="edit" aspectratio="f"/>
                    </v:shape>
                  </w:pict>
                </mc:Fallback>
              </mc:AlternateContent>
            </w:r>
            <w:r>
              <w:rPr>
                <w:rFonts w:hint="eastAsia" w:ascii="宋体" w:hAnsi="宋体" w:cs="宋体"/>
                <w:color w:val="000000"/>
                <w:kern w:val="0"/>
                <w:sz w:val="24"/>
                <w:szCs w:val="22"/>
                <w:lang w:val="en-US" w:eastAsia="zh-CN" w:bidi="ar-SA"/>
              </w:rPr>
              <w:t>北臧村镇人民政府</w:t>
            </w:r>
          </w:p>
        </w:tc>
        <w:tc>
          <w:tcPr>
            <w:tcW w:w="1276"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社保所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4"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2260.9</w:t>
            </w:r>
          </w:p>
        </w:tc>
        <w:tc>
          <w:tcPr>
            <w:tcW w:w="1276" w:type="dxa"/>
            <w:gridSpan w:val="4"/>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2202.03</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97.4%</w:t>
            </w:r>
            <w:r>
              <w:rPr>
                <w:rFonts w:hint="eastAsia" w:ascii="宋体" w:hAnsi="宋体" w:cs="宋体"/>
                <w:color w:val="000000"/>
                <w:kern w:val="0"/>
                <w:sz w:val="24"/>
              </w:rPr>
              <w:t>　</w:t>
            </w:r>
          </w:p>
        </w:tc>
        <w:tc>
          <w:tcPr>
            <w:tcW w:w="1276" w:type="dxa"/>
            <w:gridSpan w:val="2"/>
            <w:tcBorders>
              <w:top w:val="nil"/>
              <w:left w:val="nil"/>
              <w:bottom w:val="single" w:color="auto" w:sz="4" w:space="0"/>
              <w:right w:val="single" w:color="auto" w:sz="4" w:space="0"/>
            </w:tcBorders>
            <w:vAlign w:val="center"/>
          </w:tcPr>
          <w:p>
            <w:pPr>
              <w:widowControl/>
              <w:ind w:firstLine="480" w:firstLineChars="200"/>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lang w:val="en-US" w:eastAsia="zh-CN"/>
              </w:rPr>
              <w:t>2260.9</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2202.03</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97.4%</w:t>
            </w:r>
            <w:r>
              <w:rPr>
                <w:rFonts w:hint="eastAsia" w:ascii="宋体" w:hAnsi="宋体" w:cs="宋体"/>
                <w:color w:val="000000"/>
                <w:kern w:val="0"/>
                <w:sz w:val="24"/>
              </w:rPr>
              <w:t>　</w:t>
            </w:r>
          </w:p>
        </w:tc>
        <w:tc>
          <w:tcPr>
            <w:tcW w:w="1276"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年初设定目标：</w:t>
            </w:r>
          </w:p>
          <w:p>
            <w:pPr>
              <w:widowControl/>
              <w:jc w:val="center"/>
              <w:rPr>
                <w:rFonts w:ascii="宋体" w:hAnsi="宋体" w:cs="宋体"/>
                <w:color w:val="000000"/>
                <w:kern w:val="0"/>
                <w:sz w:val="24"/>
              </w:rPr>
            </w:pPr>
            <w:r>
              <w:rPr>
                <w:rFonts w:hint="eastAsia" w:ascii="宋体" w:hAnsi="宋体" w:cs="宋体"/>
                <w:color w:val="000000"/>
                <w:kern w:val="0"/>
                <w:sz w:val="24"/>
                <w:lang w:eastAsia="zh-CN"/>
              </w:rPr>
              <w:t>通过聘请劳务派遣人员开展辅助承担一定行政管理和行政服务职能工作，保障镇域内各项事项的正常开展，提升北臧村镇公共服务水平。</w:t>
            </w:r>
          </w:p>
        </w:tc>
        <w:tc>
          <w:tcPr>
            <w:tcW w:w="4536" w:type="dxa"/>
            <w:gridSpan w:val="8"/>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年度总体目标完成情况综述：</w:t>
            </w:r>
          </w:p>
          <w:p>
            <w:pPr>
              <w:widowControl/>
              <w:jc w:val="center"/>
              <w:rPr>
                <w:rFonts w:ascii="宋体" w:hAnsi="宋体" w:cs="宋体"/>
                <w:color w:val="000000"/>
                <w:kern w:val="0"/>
                <w:sz w:val="24"/>
              </w:rPr>
            </w:pPr>
            <w:r>
              <w:rPr>
                <w:rFonts w:hint="eastAsia" w:ascii="宋体" w:hAnsi="宋体" w:cs="宋体"/>
                <w:color w:val="000000"/>
                <w:kern w:val="0"/>
                <w:sz w:val="24"/>
                <w:lang w:eastAsia="zh-CN"/>
              </w:rPr>
              <w:t>通过聘请劳务派遣人员开展辅助承担一定行政管理和行政服务职能工作，保障镇域内各项事项的正常开展，提升北臧村镇公共服务水平。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w:t>
            </w:r>
            <w:r>
              <w:rPr>
                <w:rFonts w:hint="eastAsia" w:ascii="宋体" w:hAnsi="宋体" w:cs="宋体"/>
                <w:color w:val="000000"/>
                <w:kern w:val="0"/>
                <w:sz w:val="24"/>
                <w:lang w:eastAsia="zh-CN"/>
              </w:rPr>
              <w:t>完成</w:t>
            </w:r>
            <w:r>
              <w:rPr>
                <w:rFonts w:hint="eastAsia" w:ascii="宋体" w:hAnsi="宋体" w:cs="宋体"/>
                <w:color w:val="000000"/>
                <w:kern w:val="0"/>
                <w:sz w:val="24"/>
              </w:rPr>
              <w:t>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rPr>
              <w:t>产</w:t>
            </w:r>
          </w:p>
          <w:p>
            <w:pPr>
              <w:widowControl/>
              <w:jc w:val="center"/>
              <w:rPr>
                <w:rFonts w:hint="eastAsia" w:ascii="宋体" w:hAnsi="宋体" w:eastAsia="宋体" w:cs="宋体"/>
                <w:kern w:val="0"/>
                <w:sz w:val="24"/>
                <w:lang w:eastAsia="zh-CN"/>
              </w:rPr>
            </w:pPr>
            <w:r>
              <w:rPr>
                <w:rFonts w:hint="eastAsia" w:ascii="宋体" w:hAnsi="宋体" w:cs="宋体"/>
                <w:kern w:val="0"/>
                <w:sz w:val="24"/>
              </w:rPr>
              <w:t>出</w:t>
            </w:r>
          </w:p>
          <w:p>
            <w:pPr>
              <w:widowControl/>
              <w:jc w:val="center"/>
              <w:rPr>
                <w:rFonts w:hint="eastAsia" w:ascii="宋体" w:hAnsi="宋体" w:eastAsia="宋体" w:cs="宋体"/>
                <w:kern w:val="0"/>
                <w:sz w:val="24"/>
                <w:lang w:eastAsia="zh-CN"/>
              </w:rPr>
            </w:pPr>
            <w:r>
              <w:rPr>
                <w:rFonts w:hint="eastAsia" w:ascii="宋体" w:hAnsi="宋体" w:cs="宋体"/>
                <w:kern w:val="0"/>
                <w:sz w:val="24"/>
              </w:rPr>
              <w:t>指</w:t>
            </w:r>
          </w:p>
          <w:p>
            <w:pPr>
              <w:widowControl/>
              <w:jc w:val="center"/>
              <w:rPr>
                <w:rFonts w:hint="eastAsia" w:ascii="宋体" w:hAnsi="宋体" w:eastAsia="宋体" w:cs="宋体"/>
                <w:kern w:val="0"/>
                <w:sz w:val="24"/>
                <w:lang w:eastAsia="zh-CN"/>
              </w:rPr>
            </w:pPr>
            <w:r>
              <w:rPr>
                <w:rFonts w:hint="eastAsia" w:ascii="宋体" w:hAnsi="宋体" w:cs="宋体"/>
                <w:kern w:val="0"/>
                <w:sz w:val="24"/>
              </w:rPr>
              <w:t>标</w:t>
            </w:r>
          </w:p>
          <w:p>
            <w:pPr>
              <w:widowControl/>
              <w:jc w:val="center"/>
              <w:rPr>
                <w:rFonts w:ascii="宋体" w:hAnsi="宋体" w:cs="宋体"/>
                <w:kern w:val="0"/>
                <w:sz w:val="24"/>
              </w:rPr>
            </w:pP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default" w:eastAsia="宋体"/>
                <w:kern w:val="0"/>
                <w:sz w:val="24"/>
                <w:lang w:val="en-US" w:eastAsia="zh-CN"/>
              </w:rPr>
            </w:pPr>
            <w:r>
              <w:rPr>
                <w:rFonts w:hint="eastAsia" w:ascii="宋体" w:hAnsi="宋体" w:cs="宋体"/>
                <w:color w:val="000000"/>
                <w:kern w:val="0"/>
                <w:sz w:val="20"/>
                <w:szCs w:val="20"/>
                <w:lang w:eastAsia="zh-CN"/>
              </w:rPr>
              <w:t>拨付单位</w:t>
            </w:r>
          </w:p>
        </w:tc>
        <w:tc>
          <w:tcPr>
            <w:tcW w:w="113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default" w:eastAsia="宋体"/>
                <w:kern w:val="0"/>
                <w:sz w:val="24"/>
                <w:lang w:val="en-US" w:eastAsia="zh-CN"/>
              </w:rPr>
            </w:pPr>
            <w:r>
              <w:rPr>
                <w:rFonts w:hint="eastAsia" w:ascii="宋体" w:hAnsi="宋体" w:cs="宋体"/>
                <w:kern w:val="0"/>
                <w:sz w:val="20"/>
                <w:szCs w:val="20"/>
                <w:u w:val="none"/>
                <w:lang w:val="en-US" w:eastAsia="zh-CN"/>
              </w:rPr>
              <w:t>1家</w:t>
            </w:r>
          </w:p>
        </w:tc>
        <w:tc>
          <w:tcPr>
            <w:tcW w:w="1276" w:type="dxa"/>
            <w:gridSpan w:val="4"/>
            <w:tcBorders>
              <w:top w:val="single" w:color="auto" w:sz="4" w:space="0"/>
              <w:left w:val="nil"/>
              <w:right w:val="single" w:color="auto" w:sz="4" w:space="0"/>
            </w:tcBorders>
            <w:vAlign w:val="top"/>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spacing w:line="240" w:lineRule="exact"/>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eastAsia" w:eastAsia="宋体"/>
                <w:lang w:val="en-US" w:eastAsia="zh-CN"/>
              </w:rPr>
            </w:pPr>
            <w:r>
              <w:rPr>
                <w:rFonts w:hint="eastAsia" w:ascii="宋体" w:hAnsi="宋体" w:cs="宋体"/>
                <w:color w:val="000000"/>
                <w:kern w:val="0"/>
                <w:sz w:val="18"/>
                <w:szCs w:val="18"/>
                <w:lang w:eastAsia="zh-CN"/>
              </w:rPr>
              <w:t>劳务派遣人数</w:t>
            </w:r>
          </w:p>
        </w:tc>
        <w:tc>
          <w:tcPr>
            <w:tcW w:w="113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pPr>
            <w:r>
              <w:rPr>
                <w:rFonts w:hint="eastAsia" w:ascii="宋体" w:hAnsi="宋体" w:cs="宋体"/>
                <w:color w:val="000000"/>
                <w:kern w:val="0"/>
                <w:sz w:val="18"/>
                <w:szCs w:val="18"/>
                <w:lang w:val="en-US" w:eastAsia="zh-CN"/>
              </w:rPr>
              <w:t>257人</w:t>
            </w:r>
          </w:p>
        </w:tc>
        <w:tc>
          <w:tcPr>
            <w:tcW w:w="1276" w:type="dxa"/>
            <w:gridSpan w:val="4"/>
            <w:tcBorders>
              <w:top w:val="single" w:color="auto" w:sz="4" w:space="0"/>
              <w:left w:val="nil"/>
              <w:right w:val="single" w:color="auto" w:sz="4" w:space="0"/>
            </w:tcBorders>
            <w:vAlign w:val="top"/>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default" w:eastAsia="宋体"/>
                <w:kern w:val="0"/>
                <w:sz w:val="24"/>
                <w:szCs w:val="24"/>
                <w:lang w:val="en-US" w:eastAsia="zh-CN"/>
              </w:rPr>
            </w:pPr>
            <w:r>
              <w:rPr>
                <w:rFonts w:hint="eastAsia" w:ascii="宋体" w:hAnsi="宋体" w:cs="宋体"/>
                <w:color w:val="000000"/>
                <w:kern w:val="0"/>
                <w:sz w:val="20"/>
                <w:szCs w:val="20"/>
                <w:lang w:eastAsia="zh-CN"/>
              </w:rPr>
              <w:t>招聘人员和实际工作人员数量差异</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rFonts w:hint="default" w:eastAsia="宋体"/>
                <w:lang w:val="en-US" w:eastAsia="zh-CN"/>
              </w:rPr>
            </w:pPr>
            <w:r>
              <w:rPr>
                <w:rFonts w:hint="eastAsia" w:ascii="宋体" w:hAnsi="宋体" w:cs="宋体"/>
                <w:kern w:val="0"/>
                <w:sz w:val="20"/>
                <w:szCs w:val="20"/>
                <w:lang w:eastAsia="zh-CN"/>
              </w:rPr>
              <w:t>无差异</w:t>
            </w:r>
          </w:p>
        </w:tc>
        <w:tc>
          <w:tcPr>
            <w:tcW w:w="1276" w:type="dxa"/>
            <w:gridSpan w:val="4"/>
            <w:tcBorders>
              <w:top w:val="single" w:color="auto" w:sz="4" w:space="0"/>
              <w:left w:val="single" w:color="auto" w:sz="4" w:space="0"/>
              <w:bottom w:val="single" w:color="auto" w:sz="4" w:space="0"/>
              <w:right w:val="single" w:color="auto" w:sz="4" w:space="0"/>
            </w:tcBorders>
            <w:vAlign w:val="top"/>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eastAsia" w:eastAsia="宋体"/>
                <w:sz w:val="24"/>
                <w:szCs w:val="24"/>
                <w:lang w:val="en-US" w:eastAsia="zh-CN"/>
              </w:rPr>
            </w:pPr>
            <w:r>
              <w:rPr>
                <w:rFonts w:hint="eastAsia" w:ascii="宋体" w:hAnsi="宋体" w:cs="宋体"/>
                <w:color w:val="000000"/>
                <w:kern w:val="0"/>
                <w:sz w:val="20"/>
                <w:szCs w:val="20"/>
                <w:lang w:eastAsia="zh-CN"/>
              </w:rPr>
              <w:t>劳务派遣人员数量</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color w:val="000000"/>
                <w:kern w:val="0"/>
                <w:sz w:val="18"/>
                <w:szCs w:val="18"/>
                <w:lang w:eastAsia="zh-CN"/>
              </w:rPr>
              <w:t>达到规定标准</w:t>
            </w:r>
          </w:p>
        </w:tc>
        <w:tc>
          <w:tcPr>
            <w:tcW w:w="1276" w:type="dxa"/>
            <w:gridSpan w:val="4"/>
            <w:tcBorders>
              <w:top w:val="single" w:color="auto" w:sz="4" w:space="0"/>
              <w:left w:val="single" w:color="auto" w:sz="4" w:space="0"/>
              <w:bottom w:val="single" w:color="auto" w:sz="4" w:space="0"/>
              <w:right w:val="single" w:color="auto" w:sz="4" w:space="0"/>
            </w:tcBorders>
            <w:vAlign w:val="top"/>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right w:val="single" w:color="auto" w:sz="4" w:space="0"/>
            </w:tcBorders>
            <w:vAlign w:val="center"/>
          </w:tcPr>
          <w:p>
            <w:pPr>
              <w:spacing w:line="240" w:lineRule="exact"/>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kern w:val="0"/>
                <w:sz w:val="24"/>
              </w:rPr>
            </w:pPr>
            <w:r>
              <w:rPr>
                <w:rFonts w:hint="eastAsia" w:ascii="宋体" w:hAnsi="宋体" w:cs="宋体"/>
                <w:color w:val="000000"/>
                <w:kern w:val="0"/>
                <w:sz w:val="18"/>
                <w:szCs w:val="18"/>
                <w:lang w:eastAsia="zh-CN"/>
              </w:rPr>
              <w:t>每人每月薪资标准</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eastAsia="宋体"/>
                <w:lang w:eastAsia="zh-CN"/>
              </w:rPr>
            </w:pPr>
            <w:r>
              <w:rPr>
                <w:rFonts w:hint="default"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2420元</w:t>
            </w:r>
          </w:p>
        </w:tc>
        <w:tc>
          <w:tcPr>
            <w:tcW w:w="1276" w:type="dxa"/>
            <w:gridSpan w:val="4"/>
            <w:tcBorders>
              <w:top w:val="single" w:color="auto" w:sz="4" w:space="0"/>
              <w:left w:val="nil"/>
              <w:bottom w:val="single" w:color="auto" w:sz="4" w:space="0"/>
              <w:right w:val="single" w:color="auto" w:sz="4" w:space="0"/>
            </w:tcBorders>
            <w:vAlign w:val="top"/>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left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lang w:eastAsia="zh-CN"/>
              </w:rPr>
              <w:t>进度</w:t>
            </w:r>
            <w:r>
              <w:rPr>
                <w:rFonts w:hint="eastAsia" w:ascii="宋体" w:hAnsi="宋体" w:cs="宋体"/>
                <w:kern w:val="0"/>
                <w:sz w:val="20"/>
                <w:szCs w:val="20"/>
              </w:rPr>
              <w:t>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pPr>
            <w:r>
              <w:rPr>
                <w:rFonts w:hint="eastAsia" w:ascii="宋体" w:hAnsi="宋体" w:cs="宋体"/>
                <w:color w:val="000000"/>
                <w:kern w:val="0"/>
                <w:sz w:val="18"/>
                <w:szCs w:val="18"/>
                <w:lang w:eastAsia="zh-CN"/>
              </w:rPr>
              <w:t>申请资金时限</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eastAsia="zh-CN"/>
              </w:rPr>
              <w:t>项目确立后</w:t>
            </w:r>
            <w:r>
              <w:rPr>
                <w:rFonts w:hint="eastAsia" w:ascii="宋体" w:hAnsi="宋体" w:cs="宋体"/>
                <w:kern w:val="0"/>
                <w:sz w:val="20"/>
                <w:szCs w:val="20"/>
                <w:lang w:val="en-US" w:eastAsia="zh-CN"/>
              </w:rPr>
              <w:t>12个月内</w:t>
            </w:r>
          </w:p>
        </w:tc>
        <w:tc>
          <w:tcPr>
            <w:tcW w:w="1276" w:type="dxa"/>
            <w:gridSpan w:val="4"/>
            <w:tcBorders>
              <w:top w:val="single" w:color="auto" w:sz="4" w:space="0"/>
              <w:left w:val="nil"/>
              <w:bottom w:val="single" w:color="auto" w:sz="4" w:space="0"/>
              <w:right w:val="single" w:color="auto" w:sz="4" w:space="0"/>
            </w:tcBorders>
            <w:vAlign w:val="top"/>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right w:val="single" w:color="auto" w:sz="4" w:space="0"/>
            </w:tcBorders>
            <w:shd w:val="clear" w:color="auto" w:fill="auto"/>
            <w:vAlign w:val="center"/>
          </w:tcPr>
          <w:p>
            <w:pPr>
              <w:spacing w:line="240" w:lineRule="exact"/>
              <w:ind w:firstLine="400" w:firstLineChars="0"/>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exact"/>
              <w:jc w:val="both"/>
              <w:rPr>
                <w:kern w:val="0"/>
                <w:sz w:val="24"/>
              </w:rPr>
            </w:pPr>
            <w:r>
              <w:rPr>
                <w:rFonts w:hint="eastAsia" w:ascii="宋体" w:hAnsi="宋体" w:cs="宋体"/>
                <w:color w:val="000000"/>
                <w:kern w:val="0"/>
                <w:sz w:val="18"/>
                <w:szCs w:val="18"/>
                <w:lang w:eastAsia="zh-CN"/>
              </w:rPr>
              <w:t>资金拨付至专用账户时限</w:t>
            </w:r>
          </w:p>
        </w:tc>
        <w:tc>
          <w:tcPr>
            <w:tcW w:w="1134"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center"/>
            </w:pPr>
            <w:r>
              <w:rPr>
                <w:rFonts w:hint="eastAsia" w:ascii="宋体" w:hAnsi="宋体" w:cs="宋体"/>
                <w:kern w:val="0"/>
                <w:sz w:val="20"/>
                <w:szCs w:val="20"/>
                <w:lang w:eastAsia="zh-CN"/>
              </w:rPr>
              <w:t>收到区财政资金后</w:t>
            </w:r>
            <w:r>
              <w:rPr>
                <w:rFonts w:hint="eastAsia" w:ascii="宋体" w:hAnsi="宋体" w:cs="宋体"/>
                <w:kern w:val="0"/>
                <w:sz w:val="20"/>
                <w:szCs w:val="20"/>
                <w:lang w:val="en-US" w:eastAsia="zh-CN"/>
              </w:rPr>
              <w:t>12个月内</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9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spacing w:line="240" w:lineRule="exact"/>
              <w:ind w:firstLine="400" w:firstLineChars="0"/>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pPr>
            <w:r>
              <w:rPr>
                <w:rFonts w:hint="eastAsia" w:ascii="宋体" w:hAnsi="宋体" w:cs="宋体"/>
                <w:color w:val="000000"/>
                <w:kern w:val="0"/>
                <w:sz w:val="18"/>
                <w:szCs w:val="18"/>
                <w:lang w:eastAsia="zh-CN"/>
              </w:rPr>
              <w:t>资金发放及时性</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eastAsia="zh-CN"/>
              </w:rPr>
              <w:t>按月及时发放</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rPr>
              <w:t>效</w:t>
            </w:r>
          </w:p>
          <w:p>
            <w:pPr>
              <w:widowControl/>
              <w:jc w:val="center"/>
              <w:rPr>
                <w:rFonts w:hint="eastAsia" w:ascii="宋体" w:hAnsi="宋体" w:eastAsia="宋体" w:cs="宋体"/>
                <w:kern w:val="0"/>
                <w:sz w:val="24"/>
                <w:lang w:eastAsia="zh-CN"/>
              </w:rPr>
            </w:pPr>
            <w:r>
              <w:rPr>
                <w:rFonts w:hint="eastAsia" w:ascii="宋体" w:hAnsi="宋体" w:cs="宋体"/>
                <w:kern w:val="0"/>
                <w:sz w:val="24"/>
              </w:rPr>
              <w:t>果</w:t>
            </w:r>
          </w:p>
          <w:p>
            <w:pPr>
              <w:widowControl/>
              <w:jc w:val="center"/>
              <w:rPr>
                <w:rFonts w:hint="eastAsia" w:ascii="宋体" w:hAnsi="宋体" w:eastAsia="宋体" w:cs="宋体"/>
                <w:kern w:val="0"/>
                <w:sz w:val="24"/>
                <w:lang w:eastAsia="zh-CN"/>
              </w:rPr>
            </w:pPr>
            <w:r>
              <w:rPr>
                <w:rFonts w:hint="eastAsia" w:ascii="宋体" w:hAnsi="宋体" w:cs="宋体"/>
                <w:kern w:val="0"/>
                <w:sz w:val="24"/>
              </w:rPr>
              <w:t>指</w:t>
            </w:r>
          </w:p>
          <w:p>
            <w:pPr>
              <w:widowControl/>
              <w:jc w:val="center"/>
              <w:rPr>
                <w:rFonts w:hint="eastAsia" w:ascii="宋体" w:hAnsi="宋体" w:eastAsia="宋体" w:cs="宋体"/>
                <w:kern w:val="0"/>
                <w:sz w:val="24"/>
                <w:lang w:eastAsia="zh-CN"/>
              </w:rPr>
            </w:pPr>
            <w:r>
              <w:rPr>
                <w:rFonts w:hint="eastAsia" w:ascii="宋体" w:hAnsi="宋体" w:cs="宋体"/>
                <w:kern w:val="0"/>
                <w:sz w:val="24"/>
              </w:rPr>
              <w:t>标</w:t>
            </w:r>
          </w:p>
          <w:p>
            <w:pPr>
              <w:widowControl/>
              <w:jc w:val="center"/>
              <w:rPr>
                <w:rFonts w:ascii="宋体" w:hAnsi="宋体" w:cs="宋体"/>
                <w:kern w:val="0"/>
                <w:sz w:val="24"/>
              </w:rPr>
            </w:pP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24"/>
                <w:lang w:eastAsia="zh-CN"/>
              </w:rPr>
            </w:pPr>
            <w:r>
              <w:rPr>
                <w:rFonts w:hint="eastAsia" w:ascii="宋体" w:hAnsi="宋体" w:cs="宋体"/>
                <w:kern w:val="0"/>
                <w:sz w:val="20"/>
                <w:szCs w:val="20"/>
              </w:rPr>
              <w:t>成本指标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kern w:val="0"/>
                <w:sz w:val="24"/>
              </w:rPr>
            </w:pPr>
            <w:r>
              <w:rPr>
                <w:rFonts w:hint="eastAsia" w:ascii="宋体" w:hAnsi="宋体" w:cs="宋体"/>
                <w:color w:val="000000"/>
                <w:kern w:val="0"/>
                <w:sz w:val="18"/>
                <w:szCs w:val="18"/>
                <w:lang w:eastAsia="zh-CN"/>
              </w:rPr>
              <w:t>项目预算控制数</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val="en-US" w:eastAsia="zh-CN"/>
              </w:rPr>
              <w:t>2260.9万元</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5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400" w:firstLineChars="0"/>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pPr>
            <w:r>
              <w:rPr>
                <w:rFonts w:hint="eastAsia" w:ascii="宋体" w:hAnsi="宋体" w:cs="宋体"/>
                <w:color w:val="000000"/>
                <w:kern w:val="0"/>
                <w:sz w:val="18"/>
                <w:szCs w:val="18"/>
                <w:lang w:eastAsia="zh-CN"/>
              </w:rPr>
              <w:t>人均管理费成本</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val="en-US" w:eastAsia="zh-CN"/>
              </w:rPr>
              <w:t>100元</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850" w:hRule="atLeast"/>
        </w:trPr>
        <w:tc>
          <w:tcPr>
            <w:tcW w:w="84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81"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rPr>
              <w:t>服务对象满意度指标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kern w:val="0"/>
                <w:sz w:val="24"/>
              </w:rPr>
            </w:pPr>
            <w:r>
              <w:rPr>
                <w:rFonts w:hint="eastAsia" w:ascii="宋体" w:hAnsi="宋体" w:cs="宋体"/>
                <w:color w:val="000000"/>
                <w:kern w:val="0"/>
                <w:sz w:val="18"/>
                <w:szCs w:val="18"/>
                <w:lang w:eastAsia="zh-CN"/>
              </w:rPr>
              <w:t>接受拨付单位满意度</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color w:val="000000"/>
                <w:kern w:val="0"/>
                <w:sz w:val="18"/>
                <w:szCs w:val="18"/>
                <w:lang w:eastAsia="zh-CN"/>
              </w:rPr>
              <w:t>比较满意</w:t>
            </w:r>
          </w:p>
        </w:tc>
        <w:tc>
          <w:tcPr>
            <w:tcW w:w="1276" w:type="dxa"/>
            <w:gridSpan w:val="4"/>
            <w:tcBorders>
              <w:top w:val="nil"/>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5" w:type="dxa"/>
          <w:trHeight w:val="364" w:hRule="atLeast"/>
        </w:trPr>
        <w:tc>
          <w:tcPr>
            <w:tcW w:w="846"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4"/>
              </w:rPr>
            </w:pPr>
          </w:p>
        </w:tc>
        <w:tc>
          <w:tcPr>
            <w:tcW w:w="128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400" w:firstLineChars="0"/>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主管部门对劳务派遣人员的工作满意度</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宋体" w:hAnsi="宋体" w:cs="宋体"/>
                <w:color w:val="000000"/>
                <w:kern w:val="0"/>
                <w:sz w:val="18"/>
                <w:szCs w:val="18"/>
                <w:lang w:eastAsia="zh-CN"/>
              </w:rPr>
            </w:pPr>
            <w:r>
              <w:rPr>
                <w:rFonts w:hint="eastAsia" w:ascii="宋体" w:hAnsi="宋体" w:cs="宋体"/>
                <w:color w:val="000000"/>
                <w:kern w:val="0"/>
                <w:sz w:val="18"/>
                <w:szCs w:val="18"/>
                <w:lang w:eastAsia="zh-CN"/>
              </w:rPr>
              <w:t>比较满意</w:t>
            </w:r>
          </w:p>
        </w:tc>
        <w:tc>
          <w:tcPr>
            <w:tcW w:w="1276" w:type="dxa"/>
            <w:gridSpan w:val="4"/>
            <w:tcBorders>
              <w:top w:val="single" w:color="auto" w:sz="4" w:space="0"/>
              <w:left w:val="single" w:color="auto" w:sz="4" w:space="0"/>
              <w:bottom w:val="single" w:color="auto" w:sz="4" w:space="0"/>
              <w:right w:val="single" w:color="auto" w:sz="4" w:space="0"/>
            </w:tcBorders>
            <w:vAlign w:val="top"/>
          </w:tcPr>
          <w:p>
            <w:pPr>
              <w:widowControl/>
              <w:jc w:val="cente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20</w:t>
            </w:r>
          </w:p>
        </w:tc>
        <w:tc>
          <w:tcPr>
            <w:tcW w:w="1011" w:type="dxa"/>
            <w:gridSpan w:val="2"/>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 xml:space="preserve">   20</w:t>
            </w:r>
          </w:p>
        </w:tc>
        <w:tc>
          <w:tcPr>
            <w:tcW w:w="1257"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4"/>
              </w:rPr>
            </w:pPr>
          </w:p>
        </w:tc>
        <w:tc>
          <w:tcPr>
            <w:tcW w:w="1837" w:type="dxa"/>
            <w:vAlign w:val="center"/>
          </w:tcPr>
          <w:p>
            <w:pPr>
              <w:widowControl/>
              <w:jc w:val="left"/>
            </w:pPr>
            <w:r>
              <w:rPr>
                <w:rFonts w:hint="eastAsia" w:ascii="宋体" w:hAnsi="宋体" w:cs="宋体"/>
                <w:color w:val="000000"/>
                <w:kern w:val="0"/>
                <w:sz w:val="24"/>
              </w:rPr>
              <w:t>　</w:t>
            </w:r>
          </w:p>
        </w:tc>
        <w:tc>
          <w:tcPr>
            <w:tcW w:w="1837" w:type="dxa"/>
            <w:vAlign w:val="center"/>
          </w:tcPr>
          <w:p>
            <w:pPr>
              <w:widowControl/>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29" w:hRule="atLeast"/>
        </w:trPr>
        <w:tc>
          <w:tcPr>
            <w:tcW w:w="8755"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4"/>
              </w:rPr>
            </w:pPr>
            <w:r>
              <w:rPr>
                <w:rFonts w:hint="eastAsia" w:ascii="宋体" w:hAnsi="宋体" w:cs="宋体"/>
                <w:b/>
                <w:bCs/>
                <w:color w:val="000000"/>
                <w:kern w:val="0"/>
                <w:sz w:val="24"/>
              </w:rPr>
              <w:t>总分：</w:t>
            </w:r>
            <w:r>
              <w:rPr>
                <w:rFonts w:hint="eastAsia" w:ascii="宋体" w:hAnsi="宋体" w:cs="宋体"/>
                <w:b/>
                <w:bCs/>
                <w:color w:val="000000"/>
                <w:kern w:val="0"/>
                <w:sz w:val="24"/>
                <w:lang w:val="en-US" w:eastAsia="zh-CN"/>
              </w:rPr>
              <w:t xml:space="preserve">                                                           </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bCs/>
                <w:color w:val="000000"/>
                <w:kern w:val="0"/>
                <w:sz w:val="24"/>
                <w:lang w:val="en-US" w:eastAsia="zh-CN"/>
              </w:rPr>
            </w:pPr>
            <w:r>
              <w:rPr>
                <w:rFonts w:hint="eastAsia" w:ascii="宋体" w:hAnsi="宋体" w:cs="宋体"/>
                <w:b/>
                <w:bCs/>
                <w:color w:val="000000"/>
                <w:kern w:val="0"/>
                <w:sz w:val="24"/>
                <w:lang w:val="en-US" w:eastAsia="zh-CN"/>
              </w:rPr>
              <w:t>99.5</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54" w:hRule="atLeast"/>
        </w:trPr>
        <w:tc>
          <w:tcPr>
            <w:tcW w:w="11023" w:type="dxa"/>
            <w:gridSpan w:val="13"/>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586" w:hRule="atLeast"/>
        </w:trPr>
        <w:tc>
          <w:tcPr>
            <w:tcW w:w="11023" w:type="dxa"/>
            <w:gridSpan w:val="13"/>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586" w:hRule="atLeast"/>
        </w:trPr>
        <w:tc>
          <w:tcPr>
            <w:tcW w:w="11023" w:type="dxa"/>
            <w:gridSpan w:val="13"/>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8" w:hRule="atLeast"/>
        </w:trPr>
        <w:tc>
          <w:tcPr>
            <w:tcW w:w="11023" w:type="dxa"/>
            <w:gridSpan w:val="13"/>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8" w:hRule="atLeast"/>
        </w:trPr>
        <w:tc>
          <w:tcPr>
            <w:tcW w:w="11023" w:type="dxa"/>
            <w:gridSpan w:val="13"/>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pPr>
    </w:p>
    <w:sectPr>
      <w:pgSz w:w="11907" w:h="16840"/>
      <w:pgMar w:top="1440" w:right="230" w:bottom="1440" w:left="33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YzA2OTQzZTZkNjQ4NGFjMjQ1ZjNlYmQxNTVjNjMifQ=="/>
  </w:docVars>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36022C6"/>
    <w:rsid w:val="09FD0D99"/>
    <w:rsid w:val="20FE7045"/>
    <w:rsid w:val="22D56551"/>
    <w:rsid w:val="2CF077F9"/>
    <w:rsid w:val="325C2CBB"/>
    <w:rsid w:val="33554BCC"/>
    <w:rsid w:val="3BA80795"/>
    <w:rsid w:val="46376FE2"/>
    <w:rsid w:val="4F6F3786"/>
    <w:rsid w:val="4FA570FC"/>
    <w:rsid w:val="5CD61BFF"/>
    <w:rsid w:val="5D6D2549"/>
    <w:rsid w:val="64AA2E81"/>
    <w:rsid w:val="68CF44D2"/>
    <w:rsid w:val="6FCE6041"/>
    <w:rsid w:val="74865314"/>
    <w:rsid w:val="7E8322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835</Words>
  <Characters>964</Characters>
  <Lines>8</Lines>
  <Paragraphs>2</Paragraphs>
  <ScaleCrop>false</ScaleCrop>
  <LinksUpToDate>false</LinksUpToDate>
  <CharactersWithSpaces>1022</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2024-08-19T06:54:18Z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968B27085B654693BEB978976E59DD9A</vt:lpwstr>
  </property>
</Properties>
</file>