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庞各庄镇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2023年财政决算、2024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1-8月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预算执行和预算调整情况的报告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——202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20</w:t>
      </w:r>
      <w:r>
        <w:rPr>
          <w:rFonts w:hint="eastAsia" w:ascii="楷体_GB2312" w:hAnsi="楷体_GB2312" w:eastAsia="楷体_GB2312" w:cs="楷体_GB2312"/>
          <w:sz w:val="32"/>
          <w:szCs w:val="32"/>
        </w:rPr>
        <w:t>日在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北京市大兴区庞各庄镇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</w:rPr>
        <w:t>届人民代表大会第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六</w:t>
      </w:r>
      <w:r>
        <w:rPr>
          <w:rFonts w:hint="eastAsia" w:ascii="楷体_GB2312" w:hAnsi="楷体_GB2312" w:eastAsia="楷体_GB2312" w:cs="楷体_GB2312"/>
          <w:sz w:val="32"/>
          <w:szCs w:val="32"/>
        </w:rPr>
        <w:t>次会议上</w:t>
      </w: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庞各庄镇产业发展服务中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心（财政）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受庞各庄镇人民政府委托，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highlight w:val="none"/>
          <w:lang w:eastAsia="zh-CN"/>
        </w:rPr>
        <w:t>产业发展服务中心（财政）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向大会提交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2023年财政决算、2024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年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1-8月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财政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预算执行和预算调整情况的报告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，请各位代表审议。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第一部分202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财政决算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年，面对严峻的财政收支形势和艰巨的财政发展改革任务，在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镇党</w:t>
      </w:r>
      <w:r>
        <w:rPr>
          <w:rFonts w:hint="eastAsia" w:ascii="仿宋_GB2312" w:hAnsi="仿宋_GB2312" w:eastAsia="仿宋_GB2312" w:cs="仿宋_GB2312"/>
          <w:sz w:val="32"/>
          <w:szCs w:val="32"/>
        </w:rPr>
        <w:t>委的坚强领导下，在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人大的依法监督下，全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上下坚持以习近平新时代中国特色社会主义思想为指导，坚持稳字当头、稳中求进，加力提效落实积极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财政政策，努力提升财政资源配置效率和资金使用效益，有力保障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经济社会平稳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  <w:t>2023年财政决算情况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2023年，庞各庄镇预算总收支85109.3万元，其中：一般公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共预算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71074.41万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元，政府性基金预算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14034.89万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楷体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一般公共预算收支决算情况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一般公共预算总收入71074.41万元，其中：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一般公共预算财政收入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17799.18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万元，较上年增长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64.37%。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体制补助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3862万元，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固定补助收入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9455.57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其他一般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10365.67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27315.13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万元；上年结余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2276.86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一般公共预算总支出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71074.41万元，其中：一般公共预算支出58280.22万元，上解支出5098.64万元，结转下年使用7695.55万元。</w:t>
      </w:r>
    </w:p>
    <w:p>
      <w:pPr>
        <w:pStyle w:val="3"/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hAnsi="Times New Roman" w:eastAsia="仿宋_GB2312"/>
          <w:color w:val="auto"/>
          <w:spacing w:val="0"/>
          <w:sz w:val="32"/>
          <w:szCs w:val="32"/>
          <w:lang w:val="en-US" w:eastAsia="zh-CN"/>
        </w:rPr>
        <w:t>一般公共预算收支平衡。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1.主要收入科目决算情况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税收收入75911万元，完成镇级财政收入17799.18万元，同比去年增加7052万元，增长65.62%。其中：增值税41369万元，完成镇级财政收入5171.12万元，同比去年增加2326万元，增长81.76%，主要是全面实施留抵退税扩围政策，缓解企业经营压力；企业所得税6477万元，完成镇级财政收入971.56万元，同比去年减少339万元，下降25.86%，主要是北京龙熙顺景房地产开发有限责任公司一次性退税6530万元，影响镇级财政收入980万元；土地增值税19732万元，完成镇级财政收入4933万元，同比去年增加3695万元，增长298.47%，主要是税务部门加大清算力度，对我镇北京永同昌房地产开发集团有限公司开展土增税清算工作，纳税款12800万元，形成镇级财政收入3200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2.主要支出科目决算情况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一般公共服务支出10077.72万元，完成调整预算的119.5%。主要用于在职在编人员工资及公用经费，社区村党组织服务群众经费，政府保安、保洁、物业等项目支出。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国防支出29.75万元，完成调整预算的100%。主要用于义务兵优待金、训练经费。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公共安全支出32.63万元，完成调整预算的100%。主要用于司法项目经费。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教育支出511.99万元，完成调整预算的7倍。主要用于庞各庄镇第一中心幼儿园建设工程项目。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文化旅游体育与传媒支出624.62万元，完成调整预算的119.5%。主要用于宣传文体、三节一赛、旅游公共服务提升等项目。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社会保障和就业支出4895.54万元，完成调整预算的121.2%。主要用于在职在编人员社会保障缴费、民政经费、居委会人员工资、居委会运转等经费。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卫生健康支出6815.19万元，完成调整预算的137.6%。主要用于卫生院在职在编人员工资经费、卫生项目经费、常态化核酸检测费用、基本公共卫生经费、村卫生室运行经费、基层医疗卫生服务能力提升等项目。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节能环保支出844.24万元，完成调整预算的10倍。主要用于庞各庄镇大气精细化管理及服务，2022-2023年取暖季“煤改电”蓄能式电暖器和太阳能提升用户电费补贴等项目。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城乡社区支出7868.9万元，完成调整预算的133.5%。主要用于农村地区保洁员工资、疏解整治促提升、2023年度生活垃圾分类以奖代补等项目。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农林水支出24179.93万元，完成调整预算的6倍。主要用于大兴区平原生态林养护及土地流转项目、2023年西瓜商品苗成本补贴、设施蔬菜产业集群、北京市设施农业发展以奖代补、2022年菜田补贴。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交通运输支出300万元。主要用于普通公路养护。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自然资源海洋气象等支出239.96万元。主要用于大兴区房地一体的宅基地、集体建设用地权籍调查和确权登记。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住房保障支出1810.2万元。主要用于庞各庄镇老旧小区综合整治项目。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灾害防治及应急管理支出49.55万元，完成调整预算的100%。主要用于安全消防经费。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3.预备费支出情况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镇级预备费未支出。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4.上年结转资金使用情况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上年结转资金主要用于城镇综合投入相关支出。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5.一般性转移支付情况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一般性转移支付主要用于提高公共服务水平，发展社保、卫生、文体事业，促进乡村振兴；专项转移支付主要用于推动我镇农业、林业、水务等领域发展，保障重点项目实施。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6.“三公”经费支出情况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庞各庄镇深入贯彻中央八项规定精神，严格控制行政成本，“三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公”经费财政拨款支出合计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30.41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万元，比年初预算下降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182.8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%，比上年决算下降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5.39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%。主要原因是严格公务用车购置，加强公务用车日常使用管理，整体费用下降。其中：因公出国(境)费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0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万元，公务接待费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0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万元，公务用车购置及运行维护费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30.41</w:t>
      </w:r>
      <w:r>
        <w:rPr>
          <w:rFonts w:hint="default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政府性基金预算收支决算情况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政府性基金预算总收入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14034.89万元，其中：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政府基金固定补助收入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128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2092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11814.89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政府性基金预算总支出14034.89万元。其中：城乡社区支出14034.89万元，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主要用于美丽乡村建设、老旧小区雨污改造等项目。</w:t>
      </w:r>
    </w:p>
    <w:p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政府性基金预算收支平衡。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落实区人大预算审查意见情况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年，产业发展服务中心（财政）全面贯彻《中华人民共和国预算法》和《北京市预算审查监督条例》，认真落实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人大审查意见，充分发挥财政在构建新发展格局中的引导带动作用，为我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经济社会高质量发展提供有力保障。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强化财源建设，促进财政增收。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是大力开展招商引资。持续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对接驻外省招商小组，积极参与区级赴外省招商团队，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加大从京外吸引优质税源企业工作力度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。宣传区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“1+N”产业支持政策，推进财源项目招商、洽谈、落地，做好新入企业落地相关服务工作。围绕以现代农业、文旅休闲、航空服务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为主导的产业发展方向，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有的放矢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开展招商引资，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高质量推动财源建设工作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不断优化对企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服务。对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新注册优质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进行全天候、全过程、全方位“店小二”式服务，确保企业愿意来、留得住、干得好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。梳理企业纳税信息，对重点纳税企业开展税源动态监测和走访服务，做好“在镇经营、镇外注册纳税”企业治理、“企走事留”清理、重点企业外迁挽留等相关服务工作，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提振企业在我镇发展信心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是强化税源监控管理。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完善与税务、工商等部门联动机制，加强属地管理，及时发现处理财源收入变量，重点监控存在纳税疑点企业，做好协税护税工作。完善“日报周研月调度”工作机制，做好企业经营情况及收入变动原因分析，针对难点、痛点、堵点问题，整合镇域资源，形成解决办法，为企业送政策、解难题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）</w:t>
      </w:r>
      <w:r>
        <w:rPr>
          <w:rFonts w:hint="eastAsia" w:ascii="Times New Roman" w:hAnsi="Times New Roman" w:eastAsia="楷体_GB2312" w:cs="Times New Roman"/>
          <w:sz w:val="32"/>
          <w:szCs w:val="32"/>
          <w:shd w:val="clear" w:color="auto" w:fill="auto"/>
          <w:lang w:val="en-US" w:eastAsia="zh-CN"/>
        </w:rPr>
        <w:t>优化支出结构，增进民生福祉。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支持卫生健康事业发展。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坚持人民至上、生命至上原则，发挥财政资金效能，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不断完善公共卫生服务体系、医疗服务体系、急救保障体系与应急管理体系，全面提升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我镇应急事项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防控和救治能力，切实维护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人民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生命安全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支持文化体育事业发展。开展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多样化的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群众文化活动，打造一批特色原创节目，推进公益性文化设施免费开放；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完善全民健身服务体系，开展全民体质测试、趣味运动会、健步走等活动，倡导全民健身。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三是不折不扣落实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社会保障政策。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严格按要求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发放各类社保对象补助资金，保障社会弱势群体基本生活。推进养老服务体系建设，支持残疾人事业发展。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四是持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续改善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镇域生态环境质量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支持打好蓝天、碧水、净土保卫战，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扎实推进农村人居环境整治、垃圾分类和大气污染防治工作。着力解决农村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社区侵街占道、私搭乱建、乱堆乱放等问题。完善村规民约，引导广大农民养成良好生活习惯，实现农民文明素质和农村环境面貌双提升。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eastAsia="楷体_GB2312"/>
          <w:sz w:val="32"/>
          <w:szCs w:val="32"/>
        </w:rPr>
        <w:t>（</w:t>
      </w:r>
      <w:r>
        <w:rPr>
          <w:rFonts w:hint="eastAsia" w:eastAsia="楷体_GB2312"/>
          <w:sz w:val="32"/>
          <w:szCs w:val="32"/>
          <w:lang w:val="en-US" w:eastAsia="zh-CN"/>
        </w:rPr>
        <w:t>三</w:t>
      </w:r>
      <w:r>
        <w:rPr>
          <w:rFonts w:hint="eastAsia" w:eastAsia="楷体_GB2312"/>
          <w:sz w:val="32"/>
          <w:szCs w:val="32"/>
        </w:rPr>
        <w:t>）加强</w:t>
      </w:r>
      <w:r>
        <w:rPr>
          <w:rFonts w:hint="eastAsia" w:eastAsia="楷体_GB2312"/>
          <w:sz w:val="32"/>
          <w:szCs w:val="32"/>
          <w:lang w:val="en-US" w:eastAsia="zh-CN"/>
        </w:rPr>
        <w:t>预算</w:t>
      </w:r>
      <w:r>
        <w:rPr>
          <w:rFonts w:hint="eastAsia" w:eastAsia="楷体_GB2312"/>
          <w:sz w:val="32"/>
          <w:szCs w:val="32"/>
        </w:rPr>
        <w:t>管理，</w:t>
      </w:r>
      <w:r>
        <w:rPr>
          <w:rFonts w:hint="eastAsia" w:eastAsia="楷体_GB2312"/>
          <w:sz w:val="32"/>
          <w:szCs w:val="32"/>
          <w:lang w:val="en-US" w:eastAsia="zh-CN"/>
        </w:rPr>
        <w:t>提高财政效能。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spacing w:val="-1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一是严格预算资金使用。细化部门预算编制，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全面梳理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依据和标准，规范申报程序和格式，优先安排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“保工资、保运转、保基本民生”类项目资金支出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及影响区域发展的重点改革项目。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严格执行零基预算要求，建立动态调整机制，加大对当年调整、追加项目的财政评估、评审力度，保障预算执行严肃规范。二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深化绩效管理改革。</w:t>
      </w:r>
      <w:r>
        <w:rPr>
          <w:rFonts w:hint="eastAsia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对照市区要求，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以资源合理配置和高效利用为目的，</w:t>
      </w:r>
      <w:r>
        <w:rPr>
          <w:rFonts w:hint="eastAsia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完善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“预算编制有目标、预算执行有监控、预算完成有评价、评价结果有反馈、反馈结果有应用”的全过程预算绩效管理机制，实现预算绩效管理与预算编制、执行、监督有机结合，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不断强化部门科室支出责任和效率意识，把财政资金花在刀刃上，切实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提升财政资金使用效益。三是紧密跟进支出进度。严格落实专项转移支付下达时限的有关要求，对已明确补助对象和金额的中央、市级、区级专项转移支付，在规定时间内下达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预算科室，在确保资金规范使用的情况下，加强预算执行分析，做到支出进度不低于时间进度。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预算执行过程中存在的问题及下一步工作措施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总体看</w:t>
      </w:r>
      <w:r>
        <w:rPr>
          <w:rFonts w:hint="eastAsia" w:ascii="仿宋_GB2312" w:hAnsi="仿宋_GB2312" w:eastAsia="仿宋_GB2312" w:cs="仿宋_GB2312"/>
          <w:sz w:val="32"/>
          <w:szCs w:val="32"/>
        </w:rPr>
        <w:t>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政府及各组成部门在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人大的监督指导下，全面落实各项工作部署，提高财政资金保障能力，圆满完成全年财政工作任务。在取得一定成效的同时，我们清醒地看到，财政工作仍面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临一些困难和问题，主要表现在：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一是财政收入未能完成区级任务数。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 w:bidi="ar-SA"/>
        </w:rPr>
        <w:t>受企业退税、纳税企业注销、土增税清算周期较长、储备项目落地周期长等多重因素影响，2023年我镇实际完成财政收入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17799万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 w:bidi="ar-SA"/>
        </w:rPr>
        <w:t>元，未能完成区级19293万元财政任务。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二是“三保”支出预算压力较大。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人员支出预算包括行政人员、事业编制人员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村（居）委干部工资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合同制聘用人员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项目支出预算中招商引资、市政绿化、社会稳定以及镇街基础设施建设等工作项目繁多，经济支出压力巨大。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对于这些问题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，我们将高度重视，采取有力措施，努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力加以解决。一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是持续推进财源建设。深入开展对企服务走访，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加强重点企业税源跟踪，做好潜力财源精准服务，培育财源贡献点。二是强化财政收支统筹平衡。抓好全年收入组织，加强财政、税务等多部门联动，全力以赴实现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镇级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收入目标；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三是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进一步提升财政管理质效。强化部门绩效管理和成本控制理念，深入开展财会监督、预算执行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监控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，进一步规范资金使用的合规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第二部分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一般公共预算调整情况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（一）一般公共预算总收入调整情况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此项无调整。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（二）一般公共预算总支出调整情况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一般公共预算总支出由63556.00万元，调整为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76387.02万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12831.02万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元。主要调整情况如下：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1.一般公共服务支出由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9487.51万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9725.47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元,增加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237.96万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主要是增加红色美丽村庄建设支持经费等支出。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.社会保障和就业支出由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6526.57万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6838.14万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311.57万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增加公益性就业岗位补贴、民政经费、义务兵优待金等支出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卫生健康支出由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5056.74万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5764.23万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增加707.49万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增加乡村医生岗位人员补助、计划生育资金、基本公共卫生服务补助、院前急救保障经费等支出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.节能环保支出由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740.01万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2267.01万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1527万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大兴区庞各庄镇北章客等村庄污水治理项目等支出。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.城乡社区支出由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12794.43万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17338.28万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4543.85万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增加庞各庄镇中心卫生院项目、劳务派遣等支出。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.农林水支出由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22550.67万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28049.72万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5499.05万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增加平原生态林养护及土地流转、农业产业强镇项目、渔业高质量发展项目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.住房保障支出由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45.46万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49.56万元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4.1万元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增加庞各庄镇农村危房改造支出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上解支出调整情况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（四）预备费支出调整情况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政府性基金预算调整情况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（一）政府性基金预算总收入调整情况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此项无调整。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（二）政府性基金预算总支出调整情况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基金预算总支出由</w:t>
      </w:r>
      <w:r>
        <w:rPr>
          <w:rFonts w:hint="eastAsia" w:ascii="仿宋_GB2312" w:eastAsia="仿宋_GB2312"/>
          <w:kern w:val="0"/>
          <w:sz w:val="32"/>
          <w:szCs w:val="32"/>
          <w:highlight w:val="none"/>
        </w:rPr>
        <w:t>3016.07万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6557.29万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3541.22万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元。主要调整情况如下：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城乡社区支出由3016.07万元，调整为6557.29万元，增加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3541.22万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是增加美丽乡村建设、高标准农田建设、耕地保护补偿等支出。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部分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2024年1-8月预算执行情况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中华人民共和国成立75周年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，是实施“十四五”规划承上启下的关键一年，我们将始终坚持习近平新时代中国特色社会主义思想，认真落实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政府各项决策部署，坚持以政领财、以财辅政，推动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我镇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财政事业发展达到新水平。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一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202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年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1-8月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eastAsia="zh-CN"/>
        </w:rPr>
        <w:t>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楷体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一般公共预算执行情况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一般公共预算收入完成67515.54万元，其中：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一般公共预算财政收入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9028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21619.77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万元，专项转移支付收入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29172.22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万元；上年结余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7695.55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一般公共预算支出完成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44061.47万元，其中: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一般公共服务支出7073.69万元;国防支出19.58万元；公共安全支出24.85万元；文化旅游体育与传媒支出93.99万元；社会保障和就业支出4399.65万元；卫生健康支出3556.2万元；节能环保支出1327.21万元；城乡社区支出11786.18万元；农林水支出14802.81万元；住房保障支出959.91万元；灾害防治及应急管理支出17.4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政府性基金预算执行情况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政府性基金总收入7172.13万元，其中：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一般性转移支付收入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2220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万元，专项转移支付收入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4952.13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政府性基金预算总支出已完成4380.67万元，其中：城乡社区支出4380.67万元。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1-8月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eastAsia="zh-CN"/>
        </w:rPr>
        <w:t>工作进展情况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8月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从收入形势看，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财源建设成果初步显现，产业转型升级逐渐步入加速轨道，但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实施减税降费政策、重点财源储备项目建设周期长等因素影响，财政收入将继续承压运行。从支出形势看，各领域对财政资金需求仍呈快速增长态势，实施“十四五”规划、培育高精尖产业等重点任务资金需求旺盛，基本民生保障、城市运维等刚性支出保障压力增大。综合来看，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年财政收支依然持续紧平衡状态。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  <w:t>（一）深耕财源建设工作。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深入开展企业跟踪走访，摸清企业经营状况，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积蓄财政收入增长动能。</w:t>
      </w:r>
      <w:r>
        <w:rPr>
          <w:rFonts w:hint="eastAsia" w:ascii="仿宋_GB2312" w:hAnsi="仿宋_GB2312" w:eastAsia="仿宋_GB2312" w:cs="仿宋_GB2312"/>
          <w:sz w:val="32"/>
          <w:szCs w:val="32"/>
        </w:rPr>
        <w:t>聚焦挖潜增效，抢抓项目资源，树立大抓招商的鲜明导向，坚持招大引强、聚链成群，依托联东U谷、中化岩土、兴展启航3个产业园区，积极对接北京佳莲集团，着力打造美丽健康科创园。引进卓裕润辉生物、安逸轩科技等百万级以上税源企业5家，新注册入库项目70个、重点企业25家，完成率分别为166.7%、350%、125%，均提前超额完成全年任务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  <w:t>（二）加强预算管理工作。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严格预算资金使用。优先安排“保工资、保运转、保基本民生”类项目资金支出及影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响区域发展的重点改革项目。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深化绩效管理改革。</w:t>
      </w:r>
      <w:r>
        <w:rPr>
          <w:rFonts w:hint="eastAsia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完善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“预算编制有目标、预算执行有监控、预算完成有评价、评价结果有反馈、反馈结果有应用”的全过程预算绩效管理机制，实现预算绩效管理与预算编制、执行、监督有机结合，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不断强化部门科室支出责任和效率意识，把财政资金花在刀刃上，切实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提升财政资金使用效益。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紧密跟进支出进度。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加强预算执行分析，做到支出进度不低于时间进度。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楷体_GB2312" w:cs="Times New Roman"/>
          <w:b w:val="0"/>
          <w:bCs w:val="0"/>
          <w:kern w:val="0"/>
          <w:sz w:val="32"/>
          <w:szCs w:val="32"/>
          <w:shd w:val="clear" w:color="auto" w:fill="auto"/>
          <w:lang w:val="en-US" w:eastAsia="zh-CN" w:bidi="ar-SA"/>
        </w:rPr>
        <w:t>（三）发挥财政政策工具作用。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强化绩效管理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和成本控制，全面加强项目评估评审，加强成本绩效控制，选取重点领域开展成本绩效分析，做到以评价促管理。深入推进政府采购全流程电子化改革，运用“互联网+政府采购”电子化工具，实现政府采购事前、事中、事后实时预警，提高政府采购高效、规范水平，营造有序竞争的采购市场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下一阶段财政重点工作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下一阶段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继续坚持以习近平新时代中国特色社会主义思想为指导，全面贯彻落实党的二十大、中央经济工作会议、全国财政工作会、市委二次全会等重要会议精神，坚持稳中求进、以进促稳、先立后破，贯彻落实积极的财政政策要适度加力、提质增效工作要求，在支出上持续发力，在政策上强化落实，在运行中严防风险，为推动镇域经济社会高质量发展贡献财政力量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（一）积极组织财政收入。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FFFFFF" w:fill="D9D9D9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继续做好招商引资工作。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持续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对接驻外省招商小组，积极参与区级赴外省招商团队，保持与外省优质企业密切联系，时刻关注意向落户企业的发展动态和现实需求。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持续做好对企服务工作。持续提升服务意识，不断优化对企服务，加大对重点税源企业走访调研频次和力度，倾听企业诉求，全面了解情况，深入研究问题，统筹镇域资源，努力助企纾困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强化税源监控管理工作。完善与税务、工商等部门联动机制，共享信息资源，加强属地管理，重点监控存在纳税疑点企业，做好协税护税工作。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（二）继续优化支出结构。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统筹财力保障重点。全面梳理全镇重点工作，统筹安排体制资金，优先保障“三保”资金支出，坚持财力向民生倾斜，树牢“政府过紧日子”思想，进一步压缩行政运行支出，严控三公经费，为镇级重点工程项目实施提供财力支撑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严格做好预算执行。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在保证资金使用安全规范条件下，合理加快预算支出执行进度，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做到支出进度不低于时间进度，加强预算执行分析，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促进财政资金尽快发挥政策效应。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做好资金转移支付。严格落实专项转移支付下达时限有关要求，对已明确补助对象和金额的中央、市级和区级专项转移支付，在规定时间内下达到预算单位。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（三）完善财政监管体系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强化专项资金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和直达资金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管理力度。严格按照专项资金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和直达资金管理办法，在规定的用途和时限范围内用好专项资金和直达资金。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提升财政信息公开质量。明确政府信息公开主体责任，对财政预决算、直达资金、三公经费等内容在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政府网站上及时公示，确保公开数据完整、真实、准确，着力建设“透明财政”。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自觉接受人大监督。强化主动接受人大监督意识，自觉接受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人大监督，认真落实人大决定、决议。积极办理人大代表提案，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沟通协调，有效提升提案办理质量。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任务艰巨、使命光荣。让我们始终以习近平新时代中国特色社会主义思想为引领，在区委区政府和镇党委坚强领导下，推动财政保障能力达到新水平，财政治理效能实现新突破，全力服务保障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中心工作，为共同打造“京南最美小镇、机场后花园”尽显责任担当。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以上报告，请予审议。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281C6362"/>
    <w:rsid w:val="02FC742A"/>
    <w:rsid w:val="03E333AF"/>
    <w:rsid w:val="0442759B"/>
    <w:rsid w:val="05C45EA8"/>
    <w:rsid w:val="064661B2"/>
    <w:rsid w:val="06480D63"/>
    <w:rsid w:val="065E01A9"/>
    <w:rsid w:val="06CB6E8B"/>
    <w:rsid w:val="08282C05"/>
    <w:rsid w:val="0A2E0426"/>
    <w:rsid w:val="0A3B36A6"/>
    <w:rsid w:val="0A4E44BB"/>
    <w:rsid w:val="0A6B0581"/>
    <w:rsid w:val="0B1674C4"/>
    <w:rsid w:val="0B43634E"/>
    <w:rsid w:val="0C3E4B67"/>
    <w:rsid w:val="0FE9053B"/>
    <w:rsid w:val="10086A2E"/>
    <w:rsid w:val="10817EDC"/>
    <w:rsid w:val="10EA6DED"/>
    <w:rsid w:val="12D14BDB"/>
    <w:rsid w:val="134D48D8"/>
    <w:rsid w:val="139A05E4"/>
    <w:rsid w:val="15710569"/>
    <w:rsid w:val="158B11EE"/>
    <w:rsid w:val="16730824"/>
    <w:rsid w:val="175F1FDC"/>
    <w:rsid w:val="18852F74"/>
    <w:rsid w:val="1A4128FE"/>
    <w:rsid w:val="1AB1731B"/>
    <w:rsid w:val="1B1924B4"/>
    <w:rsid w:val="1C484510"/>
    <w:rsid w:val="1D4030E5"/>
    <w:rsid w:val="1D584E7E"/>
    <w:rsid w:val="1D692289"/>
    <w:rsid w:val="1DE14127"/>
    <w:rsid w:val="1FA54FF5"/>
    <w:rsid w:val="207E6399"/>
    <w:rsid w:val="21643CFB"/>
    <w:rsid w:val="21731914"/>
    <w:rsid w:val="21F83563"/>
    <w:rsid w:val="22554D9D"/>
    <w:rsid w:val="226F2675"/>
    <w:rsid w:val="22C569FB"/>
    <w:rsid w:val="22E22ED0"/>
    <w:rsid w:val="23AD5DCA"/>
    <w:rsid w:val="23B22752"/>
    <w:rsid w:val="24651730"/>
    <w:rsid w:val="24DC62DB"/>
    <w:rsid w:val="25851352"/>
    <w:rsid w:val="25EB6654"/>
    <w:rsid w:val="260F6CAE"/>
    <w:rsid w:val="26470F6F"/>
    <w:rsid w:val="267F5E46"/>
    <w:rsid w:val="27500176"/>
    <w:rsid w:val="28107A16"/>
    <w:rsid w:val="281C6362"/>
    <w:rsid w:val="282B1E6F"/>
    <w:rsid w:val="29720FEB"/>
    <w:rsid w:val="2A3C56EF"/>
    <w:rsid w:val="2A66073D"/>
    <w:rsid w:val="2AE90F61"/>
    <w:rsid w:val="2CE21655"/>
    <w:rsid w:val="2D142442"/>
    <w:rsid w:val="2F3C617E"/>
    <w:rsid w:val="2F631359"/>
    <w:rsid w:val="2FB74D7A"/>
    <w:rsid w:val="2FF924D2"/>
    <w:rsid w:val="30810B70"/>
    <w:rsid w:val="30983535"/>
    <w:rsid w:val="30D12EE6"/>
    <w:rsid w:val="31EC3D6D"/>
    <w:rsid w:val="326A4091"/>
    <w:rsid w:val="333663E9"/>
    <w:rsid w:val="33752B2D"/>
    <w:rsid w:val="33840446"/>
    <w:rsid w:val="33E443AD"/>
    <w:rsid w:val="3478603E"/>
    <w:rsid w:val="34AD2828"/>
    <w:rsid w:val="35E3020F"/>
    <w:rsid w:val="365A280D"/>
    <w:rsid w:val="36D44683"/>
    <w:rsid w:val="3765001D"/>
    <w:rsid w:val="37A87E10"/>
    <w:rsid w:val="382A40C3"/>
    <w:rsid w:val="38FC3A59"/>
    <w:rsid w:val="39A47D31"/>
    <w:rsid w:val="39F946A5"/>
    <w:rsid w:val="3B001369"/>
    <w:rsid w:val="3B596703"/>
    <w:rsid w:val="3B5A32E7"/>
    <w:rsid w:val="3CB3663F"/>
    <w:rsid w:val="3DB77771"/>
    <w:rsid w:val="3E0E1CF8"/>
    <w:rsid w:val="3E50326A"/>
    <w:rsid w:val="3EA65DB4"/>
    <w:rsid w:val="3F0F4E4D"/>
    <w:rsid w:val="3F4F227E"/>
    <w:rsid w:val="400521CB"/>
    <w:rsid w:val="409F5AF7"/>
    <w:rsid w:val="41845CBF"/>
    <w:rsid w:val="41A83941"/>
    <w:rsid w:val="41F361FE"/>
    <w:rsid w:val="42320865"/>
    <w:rsid w:val="426340B2"/>
    <w:rsid w:val="43215EAA"/>
    <w:rsid w:val="43586125"/>
    <w:rsid w:val="443E7031"/>
    <w:rsid w:val="44531A97"/>
    <w:rsid w:val="454120A8"/>
    <w:rsid w:val="45C47126"/>
    <w:rsid w:val="46271A4E"/>
    <w:rsid w:val="46530D38"/>
    <w:rsid w:val="47390BE8"/>
    <w:rsid w:val="47467D1F"/>
    <w:rsid w:val="47C543E3"/>
    <w:rsid w:val="487D59F9"/>
    <w:rsid w:val="48C06460"/>
    <w:rsid w:val="49F42883"/>
    <w:rsid w:val="4A5C10C3"/>
    <w:rsid w:val="4A6E22FC"/>
    <w:rsid w:val="4AC130B8"/>
    <w:rsid w:val="4B6E01A4"/>
    <w:rsid w:val="4C255D36"/>
    <w:rsid w:val="4C34309F"/>
    <w:rsid w:val="4E1A5180"/>
    <w:rsid w:val="4E565FBB"/>
    <w:rsid w:val="4EF9183C"/>
    <w:rsid w:val="5031633A"/>
    <w:rsid w:val="5043429C"/>
    <w:rsid w:val="506308E7"/>
    <w:rsid w:val="515B64AC"/>
    <w:rsid w:val="532B51AE"/>
    <w:rsid w:val="538A1FD1"/>
    <w:rsid w:val="53ED078E"/>
    <w:rsid w:val="54093317"/>
    <w:rsid w:val="54294005"/>
    <w:rsid w:val="553A737B"/>
    <w:rsid w:val="578F7071"/>
    <w:rsid w:val="583656E7"/>
    <w:rsid w:val="58B4451D"/>
    <w:rsid w:val="58D033D1"/>
    <w:rsid w:val="59FB1E5B"/>
    <w:rsid w:val="5A182486"/>
    <w:rsid w:val="5B16691F"/>
    <w:rsid w:val="5C343782"/>
    <w:rsid w:val="5CFA0413"/>
    <w:rsid w:val="5D292518"/>
    <w:rsid w:val="5DAD56C8"/>
    <w:rsid w:val="5E661C45"/>
    <w:rsid w:val="5E7761E2"/>
    <w:rsid w:val="5EAF2932"/>
    <w:rsid w:val="5F145FA5"/>
    <w:rsid w:val="5F851ACB"/>
    <w:rsid w:val="5FB960CB"/>
    <w:rsid w:val="5FF77BA4"/>
    <w:rsid w:val="60452947"/>
    <w:rsid w:val="61143454"/>
    <w:rsid w:val="616B0BFF"/>
    <w:rsid w:val="621852EA"/>
    <w:rsid w:val="62C76057"/>
    <w:rsid w:val="630C5A7F"/>
    <w:rsid w:val="65423244"/>
    <w:rsid w:val="65D11F15"/>
    <w:rsid w:val="661826F5"/>
    <w:rsid w:val="67945889"/>
    <w:rsid w:val="68E41CB5"/>
    <w:rsid w:val="694A6015"/>
    <w:rsid w:val="694D7F63"/>
    <w:rsid w:val="695B2112"/>
    <w:rsid w:val="6B446305"/>
    <w:rsid w:val="6BB4534A"/>
    <w:rsid w:val="6C8330A8"/>
    <w:rsid w:val="6CB2311B"/>
    <w:rsid w:val="6CCA5278"/>
    <w:rsid w:val="6DB93AB7"/>
    <w:rsid w:val="6F9B2EE0"/>
    <w:rsid w:val="7121555C"/>
    <w:rsid w:val="72A911AD"/>
    <w:rsid w:val="72BA4920"/>
    <w:rsid w:val="72E53828"/>
    <w:rsid w:val="72EE05FC"/>
    <w:rsid w:val="73376754"/>
    <w:rsid w:val="73542187"/>
    <w:rsid w:val="73B55358"/>
    <w:rsid w:val="7497694C"/>
    <w:rsid w:val="74D35FB4"/>
    <w:rsid w:val="75244341"/>
    <w:rsid w:val="752538CD"/>
    <w:rsid w:val="75E038D6"/>
    <w:rsid w:val="767911A1"/>
    <w:rsid w:val="76FC571B"/>
    <w:rsid w:val="77163B5C"/>
    <w:rsid w:val="78360D55"/>
    <w:rsid w:val="78532E4C"/>
    <w:rsid w:val="78745E12"/>
    <w:rsid w:val="793F37DC"/>
    <w:rsid w:val="795D36A8"/>
    <w:rsid w:val="799C2085"/>
    <w:rsid w:val="79C34564"/>
    <w:rsid w:val="7AAF2495"/>
    <w:rsid w:val="7B09183D"/>
    <w:rsid w:val="7C2800E8"/>
    <w:rsid w:val="7CB87032"/>
    <w:rsid w:val="7D23415F"/>
    <w:rsid w:val="7DF23973"/>
    <w:rsid w:val="7E175E4A"/>
    <w:rsid w:val="7E4F633F"/>
    <w:rsid w:val="7F335AE3"/>
    <w:rsid w:val="FB41B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黑体"/>
    </w:rPr>
  </w:style>
  <w:style w:type="paragraph" w:styleId="3">
    <w:name w:val="Normal Indent"/>
    <w:basedOn w:val="1"/>
    <w:next w:val="4"/>
    <w:qFormat/>
    <w:uiPriority w:val="0"/>
    <w:pPr>
      <w:spacing w:line="560" w:lineRule="exact"/>
      <w:ind w:firstLine="420" w:firstLineChars="200"/>
    </w:pPr>
    <w:rPr>
      <w:rFonts w:ascii="仿宋_GB2312" w:hAnsi="仿宋_GB2312"/>
    </w:rPr>
  </w:style>
  <w:style w:type="paragraph" w:styleId="4">
    <w:name w:val="toc 8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5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next w:val="1"/>
    <w:unhideWhenUsed/>
    <w:qFormat/>
    <w:uiPriority w:val="99"/>
    <w:pPr>
      <w:widowControl w:val="0"/>
      <w:ind w:left="1600" w:leftChars="1600"/>
      <w:jc w:val="both"/>
    </w:pPr>
    <w:rPr>
      <w:rFonts w:ascii="宋体" w:hAnsi="宋体" w:eastAsia="仿宋_GB2312" w:cs="Times New Roman"/>
      <w:snapToGrid w:val="0"/>
      <w:kern w:val="32"/>
      <w:sz w:val="32"/>
      <w:szCs w:val="32"/>
      <w:lang w:val="en-US" w:eastAsia="zh-CN" w:bidi="ar-SA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3">
    <w:name w:val="目录 11"/>
    <w:next w:val="1"/>
    <w:qFormat/>
    <w:uiPriority w:val="99"/>
    <w:pPr>
      <w:wordWrap w:val="0"/>
      <w:jc w:val="both"/>
    </w:pPr>
    <w:rPr>
      <w:rFonts w:ascii="Times New Roman" w:hAnsi="Times New Roman" w:eastAsia="宋体" w:cs="Times New Roman"/>
      <w:kern w:val="0"/>
      <w:sz w:val="21"/>
      <w:szCs w:val="22"/>
      <w:lang w:val="en-US" w:eastAsia="zh-CN" w:bidi="ar-SA"/>
    </w:rPr>
  </w:style>
  <w:style w:type="paragraph" w:customStyle="1" w:styleId="14">
    <w:name w:val="普通(网站)1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2667</Words>
  <Characters>2954</Characters>
  <Lines>0</Lines>
  <Paragraphs>0</Paragraphs>
  <TotalTime>2</TotalTime>
  <ScaleCrop>false</ScaleCrop>
  <LinksUpToDate>false</LinksUpToDate>
  <CharactersWithSpaces>2955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2023-08-02T17:03:00Z</dcterms:created>
  <dc:creator>张权</dc:creator>
  <cp:lastModifiedBy>加里奥</cp:lastModifiedBy>
  <cp:lastPrinted>2023-08-04T11:13:00Z</cp:lastPrinted>
  <dcterms:modified xsi:type="dcterms:W3CDTF">2024-09-12T07:38:42Z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BF89D1C8123D40E284046BEB8DA5AFBC_13</vt:lpwstr>
  </property>
</Properties>
</file>