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horzAnchor="margin" w:tblpXSpec="left" w:tblpY="-1800"/>
        <w:tblW w:w="1483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46"/>
        <w:gridCol w:w="1283"/>
        <w:gridCol w:w="1381"/>
        <w:gridCol w:w="1843"/>
        <w:gridCol w:w="1134"/>
        <w:gridCol w:w="596"/>
        <w:gridCol w:w="236"/>
        <w:gridCol w:w="236"/>
        <w:gridCol w:w="208"/>
        <w:gridCol w:w="992"/>
        <w:gridCol w:w="992"/>
        <w:gridCol w:w="1276"/>
        <w:gridCol w:w="38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84" w:hRule="atLeast"/>
        </w:trPr>
        <w:tc>
          <w:tcPr>
            <w:tcW w:w="11023" w:type="dxa"/>
            <w:gridSpan w:val="12"/>
            <w:tcBorders>
              <w:top w:val="nil"/>
              <w:left w:val="nil"/>
              <w:bottom w:val="nil"/>
              <w:right w:val="nil"/>
            </w:tcBorders>
            <w:vAlign w:val="center"/>
          </w:tcPr>
          <w:p>
            <w:pPr>
              <w:widowControl/>
              <w:rPr>
                <w:rFonts w:ascii="仿宋_GB2312" w:eastAsia="仿宋_GB2312"/>
                <w:sz w:val="32"/>
                <w:szCs w:val="32"/>
              </w:rPr>
            </w:pPr>
          </w:p>
          <w:p>
            <w:pPr>
              <w:widowControl/>
              <w:rPr>
                <w:rFonts w:ascii="仿宋_GB2312" w:eastAsia="仿宋_GB2312"/>
                <w:sz w:val="32"/>
                <w:szCs w:val="32"/>
              </w:rPr>
            </w:pPr>
            <w:r>
              <w:rPr>
                <w:rFonts w:hint="eastAsia" w:ascii="仿宋_GB2312" w:eastAsia="仿宋_GB2312"/>
                <w:sz w:val="32"/>
                <w:szCs w:val="32"/>
              </w:rPr>
              <w:t>附件:6：</w:t>
            </w:r>
          </w:p>
          <w:p>
            <w:pPr>
              <w:widowControl/>
              <w:jc w:val="center"/>
              <w:rPr>
                <w:rFonts w:ascii="宋体" w:hAnsi="宋体" w:cs="宋体"/>
                <w:color w:val="000000"/>
                <w:kern w:val="0"/>
                <w:sz w:val="32"/>
                <w:szCs w:val="32"/>
              </w:rPr>
            </w:pPr>
            <w:r>
              <w:rPr>
                <w:rFonts w:hint="eastAsia" w:ascii="宋体" w:hAnsi="宋体" w:cs="宋体"/>
                <w:b/>
                <w:bCs/>
                <w:color w:val="000000"/>
                <w:kern w:val="0"/>
                <w:sz w:val="32"/>
                <w:szCs w:val="32"/>
              </w:rPr>
              <w:t>项目支出绩效自评表（样表）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11" w:hRule="atLeast"/>
        </w:trPr>
        <w:tc>
          <w:tcPr>
            <w:tcW w:w="11023" w:type="dxa"/>
            <w:gridSpan w:val="12"/>
            <w:tcBorders>
              <w:top w:val="nil"/>
              <w:left w:val="nil"/>
              <w:bottom w:val="nil"/>
              <w:right w:val="nil"/>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（202</w:t>
            </w:r>
            <w:r>
              <w:rPr>
                <w:rFonts w:hint="eastAsia" w:ascii="宋体" w:hAnsi="宋体" w:cs="宋体"/>
                <w:color w:val="000000"/>
                <w:kern w:val="0"/>
                <w:sz w:val="22"/>
                <w:lang w:val="en-US" w:eastAsia="zh-CN"/>
              </w:rPr>
              <w:t>3</w:t>
            </w:r>
            <w:r>
              <w:rPr>
                <w:rFonts w:hint="eastAsia" w:ascii="宋体" w:hAnsi="宋体" w:cs="宋体"/>
                <w:color w:val="000000"/>
                <w:kern w:val="0"/>
                <w:sz w:val="22"/>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 w:hRule="atLeast"/>
        </w:trPr>
        <w:tc>
          <w:tcPr>
            <w:tcW w:w="84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283"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381" w:type="dxa"/>
            <w:tcBorders>
              <w:top w:val="nil"/>
              <w:left w:val="nil"/>
              <w:bottom w:val="single" w:color="auto" w:sz="4" w:space="0"/>
              <w:right w:val="nil"/>
            </w:tcBorders>
            <w:vAlign w:val="center"/>
          </w:tcPr>
          <w:p>
            <w:pPr>
              <w:widowControl/>
              <w:jc w:val="left"/>
              <w:rPr>
                <w:rFonts w:ascii="宋体" w:hAnsi="宋体" w:cs="宋体"/>
                <w:color w:val="000000"/>
                <w:kern w:val="0"/>
                <w:sz w:val="22"/>
              </w:rPr>
            </w:pPr>
          </w:p>
        </w:tc>
        <w:tc>
          <w:tcPr>
            <w:tcW w:w="1843"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730"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23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23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200"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5085"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项目名称</w:t>
            </w:r>
          </w:p>
        </w:tc>
        <w:tc>
          <w:tcPr>
            <w:tcW w:w="7513" w:type="dxa"/>
            <w:gridSpan w:val="9"/>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eastAsia="zh-CN"/>
              </w:rPr>
              <w:t>退役军人经费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主管部门及代码</w:t>
            </w:r>
          </w:p>
        </w:tc>
        <w:tc>
          <w:tcPr>
            <w:tcW w:w="2977"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eastAsia="zh-CN"/>
              </w:rPr>
              <w:t>北臧村镇人民政府</w:t>
            </w:r>
            <w:r>
              <w:rPr>
                <w:rFonts w:ascii="宋体" w:hAnsi="宋体" w:eastAsia="宋体" w:cs="宋体"/>
                <w:color w:val="000000"/>
                <w:kern w:val="0"/>
                <w:sz w:val="24"/>
                <w:szCs w:val="22"/>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-53340</wp:posOffset>
                      </wp:positionH>
                      <wp:positionV relativeFrom="paragraph">
                        <wp:posOffset>216535</wp:posOffset>
                      </wp:positionV>
                      <wp:extent cx="1152525" cy="609600"/>
                      <wp:effectExtent l="2540" t="4445" r="6985" b="14605"/>
                      <wp:wrapNone/>
                      <wp:docPr id="1" name="AutoShape 3"/>
                      <wp:cNvGraphicFramePr/>
                      <a:graphic xmlns:a="http://schemas.openxmlformats.org/drawingml/2006/main">
                        <a:graphicData uri="http://schemas.microsoft.com/office/word/2010/wordprocessingShape">
                          <wps:wsp>
                            <wps:cNvCnPr/>
                            <wps:spPr>
                              <a:xfrm>
                                <a:off x="0" y="0"/>
                                <a:ext cx="1152525" cy="609600"/>
                              </a:xfrm>
                              <a:prstGeom prst="straightConnector1">
                                <a:avLst/>
                              </a:prstGeom>
                              <a:ln w="9525" cap="flat" cmpd="sng">
                                <a:solidFill>
                                  <a:srgbClr val="000000"/>
                                </a:solidFill>
                                <a:prstDash val="solid"/>
                                <a:headEnd type="none" w="med" len="med"/>
                                <a:tailEnd type="none" w="med" len="med"/>
                              </a:ln>
                            </wps:spPr>
                            <wps:bodyPr upright="0"/>
                          </wps:wsp>
                        </a:graphicData>
                      </a:graphic>
                    </wp:anchor>
                  </w:drawing>
                </mc:Choice>
                <mc:Fallback>
                  <w:pict>
                    <v:shape id="AutoShape 3" o:spid="_x0000_s1026" o:spt="32" type="#_x0000_t32" style="position:absolute;left:0pt;margin-left:-4.2pt;margin-top:17.05pt;height:48pt;width:90.75pt;z-index:251658240;mso-width-relative:page;mso-height-relative:page;" filled="f" stroked="t" coordsize="21600,21600" o:gfxdata="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YtmMNcAAAAJAQAADwAAAAAAAAABACAAAAAiAAAAZHJz&#10;L2Rvd25yZXYueG1sUEsBAhQAFAAAAAgAh07iQDQCyfzMAQAAowMAAA4AAAAAAAAAAQAgAAAAJgEA&#10;AGRycy9lMm9Eb2MueG1sUEsFBgAAAAAGAAYAWQEAAGQFAAAAAA==&#10;">
                      <v:fill on="f" focussize="0,0"/>
                      <v:stroke color="#000000" joinstyle="round"/>
                      <v:imagedata o:title=""/>
                      <o:lock v:ext="edit" aspectratio="f"/>
                    </v:shape>
                  </w:pict>
                </mc:Fallback>
              </mc:AlternateContent>
            </w:r>
          </w:p>
        </w:tc>
        <w:tc>
          <w:tcPr>
            <w:tcW w:w="1276" w:type="dxa"/>
            <w:gridSpan w:val="4"/>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实施单位</w:t>
            </w:r>
          </w:p>
        </w:tc>
        <w:tc>
          <w:tcPr>
            <w:tcW w:w="326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eastAsia="zh-CN"/>
              </w:rPr>
              <w:t>平安建设办（民政）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674" w:hRule="atLeast"/>
        </w:trPr>
        <w:tc>
          <w:tcPr>
            <w:tcW w:w="3510" w:type="dxa"/>
            <w:gridSpan w:val="3"/>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项目资金                    （万元）</w:t>
            </w:r>
          </w:p>
        </w:tc>
        <w:tc>
          <w:tcPr>
            <w:tcW w:w="1843"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p>
        </w:tc>
        <w:tc>
          <w:tcPr>
            <w:tcW w:w="1134"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年初预算数（A）</w:t>
            </w:r>
          </w:p>
        </w:tc>
        <w:tc>
          <w:tcPr>
            <w:tcW w:w="1276"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全年执行数（B）</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分值（10分）</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执行率（B/A)</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年度资金总额：</w:t>
            </w:r>
          </w:p>
        </w:tc>
        <w:tc>
          <w:tcPr>
            <w:tcW w:w="1134"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92.32</w:t>
            </w:r>
          </w:p>
        </w:tc>
        <w:tc>
          <w:tcPr>
            <w:tcW w:w="1276" w:type="dxa"/>
            <w:gridSpan w:val="4"/>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73.86</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80</w:t>
            </w: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其中:财政拨款</w:t>
            </w:r>
          </w:p>
        </w:tc>
        <w:tc>
          <w:tcPr>
            <w:tcW w:w="11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76"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其他资金</w:t>
            </w:r>
          </w:p>
        </w:tc>
        <w:tc>
          <w:tcPr>
            <w:tcW w:w="11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276"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1668" w:hRule="atLeast"/>
        </w:trPr>
        <w:tc>
          <w:tcPr>
            <w:tcW w:w="846" w:type="dxa"/>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年度目标</w:t>
            </w:r>
          </w:p>
        </w:tc>
        <w:tc>
          <w:tcPr>
            <w:tcW w:w="5641" w:type="dxa"/>
            <w:gridSpan w:val="4"/>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color w:val="000000"/>
                <w:kern w:val="0"/>
                <w:sz w:val="24"/>
              </w:rPr>
            </w:pPr>
            <w:r>
              <w:rPr>
                <w:rFonts w:hint="eastAsia" w:ascii="宋体" w:hAnsi="宋体" w:cs="宋体"/>
                <w:color w:val="000000"/>
                <w:kern w:val="0"/>
                <w:sz w:val="24"/>
              </w:rPr>
              <w:t>年初设定目标：通过</w:t>
            </w:r>
            <w:r>
              <w:rPr>
                <w:rFonts w:hint="eastAsia" w:ascii="宋体" w:hAnsi="宋体" w:cs="宋体"/>
                <w:color w:val="000000"/>
                <w:kern w:val="0"/>
                <w:sz w:val="24"/>
                <w:lang w:eastAsia="zh-CN"/>
              </w:rPr>
              <w:t>对优抚对象的各项相关政策实施，</w:t>
            </w:r>
            <w:r>
              <w:rPr>
                <w:rFonts w:hint="eastAsia" w:ascii="宋体" w:hAnsi="宋体" w:cs="宋体"/>
                <w:color w:val="000000"/>
                <w:kern w:val="0"/>
                <w:sz w:val="24"/>
              </w:rPr>
              <w:t>体现党和政府对现役军人的关心和爱护</w:t>
            </w:r>
            <w:r>
              <w:rPr>
                <w:rFonts w:hint="eastAsia" w:ascii="宋体" w:hAnsi="宋体" w:cs="宋体"/>
                <w:color w:val="000000"/>
                <w:kern w:val="0"/>
                <w:sz w:val="24"/>
                <w:lang w:eastAsia="zh-CN"/>
              </w:rPr>
              <w:t>；</w:t>
            </w:r>
            <w:r>
              <w:rPr>
                <w:rFonts w:hint="eastAsia" w:ascii="宋体" w:hAnsi="宋体" w:cs="宋体"/>
                <w:color w:val="000000"/>
                <w:kern w:val="0"/>
                <w:sz w:val="24"/>
              </w:rPr>
              <w:t>提升</w:t>
            </w:r>
            <w:r>
              <w:rPr>
                <w:rFonts w:hint="eastAsia" w:ascii="宋体" w:hAnsi="宋体" w:cs="宋体"/>
                <w:color w:val="000000"/>
                <w:kern w:val="0"/>
                <w:sz w:val="24"/>
                <w:lang w:eastAsia="zh-CN"/>
              </w:rPr>
              <w:t>优抚对象的</w:t>
            </w:r>
            <w:r>
              <w:rPr>
                <w:rFonts w:hint="eastAsia" w:ascii="宋体" w:hAnsi="宋体" w:cs="宋体"/>
                <w:color w:val="000000"/>
                <w:kern w:val="0"/>
                <w:sz w:val="24"/>
              </w:rPr>
              <w:t>荣誉感</w:t>
            </w:r>
            <w:r>
              <w:rPr>
                <w:rFonts w:hint="eastAsia" w:ascii="宋体" w:hAnsi="宋体" w:cs="宋体"/>
                <w:color w:val="000000"/>
                <w:kern w:val="0"/>
                <w:sz w:val="24"/>
                <w:lang w:eastAsia="zh-CN"/>
              </w:rPr>
              <w:t>、</w:t>
            </w:r>
            <w:r>
              <w:rPr>
                <w:rFonts w:hint="eastAsia" w:ascii="宋体" w:hAnsi="宋体" w:cs="宋体"/>
                <w:color w:val="000000"/>
                <w:kern w:val="0"/>
                <w:sz w:val="24"/>
              </w:rPr>
              <w:t>使命感</w:t>
            </w:r>
            <w:r>
              <w:rPr>
                <w:rFonts w:hint="eastAsia" w:ascii="宋体" w:hAnsi="宋体" w:cs="宋体"/>
                <w:color w:val="000000"/>
                <w:kern w:val="0"/>
                <w:sz w:val="24"/>
                <w:lang w:eastAsia="zh-CN"/>
              </w:rPr>
              <w:t>、归属感</w:t>
            </w:r>
            <w:r>
              <w:rPr>
                <w:rFonts w:hint="eastAsia" w:ascii="宋体" w:hAnsi="宋体" w:cs="宋体"/>
                <w:color w:val="000000"/>
                <w:kern w:val="0"/>
                <w:sz w:val="24"/>
              </w:rPr>
              <w:t>。</w:t>
            </w:r>
          </w:p>
          <w:p>
            <w:pPr>
              <w:widowControl/>
              <w:jc w:val="center"/>
              <w:rPr>
                <w:rFonts w:ascii="宋体" w:hAnsi="宋体" w:cs="宋体"/>
                <w:color w:val="000000"/>
                <w:kern w:val="0"/>
                <w:sz w:val="24"/>
              </w:rPr>
            </w:pPr>
          </w:p>
        </w:tc>
        <w:tc>
          <w:tcPr>
            <w:tcW w:w="4536" w:type="dxa"/>
            <w:gridSpan w:val="7"/>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年度总体目标完成情况综述：达成预期指标</w:t>
            </w:r>
            <w:r>
              <w:rPr>
                <w:rFonts w:hint="eastAsia" w:ascii="宋体" w:hAnsi="宋体" w:cs="宋体"/>
                <w:color w:val="000000"/>
                <w:kern w:val="0"/>
                <w:sz w:val="24"/>
                <w:lang w:eastAsia="zh-CN"/>
              </w:rPr>
              <w:t>，未使用资金部分情况为优抚对象的增减、购买慰问品、鲜花为时价，部分优抚对象医疗费用二次报销时该报销人提供的医疗费用单据决定。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737" w:hRule="atLeast"/>
        </w:trPr>
        <w:tc>
          <w:tcPr>
            <w:tcW w:w="846" w:type="dxa"/>
            <w:vMerge w:val="restart"/>
            <w:tcBorders>
              <w:top w:val="single" w:color="auto" w:sz="4" w:space="0"/>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绩效指标</w:t>
            </w:r>
          </w:p>
        </w:tc>
        <w:tc>
          <w:tcPr>
            <w:tcW w:w="12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一级指标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二级指标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三级指标</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年度指标值(A)</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全年实际值(B)</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产</w:t>
            </w:r>
            <w:r>
              <w:rPr>
                <w:rFonts w:hint="eastAsia" w:ascii="宋体" w:hAnsi="宋体" w:cs="宋体"/>
                <w:kern w:val="0"/>
                <w:sz w:val="24"/>
              </w:rPr>
              <w:br w:type="textWrapping"/>
            </w:r>
            <w:r>
              <w:rPr>
                <w:rFonts w:hint="eastAsia" w:ascii="宋体" w:hAnsi="宋体" w:cs="宋体"/>
                <w:kern w:val="0"/>
                <w:sz w:val="24"/>
              </w:rPr>
              <w:t>出</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r>
              <w:rPr>
                <w:rFonts w:hint="eastAsia" w:ascii="宋体" w:hAnsi="宋体" w:cs="宋体"/>
                <w:kern w:val="0"/>
                <w:sz w:val="24"/>
              </w:rPr>
              <w:br w:type="textWrapping"/>
            </w:r>
            <w:r>
              <w:rPr>
                <w:rFonts w:hint="eastAsia" w:ascii="宋体" w:hAnsi="宋体" w:cs="宋体"/>
                <w:kern w:val="0"/>
                <w:sz w:val="24"/>
              </w:rPr>
              <w:t>(50分)</w:t>
            </w: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kern w:val="0"/>
                <w:sz w:val="24"/>
                <w:lang w:eastAsia="zh-CN"/>
              </w:rPr>
            </w:pPr>
            <w:r>
              <w:rPr>
                <w:rFonts w:hint="eastAsia"/>
                <w:lang w:eastAsia="zh-CN"/>
              </w:rPr>
              <w:t>优抚对象、驻地部队慰问</w:t>
            </w:r>
          </w:p>
        </w:tc>
        <w:tc>
          <w:tcPr>
            <w:tcW w:w="1134"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eastAsia="宋体"/>
                <w:kern w:val="0"/>
                <w:sz w:val="24"/>
                <w:lang w:val="en-US" w:eastAsia="zh-CN"/>
              </w:rPr>
            </w:pPr>
            <w:r>
              <w:rPr>
                <w:rFonts w:hint="eastAsia"/>
                <w:kern w:val="0"/>
                <w:sz w:val="24"/>
                <w:lang w:val="en-US" w:eastAsia="zh-CN"/>
              </w:rPr>
              <w:t>100%</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5</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5</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lang w:eastAsia="zh-CN"/>
              </w:rPr>
            </w:pPr>
            <w:r>
              <w:rPr>
                <w:rFonts w:hint="eastAsia"/>
                <w:lang w:eastAsia="zh-CN"/>
              </w:rPr>
              <w:t>部分优抚对象医疗费用二次报销</w:t>
            </w:r>
          </w:p>
        </w:tc>
        <w:tc>
          <w:tcPr>
            <w:tcW w:w="1134" w:type="dxa"/>
            <w:tcBorders>
              <w:top w:val="single" w:color="auto" w:sz="4" w:space="0"/>
              <w:left w:val="single" w:color="auto" w:sz="4" w:space="0"/>
              <w:bottom w:val="single" w:color="auto" w:sz="4" w:space="0"/>
              <w:right w:val="single" w:color="000000" w:sz="4" w:space="0"/>
            </w:tcBorders>
            <w:vAlign w:val="center"/>
          </w:tcPr>
          <w:p>
            <w:pPr>
              <w:widowControl/>
              <w:jc w:val="center"/>
            </w:pPr>
            <w:r>
              <w:rPr>
                <w:rFonts w:hint="eastAsia"/>
                <w:kern w:val="0"/>
                <w:sz w:val="24"/>
                <w:lang w:val="en-US" w:eastAsia="zh-CN"/>
              </w:rPr>
              <w:t>100%</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5</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5</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694"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lang w:eastAsia="zh-CN"/>
              </w:rPr>
            </w:pPr>
            <w:r>
              <w:rPr>
                <w:rFonts w:hint="eastAsia"/>
                <w:lang w:eastAsia="zh-CN"/>
              </w:rPr>
              <w:t>义务兵优待金发放</w:t>
            </w:r>
          </w:p>
        </w:tc>
        <w:tc>
          <w:tcPr>
            <w:tcW w:w="1134" w:type="dxa"/>
            <w:tcBorders>
              <w:top w:val="single" w:color="auto" w:sz="4" w:space="0"/>
              <w:left w:val="single" w:color="auto" w:sz="4" w:space="0"/>
              <w:bottom w:val="single" w:color="auto" w:sz="4" w:space="0"/>
              <w:right w:val="single" w:color="000000" w:sz="4" w:space="0"/>
            </w:tcBorders>
            <w:vAlign w:val="center"/>
          </w:tcPr>
          <w:p>
            <w:pPr>
              <w:widowControl/>
              <w:jc w:val="center"/>
            </w:pPr>
            <w:r>
              <w:rPr>
                <w:rFonts w:hint="eastAsia"/>
                <w:kern w:val="0"/>
                <w:sz w:val="24"/>
                <w:lang w:val="en-US" w:eastAsia="zh-CN"/>
              </w:rPr>
              <w:t>100%</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10</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lang w:eastAsia="zh-CN"/>
              </w:rPr>
            </w:pPr>
            <w:r>
              <w:rPr>
                <w:rFonts w:hint="eastAsia"/>
                <w:lang w:eastAsia="zh-CN"/>
              </w:rPr>
              <w:t>清明、</w:t>
            </w:r>
            <w:r>
              <w:rPr>
                <w:rFonts w:hint="eastAsia"/>
                <w:lang w:val="en-US" w:eastAsia="zh-CN"/>
              </w:rPr>
              <w:t>9.30烈士纪念活动</w:t>
            </w:r>
          </w:p>
        </w:tc>
        <w:tc>
          <w:tcPr>
            <w:tcW w:w="1134"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kern w:val="0"/>
                <w:sz w:val="24"/>
                <w:lang w:val="en-US" w:eastAsia="zh-CN"/>
              </w:rPr>
            </w:pPr>
            <w:r>
              <w:rPr>
                <w:rFonts w:hint="eastAsia"/>
                <w:kern w:val="0"/>
                <w:sz w:val="24"/>
                <w:lang w:val="en-US" w:eastAsia="zh-CN"/>
              </w:rPr>
              <w:t>100%</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eastAsia="zh-CN"/>
              </w:rPr>
              <w:t>纪念日活动购买鲜花为时价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lang w:eastAsia="zh-CN"/>
              </w:rPr>
            </w:pPr>
            <w:r>
              <w:rPr>
                <w:rFonts w:hint="eastAsia"/>
                <w:lang w:eastAsia="zh-CN"/>
              </w:rPr>
              <w:t>杂志订购</w:t>
            </w:r>
          </w:p>
        </w:tc>
        <w:tc>
          <w:tcPr>
            <w:tcW w:w="1134" w:type="dxa"/>
            <w:tcBorders>
              <w:top w:val="single" w:color="auto" w:sz="4" w:space="0"/>
              <w:left w:val="single" w:color="auto" w:sz="4" w:space="0"/>
              <w:bottom w:val="single" w:color="auto" w:sz="4" w:space="0"/>
              <w:right w:val="single" w:color="000000" w:sz="4" w:space="0"/>
            </w:tcBorders>
            <w:vAlign w:val="center"/>
          </w:tcPr>
          <w:p>
            <w:pPr>
              <w:widowControl/>
              <w:jc w:val="center"/>
            </w:pPr>
            <w:r>
              <w:rPr>
                <w:rFonts w:hint="eastAsia"/>
                <w:kern w:val="0"/>
                <w:sz w:val="24"/>
                <w:lang w:val="en-US" w:eastAsia="zh-CN"/>
              </w:rPr>
              <w:t>100%</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717"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kern w:val="0"/>
                <w:sz w:val="24"/>
                <w:lang w:eastAsia="zh-CN"/>
              </w:rPr>
            </w:pPr>
            <w:r>
              <w:rPr>
                <w:rFonts w:hint="eastAsia"/>
                <w:kern w:val="0"/>
                <w:sz w:val="24"/>
                <w:lang w:eastAsia="zh-CN"/>
              </w:rPr>
              <w:t>优抚对象及驻地部队发放准确率</w:t>
            </w:r>
          </w:p>
        </w:tc>
        <w:tc>
          <w:tcPr>
            <w:tcW w:w="1134" w:type="dxa"/>
            <w:tcBorders>
              <w:top w:val="single" w:color="auto" w:sz="4" w:space="0"/>
              <w:left w:val="nil"/>
              <w:bottom w:val="single" w:color="auto" w:sz="4" w:space="0"/>
              <w:right w:val="single" w:color="auto" w:sz="4" w:space="0"/>
            </w:tcBorders>
            <w:vAlign w:val="center"/>
          </w:tcPr>
          <w:p>
            <w:pPr>
              <w:jc w:val="center"/>
              <w:rPr>
                <w:rFonts w:hint="eastAsia" w:eastAsia="宋体"/>
                <w:lang w:eastAsia="zh-CN"/>
              </w:rPr>
            </w:pPr>
            <w:r>
              <w:rPr>
                <w:rFonts w:hint="eastAsia"/>
                <w:lang w:val="en-US" w:eastAsia="zh-CN"/>
              </w:rPr>
              <w:t>100%</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lang w:eastAsia="zh-CN"/>
              </w:rPr>
              <w:t>部分优抚对象医疗费用二次报销发放准确率</w:t>
            </w:r>
          </w:p>
        </w:tc>
        <w:tc>
          <w:tcPr>
            <w:tcW w:w="1134" w:type="dxa"/>
            <w:tcBorders>
              <w:top w:val="single" w:color="auto" w:sz="4" w:space="0"/>
              <w:left w:val="nil"/>
              <w:bottom w:val="single" w:color="auto" w:sz="4" w:space="0"/>
              <w:right w:val="single" w:color="auto" w:sz="4" w:space="0"/>
            </w:tcBorders>
            <w:vAlign w:val="center"/>
          </w:tcPr>
          <w:p>
            <w:pPr>
              <w:jc w:val="center"/>
              <w:rPr>
                <w:rFonts w:hint="eastAsia" w:eastAsia="宋体"/>
                <w:lang w:eastAsia="zh-CN"/>
              </w:rPr>
            </w:pPr>
            <w:r>
              <w:rPr>
                <w:rFonts w:hint="eastAsia"/>
                <w:lang w:val="en-US" w:eastAsia="zh-CN"/>
              </w:rPr>
              <w:t>100%</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p>
            <w:pPr>
              <w:jc w:val="center"/>
              <w:rPr>
                <w:rFonts w:ascii="宋体" w:hAnsi="宋体" w:cs="宋体"/>
                <w:color w:val="000000"/>
                <w:kern w:val="0"/>
                <w:sz w:val="24"/>
              </w:rPr>
            </w:pPr>
          </w:p>
          <w:p>
            <w:pPr>
              <w:jc w:val="both"/>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hint="eastAsia"/>
                <w:lang w:eastAsia="zh-CN"/>
              </w:rPr>
            </w:pPr>
            <w:r>
              <w:rPr>
                <w:rFonts w:hint="eastAsia"/>
                <w:lang w:eastAsia="zh-CN"/>
              </w:rPr>
              <w:t>义务兵优待金发放准确率</w:t>
            </w:r>
          </w:p>
        </w:tc>
        <w:tc>
          <w:tcPr>
            <w:tcW w:w="1134" w:type="dxa"/>
            <w:tcBorders>
              <w:top w:val="single" w:color="auto" w:sz="4" w:space="0"/>
              <w:left w:val="nil"/>
              <w:bottom w:val="single" w:color="auto" w:sz="4" w:space="0"/>
              <w:right w:val="single" w:color="auto" w:sz="4" w:space="0"/>
            </w:tcBorders>
            <w:vAlign w:val="center"/>
          </w:tcPr>
          <w:p>
            <w:pPr>
              <w:jc w:val="center"/>
              <w:rPr>
                <w:rFonts w:hint="eastAsia"/>
                <w:lang w:val="en-US" w:eastAsia="zh-CN"/>
              </w:rPr>
            </w:pPr>
            <w:r>
              <w:rPr>
                <w:rFonts w:hint="eastAsia"/>
                <w:lang w:val="en-US" w:eastAsia="zh-CN"/>
              </w:rPr>
              <w:t>100%</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eastAsia="zh-CN"/>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both"/>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hint="eastAsia"/>
                <w:lang w:eastAsia="zh-CN"/>
              </w:rPr>
            </w:pPr>
            <w:r>
              <w:rPr>
                <w:rFonts w:hint="eastAsia"/>
                <w:lang w:eastAsia="zh-CN"/>
              </w:rPr>
              <w:t>清明、</w:t>
            </w:r>
            <w:r>
              <w:rPr>
                <w:rFonts w:hint="eastAsia"/>
                <w:lang w:val="en-US" w:eastAsia="zh-CN"/>
              </w:rPr>
              <w:t>9.30烈士纪念日活动</w:t>
            </w:r>
          </w:p>
        </w:tc>
        <w:tc>
          <w:tcPr>
            <w:tcW w:w="1134" w:type="dxa"/>
            <w:tcBorders>
              <w:top w:val="single" w:color="auto" w:sz="4" w:space="0"/>
              <w:left w:val="nil"/>
              <w:bottom w:val="single" w:color="auto" w:sz="4" w:space="0"/>
              <w:right w:val="single" w:color="auto" w:sz="4" w:space="0"/>
            </w:tcBorders>
            <w:vAlign w:val="center"/>
          </w:tcPr>
          <w:p>
            <w:pPr>
              <w:jc w:val="center"/>
              <w:rPr>
                <w:rFonts w:hint="eastAsia"/>
                <w:lang w:val="en-US" w:eastAsia="zh-CN"/>
              </w:rPr>
            </w:pPr>
            <w:r>
              <w:rPr>
                <w:rFonts w:hint="eastAsia"/>
                <w:lang w:val="en-US" w:eastAsia="zh-CN"/>
              </w:rPr>
              <w:t>100%</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4"/>
                <w:lang w:eastAsia="zh-CN"/>
              </w:rPr>
            </w:pPr>
            <w:r>
              <w:rPr>
                <w:rFonts w:hint="eastAsia" w:ascii="宋体" w:hAnsi="宋体" w:cs="宋体"/>
                <w:color w:val="000000"/>
                <w:kern w:val="0"/>
                <w:sz w:val="24"/>
                <w:lang w:eastAsia="zh-CN"/>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both"/>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hint="eastAsia"/>
                <w:lang w:eastAsia="zh-CN"/>
              </w:rPr>
            </w:pPr>
            <w:r>
              <w:rPr>
                <w:rFonts w:hint="eastAsia"/>
                <w:lang w:eastAsia="zh-CN"/>
              </w:rPr>
              <w:t>订购杂志</w:t>
            </w:r>
          </w:p>
        </w:tc>
        <w:tc>
          <w:tcPr>
            <w:tcW w:w="1134" w:type="dxa"/>
            <w:tcBorders>
              <w:top w:val="single" w:color="auto" w:sz="4" w:space="0"/>
              <w:left w:val="nil"/>
              <w:bottom w:val="single" w:color="auto" w:sz="4" w:space="0"/>
              <w:right w:val="single" w:color="auto" w:sz="4" w:space="0"/>
            </w:tcBorders>
            <w:vAlign w:val="center"/>
          </w:tcPr>
          <w:p>
            <w:pPr>
              <w:jc w:val="center"/>
              <w:rPr>
                <w:rFonts w:hint="eastAsia"/>
                <w:lang w:val="en-US" w:eastAsia="zh-CN"/>
              </w:rPr>
            </w:pPr>
            <w:r>
              <w:rPr>
                <w:rFonts w:hint="eastAsia"/>
                <w:lang w:val="en-US" w:eastAsia="zh-CN"/>
              </w:rPr>
              <w:t>100%</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4"/>
                <w:lang w:eastAsia="zh-CN"/>
              </w:rPr>
            </w:pPr>
            <w:r>
              <w:rPr>
                <w:rFonts w:hint="eastAsia" w:ascii="宋体" w:hAnsi="宋体" w:cs="宋体"/>
                <w:color w:val="000000"/>
                <w:kern w:val="0"/>
                <w:sz w:val="24"/>
                <w:lang w:eastAsia="zh-CN"/>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both"/>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9"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进度指标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rPr>
              <w:t>绩效评价完成时间</w:t>
            </w:r>
          </w:p>
        </w:tc>
        <w:tc>
          <w:tcPr>
            <w:tcW w:w="1134" w:type="dxa"/>
            <w:tcBorders>
              <w:top w:val="single" w:color="auto" w:sz="4" w:space="0"/>
              <w:left w:val="nil"/>
              <w:bottom w:val="single" w:color="auto" w:sz="4" w:space="0"/>
              <w:right w:val="single" w:color="auto" w:sz="4" w:space="0"/>
            </w:tcBorders>
            <w:vAlign w:val="center"/>
          </w:tcPr>
          <w:p>
            <w:pPr>
              <w:jc w:val="center"/>
            </w:pPr>
            <w:r>
              <w:rPr>
                <w:rFonts w:hint="eastAsia"/>
              </w:rPr>
              <w:t>12月前</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5</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9"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事中评价时间</w:t>
            </w:r>
          </w:p>
        </w:tc>
        <w:tc>
          <w:tcPr>
            <w:tcW w:w="1134" w:type="dxa"/>
            <w:tcBorders>
              <w:top w:val="single" w:color="auto" w:sz="4" w:space="0"/>
              <w:left w:val="nil"/>
              <w:bottom w:val="single" w:color="auto" w:sz="4" w:space="0"/>
              <w:right w:val="single" w:color="auto" w:sz="4" w:space="0"/>
            </w:tcBorders>
            <w:vAlign w:val="center"/>
          </w:tcPr>
          <w:p>
            <w:pPr>
              <w:jc w:val="center"/>
            </w:pPr>
            <w:r>
              <w:rPr>
                <w:rFonts w:hint="eastAsia"/>
              </w:rPr>
              <w:t>7月</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9"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pPr>
          </w:p>
        </w:tc>
        <w:tc>
          <w:tcPr>
            <w:tcW w:w="1134" w:type="dxa"/>
            <w:tcBorders>
              <w:top w:val="single" w:color="auto" w:sz="4" w:space="0"/>
              <w:left w:val="nil"/>
              <w:bottom w:val="single" w:color="auto" w:sz="4" w:space="0"/>
              <w:right w:val="single" w:color="auto" w:sz="4" w:space="0"/>
            </w:tcBorders>
            <w:vAlign w:val="center"/>
          </w:tcPr>
          <w:p>
            <w:pPr>
              <w:jc w:val="center"/>
            </w:pP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1843"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kern w:val="0"/>
                <w:sz w:val="24"/>
              </w:rPr>
            </w:pPr>
            <w:r>
              <w:rPr>
                <w:rFonts w:hint="eastAsia"/>
              </w:rPr>
              <w:t>绩效管理经费预算控制数</w:t>
            </w:r>
          </w:p>
        </w:tc>
        <w:tc>
          <w:tcPr>
            <w:tcW w:w="1134" w:type="dxa"/>
            <w:tcBorders>
              <w:top w:val="single" w:color="auto" w:sz="4" w:space="0"/>
              <w:left w:val="nil"/>
              <w:bottom w:val="single" w:color="auto" w:sz="4" w:space="0"/>
              <w:right w:val="single" w:color="auto" w:sz="4" w:space="0"/>
            </w:tcBorders>
            <w:shd w:val="clear" w:color="000000" w:fill="FFFFFF"/>
            <w:vAlign w:val="center"/>
          </w:tcPr>
          <w:p>
            <w:r>
              <w:rPr>
                <w:rFonts w:hint="eastAsia"/>
                <w:lang w:val="en-US" w:eastAsia="zh-CN"/>
              </w:rPr>
              <w:t>92.32</w:t>
            </w:r>
            <w:r>
              <w:rPr>
                <w:rFonts w:hint="eastAsia"/>
              </w:rPr>
              <w:t>万元</w:t>
            </w:r>
          </w:p>
        </w:tc>
        <w:tc>
          <w:tcPr>
            <w:tcW w:w="1276"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未完成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8</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评估、评价尾款项目控制数</w:t>
            </w:r>
          </w:p>
        </w:tc>
        <w:tc>
          <w:tcPr>
            <w:tcW w:w="1134" w:type="dxa"/>
            <w:tcBorders>
              <w:top w:val="single" w:color="auto" w:sz="4" w:space="0"/>
              <w:left w:val="nil"/>
              <w:bottom w:val="single" w:color="auto" w:sz="4" w:space="0"/>
              <w:right w:val="single" w:color="auto" w:sz="4" w:space="0"/>
            </w:tcBorders>
            <w:vAlign w:val="center"/>
          </w:tcPr>
          <w:p>
            <w:pPr>
              <w:jc w:val="center"/>
              <w:rPr>
                <w:rFonts w:hint="eastAsia" w:eastAsia="宋体"/>
                <w:lang w:eastAsia="zh-CN"/>
              </w:rPr>
            </w:pPr>
            <w:r>
              <w:rPr>
                <w:rFonts w:hint="eastAsia"/>
                <w:lang w:val="en-US" w:eastAsia="zh-CN"/>
              </w:rPr>
              <w:t>0</w:t>
            </w:r>
          </w:p>
        </w:tc>
        <w:tc>
          <w:tcPr>
            <w:tcW w:w="1276"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6"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效</w:t>
            </w:r>
            <w:r>
              <w:rPr>
                <w:rFonts w:hint="eastAsia" w:ascii="宋体" w:hAnsi="宋体" w:cs="宋体"/>
                <w:kern w:val="0"/>
                <w:sz w:val="24"/>
              </w:rPr>
              <w:br w:type="textWrapping"/>
            </w:r>
            <w:r>
              <w:rPr>
                <w:rFonts w:hint="eastAsia" w:ascii="宋体" w:hAnsi="宋体" w:cs="宋体"/>
                <w:kern w:val="0"/>
                <w:sz w:val="24"/>
              </w:rPr>
              <w:t>果</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r>
              <w:rPr>
                <w:rFonts w:hint="eastAsia" w:ascii="宋体" w:hAnsi="宋体" w:cs="宋体"/>
                <w:kern w:val="0"/>
                <w:sz w:val="24"/>
              </w:rPr>
              <w:br w:type="textWrapping"/>
            </w:r>
            <w:r>
              <w:rPr>
                <w:rFonts w:hint="eastAsia" w:ascii="宋体" w:hAnsi="宋体" w:cs="宋体"/>
                <w:kern w:val="0"/>
                <w:sz w:val="24"/>
              </w:rPr>
              <w:t>(40分)</w:t>
            </w:r>
          </w:p>
        </w:tc>
        <w:tc>
          <w:tcPr>
            <w:tcW w:w="13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p>
            <w:pPr>
              <w:widowControl/>
              <w:jc w:val="center"/>
              <w:rPr>
                <w:rFonts w:ascii="宋体" w:hAnsi="宋体" w:cs="宋体"/>
                <w:kern w:val="0"/>
                <w:sz w:val="24"/>
              </w:rPr>
            </w:pPr>
            <w:r>
              <w:rPr>
                <w:rFonts w:hint="eastAsia" w:ascii="宋体" w:hAnsi="宋体" w:cs="宋体"/>
                <w:kern w:val="0"/>
                <w:sz w:val="24"/>
              </w:rPr>
              <w:t>效益指标</w:t>
            </w:r>
            <w:r>
              <w:rPr>
                <w:rFonts w:hint="eastAsia" w:ascii="宋体" w:hAnsi="宋体" w:cs="宋体"/>
                <w:kern w:val="0"/>
                <w:sz w:val="24"/>
              </w:rPr>
              <w:br w:type="textWrapping"/>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rPr>
              <w:t>职能履行绩效</w:t>
            </w:r>
          </w:p>
        </w:tc>
        <w:tc>
          <w:tcPr>
            <w:tcW w:w="1134" w:type="dxa"/>
            <w:tcBorders>
              <w:top w:val="single" w:color="auto" w:sz="4" w:space="0"/>
              <w:left w:val="nil"/>
              <w:bottom w:val="single" w:color="auto" w:sz="4" w:space="0"/>
              <w:right w:val="single" w:color="auto" w:sz="4" w:space="0"/>
            </w:tcBorders>
            <w:vAlign w:val="center"/>
          </w:tcPr>
          <w:p>
            <w:pPr>
              <w:jc w:val="center"/>
            </w:pPr>
            <w:r>
              <w:rPr>
                <w:rFonts w:hint="eastAsia"/>
              </w:rPr>
              <w:t>有所增强</w:t>
            </w:r>
          </w:p>
        </w:tc>
        <w:tc>
          <w:tcPr>
            <w:tcW w:w="1276"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　</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09"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绩效评价管理</w:t>
            </w:r>
          </w:p>
        </w:tc>
        <w:tc>
          <w:tcPr>
            <w:tcW w:w="1134" w:type="dxa"/>
            <w:tcBorders>
              <w:top w:val="single" w:color="auto" w:sz="4" w:space="0"/>
              <w:left w:val="nil"/>
              <w:bottom w:val="single" w:color="auto" w:sz="4" w:space="0"/>
              <w:right w:val="single" w:color="auto" w:sz="4" w:space="0"/>
            </w:tcBorders>
            <w:vAlign w:val="center"/>
          </w:tcPr>
          <w:p>
            <w:pPr>
              <w:jc w:val="center"/>
            </w:pPr>
            <w:r>
              <w:rPr>
                <w:rFonts w:hint="eastAsia"/>
              </w:rPr>
              <w:t>有所提升</w:t>
            </w:r>
          </w:p>
        </w:tc>
        <w:tc>
          <w:tcPr>
            <w:tcW w:w="1276"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完成　</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　</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8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服务对象</w:t>
            </w:r>
            <w:r>
              <w:rPr>
                <w:rFonts w:hint="eastAsia" w:ascii="宋体" w:hAnsi="宋体" w:cs="宋体"/>
                <w:kern w:val="0"/>
                <w:sz w:val="24"/>
              </w:rPr>
              <w:br w:type="textWrapping"/>
            </w:r>
            <w:r>
              <w:rPr>
                <w:rFonts w:hint="eastAsia" w:ascii="宋体" w:hAnsi="宋体" w:cs="宋体"/>
                <w:kern w:val="0"/>
                <w:sz w:val="24"/>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rPr>
              <w:t>社会评价及廉政反馈情况</w:t>
            </w:r>
          </w:p>
        </w:tc>
        <w:tc>
          <w:tcPr>
            <w:tcW w:w="1134" w:type="dxa"/>
            <w:tcBorders>
              <w:top w:val="single" w:color="auto" w:sz="4" w:space="0"/>
              <w:left w:val="nil"/>
              <w:bottom w:val="single" w:color="auto" w:sz="4" w:space="0"/>
              <w:right w:val="single" w:color="auto" w:sz="4" w:space="0"/>
            </w:tcBorders>
            <w:vAlign w:val="center"/>
          </w:tcPr>
          <w:p>
            <w:pPr>
              <w:jc w:val="center"/>
            </w:pPr>
            <w:r>
              <w:rPr>
                <w:rFonts w:hint="eastAsia"/>
              </w:rPr>
              <w:t>比较满意</w:t>
            </w:r>
          </w:p>
        </w:tc>
        <w:tc>
          <w:tcPr>
            <w:tcW w:w="1276" w:type="dxa"/>
            <w:gridSpan w:val="4"/>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20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20</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53" w:hRule="atLeast"/>
        </w:trPr>
        <w:tc>
          <w:tcPr>
            <w:tcW w:w="8755" w:type="dxa"/>
            <w:gridSpan w:val="10"/>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4"/>
              </w:rPr>
            </w:pPr>
            <w:r>
              <w:rPr>
                <w:rFonts w:hint="eastAsia" w:ascii="宋体" w:hAnsi="宋体" w:cs="宋体"/>
                <w:b/>
                <w:bCs/>
                <w:color w:val="000000"/>
                <w:kern w:val="0"/>
                <w:sz w:val="24"/>
              </w:rPr>
              <w:t>总分：</w:t>
            </w:r>
          </w:p>
        </w:tc>
        <w:tc>
          <w:tcPr>
            <w:tcW w:w="2268"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9</w:t>
            </w:r>
            <w:r>
              <w:rPr>
                <w:rFonts w:hint="eastAsia" w:ascii="宋体" w:hAnsi="宋体" w:cs="宋体"/>
                <w:color w:val="000000"/>
                <w:kern w:val="0"/>
                <w:sz w:val="24"/>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54" w:hRule="atLeast"/>
        </w:trPr>
        <w:tc>
          <w:tcPr>
            <w:tcW w:w="11023" w:type="dxa"/>
            <w:gridSpan w:val="12"/>
            <w:tcBorders>
              <w:top w:val="single" w:color="auto" w:sz="4" w:space="0"/>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注：1.得分一档最高不能超过该指标分值上限。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586" w:hRule="atLeast"/>
        </w:trPr>
        <w:tc>
          <w:tcPr>
            <w:tcW w:w="11023" w:type="dxa"/>
            <w:gridSpan w:val="12"/>
            <w:tcBorders>
              <w:top w:val="nil"/>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2.定性指标根据指标完成情况分为：达成预期指标、基本达成预期指标且效果较好效果、部分达成预期指标且具有一定效果、未达成预期指标且效果较差四档，分别按照该指标对应分值区间100-90%(含90%)、90-75%(含75%)、75-60%（含60%）、60-0%合理确定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586" w:hRule="atLeast"/>
        </w:trPr>
        <w:tc>
          <w:tcPr>
            <w:tcW w:w="11023" w:type="dxa"/>
            <w:gridSpan w:val="12"/>
            <w:tcBorders>
              <w:top w:val="nil"/>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3.定量指标若为正向指标，则得分计算方法应用全年实际值（B）/年度指标值（A）*该指标分值；若定量指标为反向指标，则得分计算方法应用年度指标值（A）/全年实际值（B）*该指标分值。若</w:t>
            </w:r>
            <w:r>
              <w:rPr>
                <w:rFonts w:ascii="宋体" w:hAnsi="宋体" w:cs="宋体"/>
                <w:color w:val="000000"/>
                <w:kern w:val="0"/>
                <w:sz w:val="24"/>
              </w:rPr>
              <w:t>年初指标值设定偏低，则</w:t>
            </w:r>
            <w:r>
              <w:rPr>
                <w:rFonts w:hint="eastAsia" w:ascii="宋体" w:hAnsi="宋体" w:cs="宋体"/>
                <w:color w:val="000000"/>
                <w:kern w:val="0"/>
                <w:sz w:val="24"/>
              </w:rPr>
              <w:t>得分计算方法</w:t>
            </w:r>
            <w:r>
              <w:rPr>
                <w:rFonts w:ascii="宋体" w:hAnsi="宋体" w:cs="宋体"/>
                <w:color w:val="000000"/>
                <w:kern w:val="0"/>
                <w:sz w:val="24"/>
              </w:rPr>
              <w:t>应用</w:t>
            </w:r>
            <w:r>
              <w:rPr>
                <w:rFonts w:hint="eastAsia" w:ascii="宋体" w:hAnsi="宋体" w:cs="宋体"/>
                <w:color w:val="000000"/>
                <w:kern w:val="0"/>
                <w:sz w:val="24"/>
              </w:rPr>
              <w:t>（全年实际值（B）—年度指标值（A））</w:t>
            </w:r>
            <w:r>
              <w:rPr>
                <w:rFonts w:ascii="宋体" w:hAnsi="宋体" w:cs="宋体"/>
                <w:color w:val="000000"/>
                <w:kern w:val="0"/>
                <w:sz w:val="24"/>
              </w:rPr>
              <w:t>/</w:t>
            </w:r>
            <w:r>
              <w:rPr>
                <w:rFonts w:hint="eastAsia" w:ascii="宋体" w:hAnsi="宋体" w:cs="宋体"/>
                <w:color w:val="000000"/>
                <w:kern w:val="0"/>
                <w:sz w:val="24"/>
              </w:rPr>
              <w:t>年度指标值（A）*</w:t>
            </w:r>
            <w:r>
              <w:rPr>
                <w:rFonts w:ascii="宋体" w:hAnsi="宋体" w:cs="宋体"/>
                <w:color w:val="000000"/>
                <w:kern w:val="0"/>
                <w:sz w:val="24"/>
              </w:rPr>
              <w:t>100%</w:t>
            </w:r>
            <w:r>
              <w:rPr>
                <w:rFonts w:hint="eastAsia" w:ascii="宋体" w:hAnsi="宋体" w:cs="宋体"/>
                <w:color w:val="000000"/>
                <w:kern w:val="0"/>
                <w:sz w:val="24"/>
              </w:rPr>
              <w:t>。若</w:t>
            </w:r>
            <w:r>
              <w:rPr>
                <w:rFonts w:ascii="宋体" w:hAnsi="宋体" w:cs="宋体"/>
                <w:color w:val="000000"/>
                <w:kern w:val="0"/>
                <w:sz w:val="24"/>
              </w:rPr>
              <w:t>计算结果</w:t>
            </w:r>
            <w:r>
              <w:rPr>
                <w:rFonts w:hint="eastAsia" w:ascii="宋体" w:hAnsi="宋体" w:cs="宋体"/>
                <w:color w:val="000000"/>
                <w:kern w:val="0"/>
                <w:sz w:val="24"/>
              </w:rPr>
              <w:t>在200</w:t>
            </w:r>
            <w:r>
              <w:rPr>
                <w:rFonts w:ascii="宋体" w:hAnsi="宋体" w:cs="宋体"/>
                <w:color w:val="000000"/>
                <w:kern w:val="0"/>
                <w:sz w:val="24"/>
              </w:rPr>
              <w:t>%-300%</w:t>
            </w:r>
            <w:r>
              <w:rPr>
                <w:rFonts w:hint="eastAsia" w:ascii="宋体" w:hAnsi="宋体" w:cs="宋体"/>
                <w:color w:val="000000"/>
                <w:kern w:val="0"/>
                <w:sz w:val="24"/>
              </w:rPr>
              <w:t>（含200</w:t>
            </w:r>
            <w:r>
              <w:rPr>
                <w:rFonts w:ascii="宋体" w:hAnsi="宋体" w:cs="宋体"/>
                <w:color w:val="000000"/>
                <w:kern w:val="0"/>
                <w:sz w:val="24"/>
              </w:rPr>
              <w:t>%</w:t>
            </w:r>
            <w:r>
              <w:rPr>
                <w:rFonts w:hint="eastAsia" w:ascii="宋体" w:hAnsi="宋体" w:cs="宋体"/>
                <w:color w:val="000000"/>
                <w:kern w:val="0"/>
                <w:sz w:val="24"/>
              </w:rPr>
              <w:t>）区间，</w:t>
            </w:r>
            <w:r>
              <w:rPr>
                <w:rFonts w:ascii="宋体" w:hAnsi="宋体" w:cs="宋体"/>
                <w:color w:val="000000"/>
                <w:kern w:val="0"/>
                <w:sz w:val="24"/>
              </w:rPr>
              <w:t>则按照该指标分值的</w:t>
            </w:r>
            <w:r>
              <w:rPr>
                <w:rFonts w:hint="eastAsia" w:ascii="宋体" w:hAnsi="宋体" w:cs="宋体"/>
                <w:color w:val="000000"/>
                <w:kern w:val="0"/>
                <w:sz w:val="24"/>
              </w:rPr>
              <w:t>10</w:t>
            </w:r>
            <w:r>
              <w:rPr>
                <w:rFonts w:ascii="宋体" w:hAnsi="宋体" w:cs="宋体"/>
                <w:color w:val="000000"/>
                <w:kern w:val="0"/>
                <w:sz w:val="24"/>
              </w:rPr>
              <w:t>%扣分；</w:t>
            </w:r>
            <w:r>
              <w:rPr>
                <w:rFonts w:hint="eastAsia" w:ascii="宋体" w:hAnsi="宋体" w:cs="宋体"/>
                <w:color w:val="000000"/>
                <w:kern w:val="0"/>
                <w:sz w:val="24"/>
              </w:rPr>
              <w:t>计算结果</w:t>
            </w:r>
            <w:r>
              <w:rPr>
                <w:rFonts w:ascii="宋体" w:hAnsi="宋体" w:cs="宋体"/>
                <w:color w:val="000000"/>
                <w:kern w:val="0"/>
                <w:sz w:val="24"/>
              </w:rPr>
              <w:t>在</w:t>
            </w:r>
            <w:r>
              <w:rPr>
                <w:rFonts w:hint="eastAsia" w:ascii="宋体" w:hAnsi="宋体" w:cs="宋体"/>
                <w:color w:val="000000"/>
                <w:kern w:val="0"/>
                <w:sz w:val="24"/>
              </w:rPr>
              <w:t>300</w:t>
            </w:r>
            <w:r>
              <w:rPr>
                <w:rFonts w:ascii="宋体" w:hAnsi="宋体" w:cs="宋体"/>
                <w:color w:val="000000"/>
                <w:kern w:val="0"/>
                <w:sz w:val="24"/>
              </w:rPr>
              <w:t>%-500%（</w:t>
            </w:r>
            <w:r>
              <w:rPr>
                <w:rFonts w:hint="eastAsia" w:ascii="宋体" w:hAnsi="宋体" w:cs="宋体"/>
                <w:color w:val="000000"/>
                <w:kern w:val="0"/>
                <w:sz w:val="24"/>
              </w:rPr>
              <w:t>含300</w:t>
            </w:r>
            <w:r>
              <w:rPr>
                <w:rFonts w:ascii="宋体" w:hAnsi="宋体" w:cs="宋体"/>
                <w:color w:val="000000"/>
                <w:kern w:val="0"/>
                <w:sz w:val="24"/>
              </w:rPr>
              <w:t>%）</w:t>
            </w:r>
            <w:r>
              <w:rPr>
                <w:rFonts w:hint="eastAsia" w:ascii="宋体" w:hAnsi="宋体" w:cs="宋体"/>
                <w:color w:val="000000"/>
                <w:kern w:val="0"/>
                <w:sz w:val="24"/>
              </w:rPr>
              <w:t>区间</w:t>
            </w:r>
            <w:r>
              <w:rPr>
                <w:rFonts w:ascii="宋体" w:hAnsi="宋体" w:cs="宋体"/>
                <w:color w:val="000000"/>
                <w:kern w:val="0"/>
                <w:sz w:val="24"/>
              </w:rPr>
              <w:t>，则按照该指标分值的</w:t>
            </w:r>
            <w:r>
              <w:rPr>
                <w:rFonts w:hint="eastAsia" w:ascii="宋体" w:hAnsi="宋体" w:cs="宋体"/>
                <w:color w:val="000000"/>
                <w:kern w:val="0"/>
                <w:sz w:val="24"/>
              </w:rPr>
              <w:t>20</w:t>
            </w:r>
            <w:r>
              <w:rPr>
                <w:rFonts w:ascii="宋体" w:hAnsi="宋体" w:cs="宋体"/>
                <w:color w:val="000000"/>
                <w:kern w:val="0"/>
                <w:sz w:val="24"/>
              </w:rPr>
              <w:t>%扣分；计算结果</w:t>
            </w:r>
            <w:r>
              <w:rPr>
                <w:rFonts w:hint="eastAsia" w:ascii="宋体" w:hAnsi="宋体" w:cs="宋体"/>
                <w:color w:val="000000"/>
                <w:kern w:val="0"/>
                <w:sz w:val="24"/>
              </w:rPr>
              <w:t>高于500</w:t>
            </w:r>
            <w:r>
              <w:rPr>
                <w:rFonts w:ascii="宋体" w:hAnsi="宋体" w:cs="宋体"/>
                <w:color w:val="000000"/>
                <w:kern w:val="0"/>
                <w:sz w:val="24"/>
              </w:rPr>
              <w:t>%（</w:t>
            </w:r>
            <w:r>
              <w:rPr>
                <w:rFonts w:hint="eastAsia" w:ascii="宋体" w:hAnsi="宋体" w:cs="宋体"/>
                <w:color w:val="000000"/>
                <w:kern w:val="0"/>
                <w:sz w:val="24"/>
              </w:rPr>
              <w:t>含500</w:t>
            </w:r>
            <w:r>
              <w:rPr>
                <w:rFonts w:ascii="宋体" w:hAnsi="宋体" w:cs="宋体"/>
                <w:color w:val="000000"/>
                <w:kern w:val="0"/>
                <w:sz w:val="24"/>
              </w:rPr>
              <w:t>%）</w:t>
            </w:r>
            <w:r>
              <w:rPr>
                <w:rFonts w:hint="eastAsia" w:ascii="宋体" w:hAnsi="宋体" w:cs="宋体"/>
                <w:color w:val="000000"/>
                <w:kern w:val="0"/>
                <w:sz w:val="24"/>
              </w:rPr>
              <w:t>，</w:t>
            </w:r>
            <w:r>
              <w:rPr>
                <w:rFonts w:ascii="宋体" w:hAnsi="宋体" w:cs="宋体"/>
                <w:color w:val="000000"/>
                <w:kern w:val="0"/>
                <w:sz w:val="24"/>
              </w:rPr>
              <w:t>则按照该指标分值的</w:t>
            </w:r>
            <w:r>
              <w:rPr>
                <w:rFonts w:hint="eastAsia" w:ascii="宋体" w:hAnsi="宋体" w:cs="宋体"/>
                <w:color w:val="000000"/>
                <w:kern w:val="0"/>
                <w:sz w:val="24"/>
              </w:rPr>
              <w:t>30</w:t>
            </w:r>
            <w:r>
              <w:rPr>
                <w:rFonts w:ascii="宋体" w:hAnsi="宋体" w:cs="宋体"/>
                <w:color w:val="000000"/>
                <w:kern w:val="0"/>
                <w:sz w:val="24"/>
              </w:rPr>
              <w:t>%扣分。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78" w:hRule="atLeast"/>
        </w:trPr>
        <w:tc>
          <w:tcPr>
            <w:tcW w:w="11023" w:type="dxa"/>
            <w:gridSpan w:val="12"/>
            <w:tcBorders>
              <w:top w:val="nil"/>
              <w:left w:val="nil"/>
              <w:bottom w:val="nil"/>
              <w:right w:val="nil"/>
            </w:tcBorders>
            <w:vAlign w:val="center"/>
          </w:tcPr>
          <w:p>
            <w:pPr>
              <w:widowControl/>
              <w:ind w:firstLine="480" w:firstLineChars="200"/>
              <w:jc w:val="left"/>
              <w:rPr>
                <w:rFonts w:ascii="宋体" w:hAnsi="宋体" w:cs="宋体"/>
                <w:color w:val="000000"/>
                <w:kern w:val="0"/>
                <w:sz w:val="24"/>
              </w:rPr>
            </w:pPr>
            <w:r>
              <w:rPr>
                <w:rFonts w:hint="eastAsia" w:ascii="宋体" w:hAnsi="宋体" w:cs="宋体"/>
                <w:color w:val="000000"/>
                <w:kern w:val="0"/>
                <w:sz w:val="24"/>
              </w:rPr>
              <w:t>4.请在“未完成原因分析”中说明偏离目标、不能完成目标的原因及拟采取的措施。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78" w:hRule="atLeast"/>
        </w:trPr>
        <w:tc>
          <w:tcPr>
            <w:tcW w:w="11023" w:type="dxa"/>
            <w:gridSpan w:val="12"/>
            <w:tcBorders>
              <w:top w:val="nil"/>
              <w:left w:val="nil"/>
              <w:bottom w:val="nil"/>
              <w:right w:val="nil"/>
            </w:tcBorders>
            <w:vAlign w:val="center"/>
          </w:tcPr>
          <w:p>
            <w:pPr>
              <w:widowControl/>
              <w:ind w:firstLine="480" w:firstLineChars="200"/>
              <w:jc w:val="left"/>
              <w:rPr>
                <w:rFonts w:ascii="宋体" w:hAnsi="宋体" w:cs="宋体"/>
                <w:color w:val="000000"/>
                <w:kern w:val="0"/>
                <w:sz w:val="24"/>
              </w:rPr>
            </w:pPr>
            <w:r>
              <w:rPr>
                <w:rFonts w:hint="eastAsia" w:ascii="宋体" w:hAnsi="宋体" w:cs="宋体"/>
                <w:color w:val="000000"/>
                <w:kern w:val="0"/>
                <w:sz w:val="24"/>
              </w:rPr>
              <w:t>5.该示例样表来源为北京市财政局填制自评表，请各部门自行删除项目信息，得到空表作为模板。</w:t>
            </w:r>
          </w:p>
        </w:tc>
      </w:tr>
    </w:tbl>
    <w:p>
      <w:pPr>
        <w:widowControl/>
        <w:rPr>
          <w:rFonts w:ascii="仿宋_GB2312" w:eastAsia="仿宋_GB2312"/>
          <w:sz w:val="32"/>
          <w:szCs w:val="32"/>
        </w:rPr>
      </w:pPr>
      <w:bookmarkStart w:id="0" w:name="_GoBack"/>
      <w:bookmarkEnd w:id="0"/>
    </w:p>
    <w:sectPr>
      <w:pgSz w:w="11907" w:h="16840"/>
      <w:pgMar w:top="1440" w:right="430" w:bottom="1440" w:left="33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9AF"/>
    <w:rsid w:val="0000279D"/>
    <w:rsid w:val="000274E5"/>
    <w:rsid w:val="000A07E2"/>
    <w:rsid w:val="000A0E87"/>
    <w:rsid w:val="000A35B0"/>
    <w:rsid w:val="000D556C"/>
    <w:rsid w:val="000F76B3"/>
    <w:rsid w:val="00117197"/>
    <w:rsid w:val="00120504"/>
    <w:rsid w:val="00137D9E"/>
    <w:rsid w:val="001616BF"/>
    <w:rsid w:val="001719FE"/>
    <w:rsid w:val="00194618"/>
    <w:rsid w:val="001A5ABF"/>
    <w:rsid w:val="001C12BD"/>
    <w:rsid w:val="001C7F0A"/>
    <w:rsid w:val="001D1E98"/>
    <w:rsid w:val="001D3BAA"/>
    <w:rsid w:val="00200E09"/>
    <w:rsid w:val="00216424"/>
    <w:rsid w:val="00224EB5"/>
    <w:rsid w:val="00233F51"/>
    <w:rsid w:val="002C47BB"/>
    <w:rsid w:val="002E190B"/>
    <w:rsid w:val="003216DD"/>
    <w:rsid w:val="00344CD7"/>
    <w:rsid w:val="0037029A"/>
    <w:rsid w:val="0037527C"/>
    <w:rsid w:val="00396020"/>
    <w:rsid w:val="003A102E"/>
    <w:rsid w:val="003B7A64"/>
    <w:rsid w:val="003C0306"/>
    <w:rsid w:val="003F56C0"/>
    <w:rsid w:val="00405EEF"/>
    <w:rsid w:val="004138BE"/>
    <w:rsid w:val="0044469F"/>
    <w:rsid w:val="00465AF9"/>
    <w:rsid w:val="004904A7"/>
    <w:rsid w:val="00491D0F"/>
    <w:rsid w:val="004C022F"/>
    <w:rsid w:val="004C79E9"/>
    <w:rsid w:val="004D151A"/>
    <w:rsid w:val="00512D03"/>
    <w:rsid w:val="00520C1F"/>
    <w:rsid w:val="00594247"/>
    <w:rsid w:val="005A79FA"/>
    <w:rsid w:val="005E57E7"/>
    <w:rsid w:val="006247CE"/>
    <w:rsid w:val="006546A1"/>
    <w:rsid w:val="00671F69"/>
    <w:rsid w:val="006A1DFB"/>
    <w:rsid w:val="006A6CD3"/>
    <w:rsid w:val="006B4A7A"/>
    <w:rsid w:val="006F705D"/>
    <w:rsid w:val="00713649"/>
    <w:rsid w:val="0073369C"/>
    <w:rsid w:val="00742393"/>
    <w:rsid w:val="007529AF"/>
    <w:rsid w:val="007D079A"/>
    <w:rsid w:val="007F55D6"/>
    <w:rsid w:val="00834D94"/>
    <w:rsid w:val="00852955"/>
    <w:rsid w:val="008A4D82"/>
    <w:rsid w:val="008B4C02"/>
    <w:rsid w:val="008E3479"/>
    <w:rsid w:val="00932F53"/>
    <w:rsid w:val="009509AE"/>
    <w:rsid w:val="00951F5E"/>
    <w:rsid w:val="00976CF6"/>
    <w:rsid w:val="00A128E7"/>
    <w:rsid w:val="00A3203A"/>
    <w:rsid w:val="00A37D8B"/>
    <w:rsid w:val="00A47A74"/>
    <w:rsid w:val="00A52CE6"/>
    <w:rsid w:val="00A5375F"/>
    <w:rsid w:val="00A90952"/>
    <w:rsid w:val="00AF228A"/>
    <w:rsid w:val="00B345F5"/>
    <w:rsid w:val="00B70175"/>
    <w:rsid w:val="00BB6C0B"/>
    <w:rsid w:val="00C55131"/>
    <w:rsid w:val="00C74520"/>
    <w:rsid w:val="00C748F6"/>
    <w:rsid w:val="00C9150C"/>
    <w:rsid w:val="00C944B5"/>
    <w:rsid w:val="00CA7094"/>
    <w:rsid w:val="00CE6FBF"/>
    <w:rsid w:val="00CF777B"/>
    <w:rsid w:val="00D132E9"/>
    <w:rsid w:val="00D17EEA"/>
    <w:rsid w:val="00D7024B"/>
    <w:rsid w:val="00DD3A93"/>
    <w:rsid w:val="00E15E8A"/>
    <w:rsid w:val="00E17654"/>
    <w:rsid w:val="00E2088B"/>
    <w:rsid w:val="00E848F7"/>
    <w:rsid w:val="00EC251D"/>
    <w:rsid w:val="00EC6651"/>
    <w:rsid w:val="00ED18D7"/>
    <w:rsid w:val="00EE0993"/>
    <w:rsid w:val="00F25717"/>
    <w:rsid w:val="00F325D5"/>
    <w:rsid w:val="00F66BD8"/>
    <w:rsid w:val="00FC61A5"/>
    <w:rsid w:val="00FF0375"/>
    <w:rsid w:val="09FD0D99"/>
    <w:rsid w:val="0DB44296"/>
    <w:rsid w:val="22D56551"/>
    <w:rsid w:val="28503FEF"/>
    <w:rsid w:val="2CF077F9"/>
    <w:rsid w:val="325C2CBB"/>
    <w:rsid w:val="33554BCC"/>
    <w:rsid w:val="3BA80795"/>
    <w:rsid w:val="4F6F3786"/>
    <w:rsid w:val="5CD61BFF"/>
    <w:rsid w:val="5D6D2549"/>
    <w:rsid w:val="60914473"/>
    <w:rsid w:val="64AA2E81"/>
    <w:rsid w:val="6FCE6041"/>
    <w:rsid w:val="74865314"/>
    <w:rsid w:val="74BF20A3"/>
    <w:rsid w:val="75AF114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line="360" w:lineRule="auto"/>
      <w:jc w:val="center"/>
      <w:outlineLvl w:val="0"/>
    </w:pPr>
    <w:rPr>
      <w:b/>
      <w:bCs/>
      <w:kern w:val="44"/>
      <w:sz w:val="36"/>
      <w:szCs w:val="44"/>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8">
    <w:name w:val="List Paragraph"/>
    <w:basedOn w:val="1"/>
    <w:qFormat/>
    <w:uiPriority w:val="34"/>
    <w:pPr>
      <w:ind w:firstLine="420" w:firstLineChars="200"/>
    </w:p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188</Words>
  <Characters>1074</Characters>
  <Lines>8</Lines>
  <Paragraphs>2</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2022-06-10T08:23:00Z</dcterms:created>
  <dc:creator>a</dc:creator>
  <cp:lastModifiedBy>Administrator</cp:lastModifiedBy>
  <cp:lastPrinted>2021-02-02T12:29:00Z</cp:lastPrinted>
  <dcterms:modified xsi:type="dcterms:W3CDTF">2024-08-19T06:52:30Z</dcterms:modified>
  <dc:title>附件:6：</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