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大兴区安定镇</w:t>
      </w:r>
      <w:r>
        <w:rPr>
          <w:rFonts w:ascii="方正小标宋简体" w:hAnsi="文星标宋" w:eastAsia="方正小标宋简体" w:cs="Tahoma"/>
          <w:color w:val="000000"/>
          <w:sz w:val="44"/>
          <w:szCs w:val="44"/>
        </w:rPr>
        <w:t>20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2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年政府决算</w:t>
      </w:r>
    </w:p>
    <w:p>
      <w:pPr>
        <w:spacing w:line="620" w:lineRule="exact"/>
        <w:jc w:val="center"/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</w:pPr>
      <w:r>
        <w:rPr>
          <w:rFonts w:hint="eastAsia" w:ascii="方正小标宋简体" w:hAnsi="文星标宋" w:eastAsia="方正小标宋简体" w:cs="Tahoma"/>
          <w:color w:val="000000"/>
          <w:sz w:val="44"/>
          <w:szCs w:val="44"/>
        </w:rPr>
        <w:t>公开套表说明</w:t>
      </w:r>
    </w:p>
    <w:p>
      <w:pPr>
        <w:spacing w:line="620" w:lineRule="exact"/>
        <w:ind w:firstLine="640" w:firstLineChars="200"/>
        <w:jc w:val="left"/>
        <w:rPr>
          <w:rFonts w:hint="eastAsia" w:ascii="方正小标宋简体" w:hAnsi="文星标宋" w:eastAsia="黑体" w:cs="Tahoma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大兴区安定镇202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11741</w:t>
      </w:r>
      <w:r>
        <w:rPr>
          <w:rFonts w:hint="eastAsia" w:ascii="仿宋_GB2312" w:hAnsi="宋体" w:eastAsia="仿宋_GB2312" w:cs="宋体"/>
          <w:sz w:val="32"/>
          <w:szCs w:val="32"/>
        </w:rPr>
        <w:t>万元（均为返还性收入），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完成调整预算数的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121%。</w:t>
      </w:r>
      <w:r>
        <w:rPr>
          <w:rFonts w:hint="eastAsia" w:ascii="仿宋_GB2312" w:hAnsi="宋体" w:eastAsia="仿宋_GB2312" w:cs="宋体"/>
          <w:sz w:val="32"/>
          <w:szCs w:val="32"/>
        </w:rPr>
        <w:t>其中：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（一）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年增值税收入决算数为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5167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4530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14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%； 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（二）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年企业所得税收入决算数为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761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682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112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（三）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年城市维护建设税收入决算数为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961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1119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86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（四）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年房产税收入决算数为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4384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bookmarkStart w:id="0" w:name="OLE_LINK1"/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bookmarkEnd w:id="0"/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2746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160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（五）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年印花税收入决算数为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318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389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2023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82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（六）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年城镇土地使用税收入决算数为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151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预算数为127万元，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19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560" w:lineRule="exact"/>
        <w:ind w:firstLine="480" w:firstLineChars="15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七</w:t>
      </w:r>
      <w:r>
        <w:rPr>
          <w:rFonts w:hint="eastAsia" w:ascii="仿宋_GB2312" w:hAnsi="宋体" w:eastAsia="仿宋_GB2312" w:cs="宋体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土地增值</w:t>
      </w:r>
      <w:r>
        <w:rPr>
          <w:rFonts w:hint="eastAsia" w:ascii="仿宋_GB2312" w:hAnsi="宋体" w:eastAsia="仿宋_GB2312" w:cs="宋体"/>
          <w:sz w:val="32"/>
          <w:szCs w:val="32"/>
        </w:rPr>
        <w:t>税收入决算数为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73</w:t>
      </w:r>
      <w:r>
        <w:rPr>
          <w:rFonts w:hint="eastAsia" w:ascii="仿宋_GB2312" w:hAnsi="宋体" w:eastAsia="仿宋_GB2312" w:cs="宋体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调整</w:t>
      </w:r>
      <w:r>
        <w:rPr>
          <w:rFonts w:hint="eastAsia" w:ascii="仿宋_GB2312" w:hAnsi="宋体" w:eastAsia="仿宋_GB2312" w:cs="宋体"/>
          <w:sz w:val="32"/>
          <w:szCs w:val="32"/>
        </w:rPr>
        <w:t>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-13</w:t>
      </w:r>
      <w:r>
        <w:rPr>
          <w:rFonts w:hint="eastAsia" w:ascii="仿宋_GB2312" w:hAnsi="宋体" w:eastAsia="仿宋_GB2312" w:cs="宋体"/>
          <w:sz w:val="32"/>
          <w:szCs w:val="32"/>
        </w:rPr>
        <w:t>%；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大兴区安定镇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年一般公共预算支出总计为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59445</w:t>
      </w:r>
      <w:r>
        <w:rPr>
          <w:rFonts w:hint="eastAsia" w:ascii="仿宋_GB2312" w:hAnsi="宋体" w:eastAsia="仿宋_GB2312" w:cs="宋体"/>
          <w:sz w:val="32"/>
          <w:szCs w:val="32"/>
        </w:rPr>
        <w:t>万元，其中：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安定镇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本级</w:t>
      </w:r>
      <w:r>
        <w:rPr>
          <w:rFonts w:hint="eastAsia" w:ascii="仿宋_GB2312" w:hAnsi="宋体" w:eastAsia="仿宋_GB2312" w:cs="宋体"/>
          <w:sz w:val="32"/>
          <w:szCs w:val="32"/>
        </w:rPr>
        <w:t>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55349</w:t>
      </w:r>
      <w:r>
        <w:rPr>
          <w:rFonts w:hint="eastAsia" w:ascii="仿宋_GB2312" w:hAnsi="宋体" w:eastAsia="仿宋_GB2312" w:cs="宋体"/>
          <w:sz w:val="32"/>
          <w:szCs w:val="32"/>
        </w:rPr>
        <w:t>万元、上解支出决算数为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4096</w:t>
      </w:r>
      <w:r>
        <w:rPr>
          <w:rFonts w:hint="eastAsia" w:ascii="仿宋_GB2312" w:hAnsi="宋体" w:eastAsia="仿宋_GB2312" w:cs="宋体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主要增减变化原因有：镇本级一般公共预算支出为调整预算的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%，支出较调整预算有所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的原因是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项目支出减少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；上解支出为调整预算的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%，主要是按照区财政局测算，上解支出增加。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一般公共预算支出决算表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大兴区安定镇202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本级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一般公共预算支出决算数为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55349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万元，为调整预算数的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%，支出较调整预算有所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的原因是在年度预执行过程中，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项目支出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有所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。其中：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（一）一般公共服务支出202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10314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 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115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%，主要是项目支出有所增加。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（二）公共安全支出202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612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 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137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%，主要是项目支出有所增加。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）文化旅游体育与传媒支出202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264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 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%，主要是项目支出有所增加。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）社会保障和就业支出202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年决算数为1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829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 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五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）卫生健康支出202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4147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101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%，各项支出基本无大额变化。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六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）节能环保支出202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4179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103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%，各项支出基本无大额变化。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七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）城乡社区支出202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5446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 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76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八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）农林水支出202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27629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万元,为调整预算数的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89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减少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九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）交通运输支出202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115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万元，为调整预算数的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105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（十）自然资源海洋气象等支出202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267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万元，为调整预算数的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99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%，各项支出基本无大额变化。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（十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一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）灾害防治及应急管理支出202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年决算数为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359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万元，为调整预算数的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127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%，主要是项目支出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增加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年一般公共预算基本支出决算表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大兴区安定镇2024年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一般公共预算基本支出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决算数为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7183.82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eastAsia="zh-CN"/>
        </w:rPr>
        <w:t>具体包括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：</w:t>
      </w:r>
    </w:p>
    <w:p>
      <w:pPr>
        <w:ind w:firstLine="640" w:firstLineChars="200"/>
        <w:rPr>
          <w:rFonts w:hint="eastAsia" w:ascii="仿宋_GB2312" w:hAnsi="文星标宋" w:eastAsia="仿宋" w:cs="宋体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机关工资福利支出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4772.54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；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机关商品和服务支出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392.13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；</w:t>
      </w:r>
    </w:p>
    <w:p>
      <w:pPr>
        <w:ind w:firstLine="640" w:firstLineChars="200"/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对事业单位经常性补助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1867.56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；</w:t>
      </w:r>
    </w:p>
    <w:p>
      <w:pPr>
        <w:ind w:firstLine="640" w:firstLineChars="200"/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对个人和家庭的补助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151.59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pacing w:val="8"/>
          <w:sz w:val="31"/>
          <w:szCs w:val="31"/>
        </w:rPr>
        <w:t>（具体款级项目见套表）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；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年一般公共预算“三公经费”财政拨款支出决算表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大兴区安定镇2024年因公出国（境）费用、公务接待费、公务用车费3项费用决算数为125.8万元，较调整预算37.3万元，增加88.5万元，增长237%，主要是公务用车购置费增加。其中：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（一）因公出国（境）费用：2024年决算数0.00万元，2024年年初未安排预算，无增减变化。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（二）公务接待费：2024年决算数0.00万元，2024年调整预算数为1万元，2024年决算数比2024年调整预算数减少1万元。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（三）公务用车费（含公务用车运行维护费用支出、公务用车购置费用支出）：2024年决算数为125.8万元，其中：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公务用车运行维护费29.2万元，比年初预算数 36.3万元减少7.1万元，下降20%。主要原因为贯彻落实公务用车使用管理有关规定和过“紧日子”思想，实现厉行节约常态化。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公务用车购置决算数96.6万元，比年初预算数0万元增加96.6万元,主要是根据公务用车车况和实际需求，调整公务用车购置。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六、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年政府性基金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预算</w:t>
      </w:r>
      <w:r>
        <w:rPr>
          <w:rFonts w:hint="eastAsia" w:ascii="黑体" w:hAnsi="黑体" w:eastAsia="黑体" w:cs="黑体"/>
          <w:sz w:val="32"/>
          <w:szCs w:val="32"/>
        </w:rPr>
        <w:t>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我单位政府性基金收入均为转移支付收入，不涉及上述表内数据。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七、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大兴区安定镇2024年政府性基金预算支出决算数为9295万元，为调整预算数的72%，支出较调整预算变动的原因主要是上级专项转移支付减少；上解支出较年初无变化。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政府性基金预算支出决算表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大兴区安定镇2024年政府性基金预算支出决算数为9295万元，为调整预算数的72%,支出较调整预算变动的原因主要是上级专项转移支付减少。其中：城乡社区支出2024年决算数为9245万元,为调整预算数的72%，主要是上级专项转移支付减少;其他支出2024年决算数为50万元，与调整预算数一致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九、关于《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年国有资本经营预算收入决算表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十一、关于《</w:t>
      </w:r>
      <w:r>
        <w:rPr>
          <w:rFonts w:hint="eastAsia" w:ascii="黑体" w:hAnsi="黑体" w:eastAsia="黑体" w:cs="黑体"/>
          <w:sz w:val="32"/>
          <w:szCs w:val="32"/>
        </w:rPr>
        <w:t>大兴区安定镇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本级</w:t>
      </w:r>
      <w:r>
        <w:rPr>
          <w:rFonts w:hint="eastAsia" w:ascii="黑体" w:hAnsi="黑体" w:eastAsia="黑体" w:cs="黑体"/>
          <w:sz w:val="32"/>
          <w:szCs w:val="32"/>
        </w:rPr>
        <w:t>国有资本经营预算支出决算表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十二、关于《大兴区安定镇202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年社会保险基金预算收入决算表》的说明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十三、关于《大兴区安定镇202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年社会保险基金预算支出决算表》的说明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十四、关于《大兴区安定镇202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年一般公共预算税收返还和转移支付表》的说明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十五、关于《大兴区安定镇202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年政府性基金转移支付表》的说明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十六、关于《大兴区安定镇202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年专项转移支付执行情况表》的说明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2024年大兴区安定镇专项转移支付支出36688.69万元，其中一般公共预算支出29359.63万元，政府性基金预算支出7329.06万元。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在一般公共预算专项转移支付支出中，主要支出科目如下：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一般公共服务支出30万元；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文化旅游体育与传媒支出0.5万元；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社会保障和就业支出263.9万元；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卫生健康支出663.3万元；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节能环保支出4167.96万元；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城乡社区支出290万元；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农林水支出23677.34万元；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自然资源海洋气象等支出266.64万元；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在政府性基金预算专项转移支付中，主要支出科目如下：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城乡社区支出7279.1万元；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其他支出49.96万元。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十七、关于《大兴区安定镇202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年地方政府债务限额及余额决算情况表》的说明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十八、关于《大兴区安定镇202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年地方政府一般债务余额情况表》的说明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十九、关于《大兴区安定镇202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年地方政府专项债务余额情况表》的说明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二十、关于《202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年新增地方政府债券使用情况表》的说明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二十一、关于《202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年地方政府债务发行及还本付息情况表》的说明</w:t>
      </w:r>
    </w:p>
    <w:p>
      <w:pPr>
        <w:pStyle w:val="3"/>
        <w:rPr>
          <w:rFonts w:hint="eastAsia" w:ascii="仿宋_GB2312" w:hAnsi="宋体" w:eastAsia="仿宋_GB2312" w:cs="宋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我单位不涉及上述表内数据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二十二、关于《大兴区安定镇202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年政府采购情况表》的说明</w:t>
      </w:r>
    </w:p>
    <w:p>
      <w:pPr>
        <w:widowControl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安定镇2024年政府采购支出8781.58万元，其中：货物支出1312.76万元，服务支出7468.82万元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；授予中小企业合同金额7990.06万元，其中：授予小微企业合同金额6595.01万元。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二十三、关于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《大兴区安定镇2024年政府购买服务支出情况表》的说明</w:t>
      </w: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安定镇2024年政府购买服务支出2053.54万元，其中：公共服务1180.83万元，政府履职辅助性服务872.71万元。</w:t>
      </w:r>
    </w:p>
    <w:p>
      <w:pPr>
        <w:spacing w:line="62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举借债务情况说明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</w:rPr>
        <w:t>我单位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sz w:val="32"/>
          <w:szCs w:val="32"/>
        </w:rPr>
        <w:t>举借债务情况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1" w:name="OLE_LINK2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2.支出政策实施情况和重点支出、重大投资项目资金使用绩效情况</w:t>
      </w:r>
      <w:bookmarkEnd w:id="1"/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sz w:val="32"/>
          <w:szCs w:val="32"/>
          <w:lang w:val="en-US" w:eastAsia="zh-CN"/>
        </w:rPr>
      </w:pPr>
      <w:bookmarkStart w:id="2" w:name="OLE_LINK3"/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2024年安定镇紧紧围绕高质量发展目标，认真贯彻执行积极的财政政策，始终</w:t>
      </w:r>
      <w:r>
        <w:rPr>
          <w:rFonts w:hint="eastAsia" w:ascii="仿宋_GB2312" w:hAnsi="宋体" w:eastAsia="仿宋_GB2312" w:cs="宋体"/>
          <w:sz w:val="32"/>
          <w:szCs w:val="32"/>
        </w:rPr>
        <w:t>坚持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 w:cs="宋体"/>
          <w:sz w:val="32"/>
          <w:szCs w:val="32"/>
        </w:rPr>
        <w:t>保重点、优结构、提绩效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”</w:t>
      </w:r>
      <w:r>
        <w:rPr>
          <w:rFonts w:hint="eastAsia" w:ascii="仿宋_GB2312" w:hAnsi="宋体" w:eastAsia="仿宋_GB2312" w:cs="宋体"/>
          <w:sz w:val="32"/>
          <w:szCs w:val="32"/>
        </w:rPr>
        <w:t>的支出原则，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科学统筹财政资金安排，确保财政支出精准有效。在资金使用绩效方面，对绩效目标、绩效自评实现了全面覆盖，持续提升</w:t>
      </w:r>
      <w:r>
        <w:rPr>
          <w:rFonts w:hint="eastAsia" w:ascii="仿宋_GB2312" w:hAnsi="宋体" w:eastAsia="仿宋_GB2312" w:cs="宋体"/>
          <w:sz w:val="32"/>
          <w:szCs w:val="32"/>
        </w:rPr>
        <w:t>财政资金使用效益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。</w:t>
      </w:r>
    </w:p>
    <w:bookmarkEnd w:id="2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3.预</w:t>
      </w:r>
      <w:r>
        <w:rPr>
          <w:rFonts w:hint="eastAsia" w:eastAsia="仿宋_GB2312" w:cs="Arial"/>
          <w:b w:val="0"/>
          <w:color w:val="auto"/>
          <w:kern w:val="0"/>
          <w:sz w:val="32"/>
          <w:szCs w:val="32"/>
          <w:lang w:val="en-US" w:eastAsia="zh-CN"/>
        </w:rPr>
        <w:t>算绩效管理情况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 w:cs="宋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2024年安定镇深入贯彻中央精神，落实市区两级工作部署，积极探索、持续深耕，推动绩效管理向“务实、高效、节约”纵深推进，推动全方位、全过程、全覆盖的管理体系建立。</w:t>
      </w:r>
      <w:r>
        <w:rPr>
          <w:rFonts w:hint="eastAsia" w:ascii="仿宋_GB2312" w:hAnsi="宋体" w:eastAsia="仿宋_GB2312" w:cs="宋体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将绩效理念和方法深度融入预算编制、执行、结果应用全过程，流程衔接畅通。事前把好准入关，完善绩效目标管理；事中把好监督关，紧盯绩效运行监控；事后把好应用关，强化评价结果应用。</w:t>
      </w:r>
      <w:r>
        <w:rPr>
          <w:rFonts w:hint="eastAsia" w:ascii="仿宋_GB2312" w:hAnsi="宋体" w:eastAsia="仿宋_GB2312" w:cs="宋体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在资金安排上，以事前绩效评估为引领，控好源头。在资金节约上，以成本绩效分析为方法，深度求效。2024年开展1个事前绩效评估项目和2个成本绩效分析项目。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Arial"/>
          <w:b w:val="0"/>
          <w:color w:val="auto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YjRkMDMzMGE1Zjk0MTgxZjBhMmJmYjY4YTU2N2QifQ=="/>
  </w:docVars>
  <w:rsids>
    <w:rsidRoot w:val="004622E6"/>
    <w:rsid w:val="003F6819"/>
    <w:rsid w:val="004622E6"/>
    <w:rsid w:val="00604A03"/>
    <w:rsid w:val="00625E69"/>
    <w:rsid w:val="00723D69"/>
    <w:rsid w:val="00771FE6"/>
    <w:rsid w:val="009D3D6E"/>
    <w:rsid w:val="00B00A68"/>
    <w:rsid w:val="00B304C3"/>
    <w:rsid w:val="00BD536F"/>
    <w:rsid w:val="018D5F67"/>
    <w:rsid w:val="036C0CDE"/>
    <w:rsid w:val="064D0B7E"/>
    <w:rsid w:val="0ED71AC8"/>
    <w:rsid w:val="113450C7"/>
    <w:rsid w:val="11E03588"/>
    <w:rsid w:val="125707F5"/>
    <w:rsid w:val="14D93D23"/>
    <w:rsid w:val="167E6BDE"/>
    <w:rsid w:val="17EB210E"/>
    <w:rsid w:val="182C2A78"/>
    <w:rsid w:val="27782945"/>
    <w:rsid w:val="28FE4ABC"/>
    <w:rsid w:val="2F43620C"/>
    <w:rsid w:val="2FB77CD1"/>
    <w:rsid w:val="2FC56F08"/>
    <w:rsid w:val="311144DB"/>
    <w:rsid w:val="319C3F0E"/>
    <w:rsid w:val="32EF792F"/>
    <w:rsid w:val="3354553F"/>
    <w:rsid w:val="39C05EEE"/>
    <w:rsid w:val="3F3074F0"/>
    <w:rsid w:val="49B513C3"/>
    <w:rsid w:val="4A6C6BE6"/>
    <w:rsid w:val="4E8510A7"/>
    <w:rsid w:val="537B62F8"/>
    <w:rsid w:val="56283A96"/>
    <w:rsid w:val="5C8001D2"/>
    <w:rsid w:val="630D41A9"/>
    <w:rsid w:val="66DC7218"/>
    <w:rsid w:val="67C53578"/>
    <w:rsid w:val="69751BE3"/>
    <w:rsid w:val="69CB7B33"/>
    <w:rsid w:val="69D759A7"/>
    <w:rsid w:val="6D1719EB"/>
    <w:rsid w:val="6E6E665B"/>
    <w:rsid w:val="6FC744AF"/>
    <w:rsid w:val="6FD17C1C"/>
    <w:rsid w:val="741337E8"/>
    <w:rsid w:val="748034E5"/>
    <w:rsid w:val="767223DF"/>
    <w:rsid w:val="77C04626"/>
    <w:rsid w:val="7BFF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3351</Words>
  <Characters>3945</Characters>
  <Lines>16</Lines>
  <Paragraphs>4</Paragraphs>
  <TotalTime>11</TotalTime>
  <ScaleCrop>false</ScaleCrop>
  <LinksUpToDate>false</LinksUpToDate>
  <CharactersWithSpaces>3952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2023-08-31T02:19:00Z</dcterms:created>
  <dc:creator>YANG</dc:creator>
  <cp:lastModifiedBy>九三三</cp:lastModifiedBy>
  <dcterms:modified xsi:type="dcterms:W3CDTF">2025-07-09T01:32:49Z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1AF437507A474EDAB76C22A8668A543D_13</vt:lpwstr>
  </property>
</Properties>
</file>