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魏善庄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魏善庄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11497.44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，完成预算数的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105%，其中：税收收入1132.68万元</w:t>
      </w:r>
      <w:r>
        <w:rPr>
          <w:rFonts w:hint="eastAsia" w:ascii="仿宋_GB2312" w:hAnsi="宋体" w:eastAsia="仿宋_GB2312" w:cs="宋体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非税收入174.76万元。税收具体情况如下：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4329.88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5178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83.62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1080.75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2063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52.39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928.9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887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104.72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1503.9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115.68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388.5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254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152.95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119.5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105.75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土地增值</w:t>
      </w:r>
      <w:r>
        <w:rPr>
          <w:rFonts w:hint="eastAsia" w:ascii="仿宋_GB2312" w:hAnsi="宋体" w:eastAsia="仿宋_GB2312" w:cs="宋体"/>
          <w:sz w:val="32"/>
          <w:szCs w:val="32"/>
        </w:rPr>
        <w:t>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2971.25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705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421.45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魏善庄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70585.21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66877.41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3707.8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ascii="仿宋" w:hAnsi="仿宋" w:eastAsia="仿宋" w:cs="仿宋"/>
          <w:spacing w:val="8"/>
          <w:sz w:val="31"/>
          <w:szCs w:val="31"/>
        </w:rPr>
        <w:t>主要增减变化原因有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：镇</w:t>
      </w:r>
      <w:r>
        <w:rPr>
          <w:rFonts w:ascii="仿宋" w:hAnsi="仿宋" w:eastAsia="仿宋" w:cs="仿宋"/>
          <w:spacing w:val="8"/>
          <w:sz w:val="31"/>
          <w:szCs w:val="31"/>
        </w:rPr>
        <w:t>本级一般公共预算支出为预算的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123</w:t>
      </w:r>
      <w:r>
        <w:rPr>
          <w:rFonts w:ascii="仿宋" w:hAnsi="仿宋" w:eastAsia="仿宋" w:cs="仿宋"/>
          <w:spacing w:val="8"/>
          <w:sz w:val="31"/>
          <w:szCs w:val="31"/>
        </w:rPr>
        <w:t>%，支出较预算有所增加的原因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是专项转移支付增加</w:t>
      </w:r>
      <w:r>
        <w:rPr>
          <w:rFonts w:ascii="仿宋" w:hAnsi="仿宋" w:eastAsia="仿宋" w:cs="仿宋"/>
          <w:spacing w:val="12"/>
          <w:sz w:val="31"/>
          <w:szCs w:val="31"/>
        </w:rPr>
        <w:t>；上</w:t>
      </w:r>
      <w:r>
        <w:rPr>
          <w:rFonts w:ascii="仿宋" w:hAnsi="仿宋" w:eastAsia="仿宋" w:cs="仿宋"/>
          <w:spacing w:val="11"/>
          <w:sz w:val="31"/>
          <w:szCs w:val="31"/>
        </w:rPr>
        <w:t>解支</w:t>
      </w:r>
      <w:r>
        <w:rPr>
          <w:rFonts w:ascii="仿宋" w:hAnsi="仿宋" w:eastAsia="仿宋" w:cs="仿宋"/>
          <w:spacing w:val="4"/>
          <w:sz w:val="31"/>
          <w:szCs w:val="31"/>
        </w:rPr>
        <w:t>出为预算的</w:t>
      </w:r>
      <w:r>
        <w:rPr>
          <w:rFonts w:hint="eastAsia" w:ascii="仿宋" w:hAnsi="仿宋" w:eastAsia="仿宋" w:cs="仿宋"/>
          <w:spacing w:val="-41"/>
          <w:sz w:val="31"/>
          <w:szCs w:val="31"/>
          <w:lang w:val="en-US" w:eastAsia="zh-CN"/>
        </w:rPr>
        <w:t>113</w:t>
      </w:r>
      <w:r>
        <w:rPr>
          <w:rFonts w:ascii="仿宋" w:hAnsi="仿宋" w:eastAsia="仿宋" w:cs="仿宋"/>
          <w:spacing w:val="4"/>
          <w:sz w:val="31"/>
          <w:szCs w:val="31"/>
        </w:rPr>
        <w:t>%，主要是按照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区财政局</w:t>
      </w:r>
      <w:r>
        <w:rPr>
          <w:rFonts w:ascii="仿宋" w:hAnsi="仿宋" w:eastAsia="仿宋" w:cs="仿宋"/>
          <w:spacing w:val="4"/>
          <w:sz w:val="31"/>
          <w:szCs w:val="31"/>
        </w:rPr>
        <w:t>测算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3"/>
          <w:sz w:val="31"/>
          <w:szCs w:val="31"/>
        </w:rPr>
        <w:t>上解支</w:t>
      </w:r>
      <w:r>
        <w:rPr>
          <w:rFonts w:ascii="仿宋" w:hAnsi="仿宋" w:eastAsia="仿宋" w:cs="仿宋"/>
          <w:spacing w:val="4"/>
          <w:sz w:val="31"/>
          <w:szCs w:val="31"/>
        </w:rPr>
        <w:t>出增加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before="70" w:line="323" w:lineRule="auto"/>
        <w:ind w:left="25" w:right="13" w:firstLine="654"/>
        <w:jc w:val="both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魏善庄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66877.41</w:t>
      </w:r>
      <w:r>
        <w:rPr>
          <w:rFonts w:hint="eastAsia" w:ascii="仿宋_GB2312" w:hAnsi="宋体" w:eastAsia="仿宋_GB2312" w:cs="宋体"/>
          <w:sz w:val="32"/>
          <w:szCs w:val="32"/>
        </w:rPr>
        <w:t>万元，为预算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122.79</w:t>
      </w:r>
      <w:r>
        <w:rPr>
          <w:rFonts w:hint="eastAsia" w:ascii="仿宋_GB2312" w:hAnsi="宋体" w:eastAsia="仿宋_GB2312" w:cs="宋体"/>
          <w:sz w:val="32"/>
          <w:szCs w:val="32"/>
        </w:rPr>
        <w:t>%，支出较预算有所增加的原因是在年度预执行过程中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，上级转移支付资金有所增加</w:t>
      </w:r>
      <w:r>
        <w:rPr>
          <w:rFonts w:hint="eastAsia" w:ascii="仿宋_GB2312" w:hAnsi="宋体" w:eastAsia="仿宋_GB2312" w:cs="宋体"/>
          <w:sz w:val="32"/>
          <w:szCs w:val="32"/>
        </w:rPr>
        <w:t>。其中：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（一）一般公共服务支出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7238.59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103.32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，主要是项目支出有所增加。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="宋体"/>
          <w:sz w:val="32"/>
          <w:szCs w:val="32"/>
        </w:rPr>
        <w:t>）教育支出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8123.25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年初预算数为0万元</w:t>
      </w: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主要原因是本年度专项资金及体制补助增加。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z w:val="32"/>
          <w:szCs w:val="32"/>
        </w:rPr>
        <w:t>文化旅游体育与传媒支出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244..38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97.18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主要是项目支出有所减少。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1543.54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92.41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主要是项目支出有所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减少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 w:cs="宋体"/>
          <w:sz w:val="32"/>
          <w:szCs w:val="32"/>
        </w:rPr>
        <w:t>）卫生健康支出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4647.56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112.53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主要是项目支出有所增加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宋体"/>
          <w:sz w:val="32"/>
          <w:szCs w:val="32"/>
        </w:rPr>
        <w:t>）节能环保支出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2838.85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预算数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的253.99%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主要原因是本年度专项资金及体制补助增加。</w:t>
      </w:r>
    </w:p>
    <w:p>
      <w:pPr>
        <w:spacing w:before="70" w:line="323" w:lineRule="auto"/>
        <w:ind w:left="25" w:right="13" w:firstLine="654"/>
        <w:jc w:val="both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</w:rPr>
        <w:t>）城乡社区支出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12409.32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101.34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八</w:t>
      </w:r>
      <w:r>
        <w:rPr>
          <w:rFonts w:hint="eastAsia" w:ascii="仿宋_GB2312" w:hAnsi="宋体" w:eastAsia="仿宋_GB2312" w:cs="宋体"/>
          <w:sz w:val="32"/>
          <w:szCs w:val="32"/>
        </w:rPr>
        <w:t>）农林水支出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29389.22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106.4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九</w:t>
      </w:r>
      <w:r>
        <w:rPr>
          <w:rFonts w:hint="eastAsia" w:ascii="仿宋_GB2312" w:hAnsi="宋体" w:eastAsia="仿宋_GB2312" w:cs="宋体"/>
          <w:sz w:val="32"/>
          <w:szCs w:val="32"/>
        </w:rPr>
        <w:t>）交通运输支出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135.84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105.38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自然资源海洋气象等支出2024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294.66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为294.66万元，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主要原因支出无大额增减变化。</w:t>
      </w:r>
    </w:p>
    <w:p>
      <w:pPr>
        <w:spacing w:before="70" w:line="323" w:lineRule="auto"/>
        <w:ind w:left="25" w:right="13" w:firstLine="654"/>
        <w:jc w:val="both"/>
        <w:rPr>
          <w:rFonts w:ascii="仿宋_GB2312" w:hAnsi="宋体" w:eastAsia="仿宋_GB2312" w:cs="宋体"/>
          <w:color w:val="00B05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（十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住房保障支出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12.2万元，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为0万元，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主要原因是本年度体制补助增加。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年一般公共预算基本支出决算表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大兴区魏善庄镇2024年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eastAsia="zh-CN"/>
        </w:rPr>
        <w:t>决算数为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7955.23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eastAsia="zh-CN"/>
        </w:rPr>
        <w:t>具体包括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：</w:t>
      </w:r>
    </w:p>
    <w:p>
      <w:pPr>
        <w:ind w:firstLine="640" w:firstLineChars="200"/>
        <w:rPr>
          <w:rFonts w:hint="eastAsia" w:ascii="仿宋_GB2312" w:hAnsi="文星标宋" w:eastAsia="仿宋" w:cs="宋体"/>
          <w:bCs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机关工资福利支出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5486.07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机关商品和服务支出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464.82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对事业单位经常性补助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1912.72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pacing w:val="8"/>
          <w:sz w:val="31"/>
          <w:szCs w:val="31"/>
          <w:lang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对个人和家庭的补助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91.62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eastAsia="zh-CN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年一般公共预算“三公经费”财政拨款支出决算表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2024年度“三公”经费财政拨款决算数53.66万元，比2024年度“三公”经费财政拨款年初预算38万元增加15.6万元。其中：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1.因公出国（境）费用。2024年度决算数0万元，比2024年度年初预算数0万元。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2.公务接待费。2024年度决算数0万元，比2024年度年初预算数1.7万元减少1.7万元。主要原因：严格落实“过紧日子”要求，2024年无公务接待费。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.公务用车购置及运行维护费。2024年度决算数53.66万元，比2024年度年初预算数36.3万元增加17.36万元。其中，公务用车购置费2024年度决算数29.67万元，比2024年度年初预算数0万元增加29.67万元。主要原因：部分公务用车老旧无法使用，已做报废处理，为维持政府正常业务运转，需新购入车辆。2024年度购置2辆，车均购置费14.83万元。公务用车运行维护费2024年度决算数23.97万元，比2024年度年初预算数36.3万元减少12.33万元，主要原因：严格落实政府“过紧日子”要求，严控公务用车运行支出。2024年度公务用车运行维护费中，公务用车加油5万元，公务用车维修16.4万元，公务用车保险1.99万元，公务用车其他支出0.6万元。2024年度公务用车保有量10辆，车均运行维护费2.39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大兴区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年政府性基金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收入决算表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魏善庄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8556.08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</w:rPr>
        <w:t>预算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eastAsia="zh-CN"/>
        </w:rPr>
        <w:t>数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为3142.81万元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</w:rPr>
        <w:t>，主要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原因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</w:rPr>
        <w:t>是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eastAsia="zh-CN"/>
        </w:rPr>
        <w:t>上级专项转移支付增加。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魏善庄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8556.08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</w:rPr>
        <w:t>预算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eastAsia="zh-CN"/>
        </w:rPr>
        <w:t>数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为3142.81万元，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主要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原因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是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上级专项转移支付增加。其中：</w:t>
      </w: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8554.96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</w:rPr>
        <w:t>预算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eastAsia="zh-CN"/>
        </w:rPr>
        <w:t>数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为3142.81万元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原因</w:t>
      </w:r>
      <w:r>
        <w:rPr>
          <w:rFonts w:hint="eastAsia" w:ascii="仿宋_GB2312" w:hAnsi="宋体" w:eastAsia="仿宋_GB2312" w:cs="宋体"/>
          <w:sz w:val="32"/>
          <w:szCs w:val="32"/>
        </w:rPr>
        <w:t>是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上级专项转移支付增加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年国有资本经营预算收入决算表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魏善庄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十二、关于《大兴区魏善庄镇2024年社会保险基金预算收入决算表》的说明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十三、关于《大兴区魏善庄镇2024年社会保险基金预算支出决算表》的说明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十四、关于《大兴区魏善庄镇2024年一般公共预算税收返还和转移支付表》的说明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十五、关于《大兴区魏善庄镇2024年政府性基金转移支付表》的说明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十六、关于《大兴区魏善庄镇2024年专项转移支付执行情况表》的说明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2024年大兴区魏善庄镇专项转移支付支出43305.29万元，其中一般公共预算支出37659.69 万元，政府性基金预算支出5645.6万元。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在一般公共预算专项转移支付支出中，主要支出科目如下：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一般公共服务支出388.43万元；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教育支出8123.25万元；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文化旅游体育与传媒支出0.5万元；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社会保障和就业支出113.92万元；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卫生健康支出1132.66万元；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节能环保支出2474.28万元；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城乡社区支出564.81万元；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农林水支出24566.06万元；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资源勘探工业信息等支出1.12万元；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自然资源海洋气象等支出294.66万元；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在政府性基金预算专项转移支付中，主要支出科目如下：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FF0000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城乡社区支出5645.6万元；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十七、关于《大兴区魏善庄镇2024年地方政府债务限额及余额决算情况表》的说明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十八、关于《大兴区魏善庄镇2024年地方政府一般债务余额情况表》的说明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十九、关于《大兴区魏善庄镇2024年地方政府专项债务余额情况表》的说明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二十、关于《2024年新增地方政府债券使用情况表》的说明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二十一、关于《2024年地方政府债务发行及还本付息情况表》的说明</w:t>
      </w:r>
    </w:p>
    <w:p>
      <w:pPr>
        <w:pStyle w:val="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二十二、关于《大兴区魏善庄镇2024年政府采购情况表》的说明</w:t>
      </w:r>
    </w:p>
    <w:p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魏善庄镇2024年政府采购支出7557.07万元，其中：货物支出454.64万元，工程支出0元，服务支出7102.43万元；授予中小企业合同金额6998.11万元，其中：授予小微企业合同金额4259.95万元。</w:t>
      </w:r>
      <w:bookmarkStart w:id="0" w:name="_GoBack"/>
      <w:bookmarkEnd w:id="0"/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《大兴区魏善庄镇2024年政府购买服务支出情况表》的说明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>
      <w:pPr>
        <w:pStyle w:val="4"/>
        <w:adjustRightInd w:val="0"/>
        <w:spacing w:line="4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年我镇认真落实各级部门决策部署，不断加强财政资源统筹，</w:t>
      </w:r>
      <w:r>
        <w:rPr>
          <w:rFonts w:hint="eastAsia" w:ascii="仿宋_GB2312" w:eastAsia="仿宋_GB2312"/>
          <w:sz w:val="32"/>
          <w:szCs w:val="32"/>
        </w:rPr>
        <w:t>将绩效管理融入预算管理全过程。不断完善事前评估、绩效目标管理、绩效监控、绩效评价、结果应用、绩效考核等绩效管理体系，实现预算绩效全链条管理，推进全成本预算绩效管理常态化。加强对财政资金和项目的监管，合理调配资金，完善风险防控体系，确保财政资金安全有效。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选取所有服务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类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项目开展成本绩效分析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两端作为抓手，并把分析结果作为今后安排预算的重要依据，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促进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财政资金使用效益不断提高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。</w:t>
      </w:r>
    </w:p>
    <w:p>
      <w:pPr>
        <w:numPr>
          <w:ilvl w:val="0"/>
          <w:numId w:val="0"/>
        </w:numPr>
        <w:spacing w:line="560" w:lineRule="exact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004622E6"/>
    <w:rsid w:val="003F6819"/>
    <w:rsid w:val="004622E6"/>
    <w:rsid w:val="00604A03"/>
    <w:rsid w:val="00625E69"/>
    <w:rsid w:val="006E1BE3"/>
    <w:rsid w:val="00723D69"/>
    <w:rsid w:val="00771FE6"/>
    <w:rsid w:val="009D3D6E"/>
    <w:rsid w:val="00B00A68"/>
    <w:rsid w:val="00B304C3"/>
    <w:rsid w:val="00BD536F"/>
    <w:rsid w:val="018D5F67"/>
    <w:rsid w:val="040A66D8"/>
    <w:rsid w:val="04E473A0"/>
    <w:rsid w:val="05A942E4"/>
    <w:rsid w:val="05DA02B4"/>
    <w:rsid w:val="064D0B7E"/>
    <w:rsid w:val="071E0C05"/>
    <w:rsid w:val="0BF33A98"/>
    <w:rsid w:val="0E084DEE"/>
    <w:rsid w:val="0E243CB3"/>
    <w:rsid w:val="0ED71AC8"/>
    <w:rsid w:val="11E03588"/>
    <w:rsid w:val="12D9089D"/>
    <w:rsid w:val="14D93D23"/>
    <w:rsid w:val="167E6BDE"/>
    <w:rsid w:val="17A033A5"/>
    <w:rsid w:val="182C2A78"/>
    <w:rsid w:val="1B3F17E5"/>
    <w:rsid w:val="1D19603A"/>
    <w:rsid w:val="1D3817DF"/>
    <w:rsid w:val="1EBB640C"/>
    <w:rsid w:val="1F4C7305"/>
    <w:rsid w:val="21CC6AB1"/>
    <w:rsid w:val="28FE4ABC"/>
    <w:rsid w:val="29B0301D"/>
    <w:rsid w:val="2A1E3940"/>
    <w:rsid w:val="2BDF1DC5"/>
    <w:rsid w:val="2EAE4F00"/>
    <w:rsid w:val="2F43620C"/>
    <w:rsid w:val="2FA1718E"/>
    <w:rsid w:val="2FB77CD1"/>
    <w:rsid w:val="2FC56F08"/>
    <w:rsid w:val="30251DBF"/>
    <w:rsid w:val="311144DB"/>
    <w:rsid w:val="319C3F0E"/>
    <w:rsid w:val="32136508"/>
    <w:rsid w:val="32EF792F"/>
    <w:rsid w:val="3354553F"/>
    <w:rsid w:val="37ED0E0A"/>
    <w:rsid w:val="39C05EEE"/>
    <w:rsid w:val="3DC00190"/>
    <w:rsid w:val="3E1157E4"/>
    <w:rsid w:val="3F3074F0"/>
    <w:rsid w:val="3FF77E4E"/>
    <w:rsid w:val="41A6683C"/>
    <w:rsid w:val="447B5463"/>
    <w:rsid w:val="451B5058"/>
    <w:rsid w:val="46522EDB"/>
    <w:rsid w:val="49A27DA7"/>
    <w:rsid w:val="49AC6450"/>
    <w:rsid w:val="4C596C63"/>
    <w:rsid w:val="4F0660C5"/>
    <w:rsid w:val="50A9434B"/>
    <w:rsid w:val="534C07E5"/>
    <w:rsid w:val="540462BF"/>
    <w:rsid w:val="561E49F8"/>
    <w:rsid w:val="56283A96"/>
    <w:rsid w:val="588954F3"/>
    <w:rsid w:val="5B0706F3"/>
    <w:rsid w:val="5C8001D2"/>
    <w:rsid w:val="5CC03989"/>
    <w:rsid w:val="615151CA"/>
    <w:rsid w:val="61C429FF"/>
    <w:rsid w:val="62EF7A16"/>
    <w:rsid w:val="630D41A9"/>
    <w:rsid w:val="631A26ED"/>
    <w:rsid w:val="64AB7F4A"/>
    <w:rsid w:val="651656C7"/>
    <w:rsid w:val="65D36A91"/>
    <w:rsid w:val="66DC7218"/>
    <w:rsid w:val="67C53578"/>
    <w:rsid w:val="68A225A9"/>
    <w:rsid w:val="68C03866"/>
    <w:rsid w:val="69751BE3"/>
    <w:rsid w:val="6B4649DB"/>
    <w:rsid w:val="6C277ACC"/>
    <w:rsid w:val="6C3D3301"/>
    <w:rsid w:val="6C407D85"/>
    <w:rsid w:val="6C931F81"/>
    <w:rsid w:val="6CC56A3C"/>
    <w:rsid w:val="6D0A55AC"/>
    <w:rsid w:val="6D1719EB"/>
    <w:rsid w:val="6D1E14BA"/>
    <w:rsid w:val="6E550A82"/>
    <w:rsid w:val="6E6E665B"/>
    <w:rsid w:val="6F5C2903"/>
    <w:rsid w:val="6F9F6EE5"/>
    <w:rsid w:val="6FC744AF"/>
    <w:rsid w:val="6FD17C1C"/>
    <w:rsid w:val="7059551A"/>
    <w:rsid w:val="70683D27"/>
    <w:rsid w:val="711F417F"/>
    <w:rsid w:val="717E6DFF"/>
    <w:rsid w:val="73D341EF"/>
    <w:rsid w:val="741337E8"/>
    <w:rsid w:val="743B7A79"/>
    <w:rsid w:val="767223DF"/>
    <w:rsid w:val="76C01EE2"/>
    <w:rsid w:val="77C04626"/>
    <w:rsid w:val="7B0E3BAF"/>
    <w:rsid w:val="7BBE5A10"/>
    <w:rsid w:val="7BFF4C64"/>
    <w:rsid w:val="7C3A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3144</Words>
  <Characters>3848</Characters>
  <Lines>16</Lines>
  <Paragraphs>4</Paragraphs>
  <TotalTime>51</TotalTime>
  <ScaleCrop>false</ScaleCrop>
  <LinksUpToDate>false</LinksUpToDate>
  <CharactersWithSpaces>3857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wsz</cp:lastModifiedBy>
  <dcterms:modified xsi:type="dcterms:W3CDTF">2025-08-04T01:33:00Z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743B02F4139F4D068A022FB006814BE7_12</vt:lpwstr>
  </property>
  <property fmtid="{D5CDD505-2E9C-101B-9397-08002B2CF9AE}" pid="4" name="KSOTemplateDocerSaveRecord">
    <vt:lpwstr>eyJoZGlkIjoiYjExMjExMjU4ODU0ZTYwOThiMGQ0ODczZDRlZWI2ZjciLCJ1c2VySWQiOiIxMDU2ODAyMzcxIn0=</vt:lpwstr>
  </property>
</Properties>
</file>