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31E76">
      <w:pPr>
        <w:pStyle w:val="3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大兴区</w:t>
      </w:r>
      <w:r>
        <w:rPr>
          <w:rFonts w:hint="eastAsia" w:ascii="黑体" w:hAnsi="黑体" w:eastAsia="黑体" w:cs="黑体"/>
          <w:lang w:val="en-US" w:eastAsia="zh-CN"/>
        </w:rPr>
        <w:t>西红门</w:t>
      </w:r>
      <w:r>
        <w:rPr>
          <w:rFonts w:hint="eastAsia" w:ascii="黑体" w:hAnsi="黑体" w:eastAsia="黑体" w:cs="黑体"/>
        </w:rPr>
        <w:t>镇202</w:t>
      </w:r>
      <w:r>
        <w:rPr>
          <w:rFonts w:hint="eastAsia" w:ascii="黑体" w:hAnsi="黑体" w:eastAsia="黑体" w:cs="黑体"/>
          <w:lang w:val="en-US" w:eastAsia="zh-CN"/>
        </w:rPr>
        <w:t>4</w:t>
      </w:r>
      <w:r>
        <w:rPr>
          <w:rFonts w:hint="eastAsia" w:ascii="黑体" w:hAnsi="黑体" w:eastAsia="黑体" w:cs="黑体"/>
        </w:rPr>
        <w:t>年政府决算公开说明</w:t>
      </w:r>
    </w:p>
    <w:p w14:paraId="5252A1BD">
      <w:pPr>
        <w:spacing w:line="56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</w:p>
    <w:p w14:paraId="21862AA2">
      <w:pPr>
        <w:spacing w:line="620" w:lineRule="exact"/>
        <w:ind w:firstLine="640" w:firstLineChars="200"/>
        <w:jc w:val="left"/>
        <w:rPr>
          <w:rFonts w:hint="eastAsia" w:ascii="方正小标宋简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西红门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</w:rPr>
        <w:t>一般公共预算收入决算表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 w14:paraId="0D064DAB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大兴区西红门镇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68754</w:t>
      </w:r>
      <w:r>
        <w:rPr>
          <w:rFonts w:hint="eastAsia" w:ascii="仿宋_GB2312" w:hAnsi="宋体" w:eastAsia="仿宋_GB2312" w:cs="宋体"/>
          <w:sz w:val="32"/>
          <w:szCs w:val="32"/>
        </w:rPr>
        <w:t>万元（均为税收收入），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完成调整预算数的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100%，</w:t>
      </w:r>
      <w:r>
        <w:rPr>
          <w:rFonts w:hint="eastAsia" w:ascii="仿宋_GB2312" w:hAnsi="宋体" w:eastAsia="仿宋_GB2312" w:cs="宋体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一般公共预算收入决算数与调整预算数持平。其中：</w:t>
      </w:r>
    </w:p>
    <w:p w14:paraId="64FC9D47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增值税收入决算数为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16925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13750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123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%； </w:t>
      </w:r>
    </w:p>
    <w:p w14:paraId="2BD4D433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企业所得税收入决算数为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11675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12000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97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 w14:paraId="7EC9EC75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城市维护建设税收入决算数为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4629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预算数为4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110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 w14:paraId="743F7F1D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房产税收入决算数为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22628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20700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109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 w14:paraId="46776FDB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印花税收入决算数为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2985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3500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85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 w14:paraId="2F9204DA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城镇土地使用税收入决算数为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275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112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 w14:paraId="667903F0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（七）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土地增值税收入决算数为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9603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5500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175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 w14:paraId="72DA0EAB">
      <w:pPr>
        <w:spacing w:line="560" w:lineRule="exact"/>
        <w:ind w:firstLine="640" w:firstLineChars="200"/>
        <w:jc w:val="left"/>
        <w:rPr>
          <w:rFonts w:hint="eastAsia" w:ascii="方正小标宋简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大兴区西红门镇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</w:rPr>
        <w:t>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 w14:paraId="6E55910D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大兴区西红门镇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一般公共预算支出总计为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115288.88</w:t>
      </w:r>
      <w:r>
        <w:rPr>
          <w:rFonts w:hint="eastAsia" w:ascii="仿宋_GB2312" w:hAnsi="宋体" w:eastAsia="仿宋_GB2312" w:cs="宋体"/>
          <w:sz w:val="32"/>
          <w:szCs w:val="32"/>
        </w:rPr>
        <w:t>万元，其中：全镇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100405.57</w:t>
      </w:r>
      <w:r>
        <w:rPr>
          <w:rFonts w:hint="eastAsia" w:ascii="仿宋_GB2312" w:hAnsi="宋体" w:eastAsia="仿宋_GB2312" w:cs="宋体"/>
          <w:sz w:val="32"/>
          <w:szCs w:val="32"/>
        </w:rPr>
        <w:t>万元、上解支出决算数为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14883.31</w:t>
      </w:r>
      <w:r>
        <w:rPr>
          <w:rFonts w:hint="eastAsia" w:ascii="仿宋_GB2312" w:hAnsi="宋体" w:eastAsia="仿宋_GB2312" w:cs="宋体"/>
          <w:sz w:val="32"/>
          <w:szCs w:val="32"/>
        </w:rPr>
        <w:t>万元。全镇一般公共预算支出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103012.17</w:t>
      </w:r>
      <w:r>
        <w:rPr>
          <w:rFonts w:hint="eastAsia" w:ascii="仿宋_GB2312" w:hAnsi="宋体" w:eastAsia="仿宋_GB2312" w:cs="宋体"/>
          <w:sz w:val="32"/>
          <w:szCs w:val="32"/>
        </w:rPr>
        <w:t>万元，全镇一般公共预算支出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97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 w14:paraId="713A23E4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大兴区西红门镇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</w:rPr>
        <w:t>一般公共预算支出决算表细化到项级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 w14:paraId="742EE72C">
      <w:pPr>
        <w:numPr>
          <w:ilvl w:val="0"/>
          <w:numId w:val="0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大兴区西红门镇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100405.57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103012.17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97</w:t>
      </w:r>
      <w:r>
        <w:rPr>
          <w:rFonts w:hint="eastAsia" w:ascii="仿宋_GB2312" w:hAnsi="宋体" w:eastAsia="仿宋_GB2312" w:cs="宋体"/>
          <w:sz w:val="32"/>
          <w:szCs w:val="32"/>
        </w:rPr>
        <w:t>%，其中：</w:t>
      </w:r>
    </w:p>
    <w:p w14:paraId="5E2D6994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（一）一般公共服务支出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8882.53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7340.72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121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  <w:bookmarkStart w:id="0" w:name="_GoBack"/>
      <w:bookmarkEnd w:id="0"/>
    </w:p>
    <w:p w14:paraId="54F7A82F">
      <w:pPr>
        <w:spacing w:line="560" w:lineRule="exact"/>
        <w:ind w:firstLine="640" w:firstLineChars="200"/>
      </w:pPr>
      <w:r>
        <w:rPr>
          <w:rFonts w:hint="eastAsia" w:ascii="仿宋_GB2312" w:hAnsi="宋体" w:eastAsia="仿宋_GB2312" w:cs="宋体"/>
          <w:sz w:val="32"/>
          <w:szCs w:val="32"/>
        </w:rPr>
        <w:t>（二）公共安全支出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37.5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89.23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42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 w14:paraId="75CD8C4C">
      <w:pPr>
        <w:spacing w:line="560" w:lineRule="exact"/>
        <w:ind w:firstLine="640" w:firstLineChars="200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教育支出</w:t>
      </w:r>
      <w:r>
        <w:rPr>
          <w:rFonts w:hint="eastAsia" w:ascii="仿宋_GB2312" w:hAnsi="宋体" w:eastAsia="仿宋_GB2312" w:cs="宋体"/>
          <w:sz w:val="32"/>
          <w:szCs w:val="32"/>
        </w:rPr>
        <w:t>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5710.86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9074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 w14:paraId="2FA2FC1A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（四）文化旅游体育与传媒支出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398.26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1003.72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40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 w14:paraId="10EB7F9E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（五）社会保障和就业支出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9157.09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7031.49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%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主要是本年专项资金增多。 </w:t>
      </w:r>
    </w:p>
    <w:p w14:paraId="0E616ADC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（六）卫生健康支出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9918.87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8556.28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116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主要是本年专项资金增多。</w:t>
      </w:r>
    </w:p>
    <w:p w14:paraId="16580AB6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（七）节能环保支出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566.54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263.05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215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主要是本年专项资金增多。</w:t>
      </w:r>
    </w:p>
    <w:p w14:paraId="4D675E2E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（八）城乡社区支出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46721.37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51324.95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91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 w14:paraId="27ABA2CF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（九）农林水支出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10464.55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6059.32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173</w:t>
      </w:r>
      <w:r>
        <w:rPr>
          <w:rFonts w:hint="eastAsia" w:ascii="仿宋_GB2312" w:hAnsi="宋体" w:eastAsia="仿宋_GB2312" w:cs="宋体"/>
          <w:sz w:val="32"/>
          <w:szCs w:val="32"/>
        </w:rPr>
        <w:t>%，主要是本年专项资金增多。</w:t>
      </w:r>
    </w:p>
    <w:p w14:paraId="4DF813A5"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（十）住房保障支出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8028.95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5460.23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147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1"/>
          <w:sz w:val="31"/>
          <w:szCs w:val="31"/>
          <w:lang w:val="en-US" w:eastAsia="zh-CN"/>
        </w:rPr>
        <w:t>主要原因是本年度体制补助增加。</w:t>
      </w:r>
    </w:p>
    <w:p w14:paraId="7B36A08A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（十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="宋体"/>
          <w:sz w:val="32"/>
          <w:szCs w:val="32"/>
        </w:rPr>
        <w:t>）灾害防治及应急管理支出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519.06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预算数为3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66.89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141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 w14:paraId="03F71967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大兴区西红门镇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</w:rPr>
        <w:t>一般公共预算基本支出决算表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 w14:paraId="136BA8E9"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大兴区西红门镇2024年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一般公共预算基本支出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决算数为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9959.77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具体包括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：</w:t>
      </w:r>
    </w:p>
    <w:p w14:paraId="1AECC348"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机关工资福利支出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5277.18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 w14:paraId="4363B648"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机关商品和服务支出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432.94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 w14:paraId="6AA11C40"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对事业单位经常性补助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4162.87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 w14:paraId="7394C80C">
      <w:pPr>
        <w:ind w:firstLine="640" w:firstLineChars="200"/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对个人和家庭的补助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86.78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 w14:paraId="3E2D7EC7"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大兴区西红门镇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</w:rPr>
        <w:t>一般公共预算“三公经费”财政拨款支出决算表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》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的说明</w:t>
      </w:r>
    </w:p>
    <w:p w14:paraId="1180FDE6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大兴区西红门镇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因公出国（境）费用、公务接待费、公务用车费3项费用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决算数共计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12.59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年初预算数共计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44.59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预算调整数为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12.59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决算数比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年初预算数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减少32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降低72</w:t>
      </w:r>
      <w:r>
        <w:rPr>
          <w:rFonts w:hint="eastAsia" w:ascii="仿宋_GB2312" w:hAnsi="宋体" w:eastAsia="仿宋_GB2312" w:cs="宋体"/>
          <w:sz w:val="32"/>
          <w:szCs w:val="32"/>
        </w:rPr>
        <w:t>%，主要是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严格按照财政部门工作要求控制压减三公经费支出</w:t>
      </w:r>
      <w:r>
        <w:rPr>
          <w:rFonts w:hint="eastAsia" w:ascii="仿宋_GB2312" w:hAnsi="宋体" w:eastAsia="仿宋_GB2312" w:cs="宋体"/>
          <w:sz w:val="32"/>
          <w:szCs w:val="32"/>
        </w:rPr>
        <w:t>。其中：</w:t>
      </w:r>
    </w:p>
    <w:p w14:paraId="49E15AE1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（一）因公出国（境）费用：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决算数0.00万元，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无此项预算支出。</w:t>
      </w:r>
    </w:p>
    <w:p w14:paraId="50DC3447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（二）公务接待费：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决算数0.00万元，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年初预算数为2万元，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决算数比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预算数减少2万元。</w:t>
      </w:r>
    </w:p>
    <w:p w14:paraId="5DF85E04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（三）公务用车费（含公务用车运行维护费用支出、公务用车购置费用支出）：公务用车费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12.59</w:t>
      </w:r>
      <w:r>
        <w:rPr>
          <w:rFonts w:hint="eastAsia" w:ascii="仿宋_GB2312" w:hAnsi="宋体" w:eastAsia="仿宋_GB2312" w:cs="宋体"/>
          <w:sz w:val="32"/>
          <w:szCs w:val="32"/>
        </w:rPr>
        <w:t>万元（其中公务用车运行维护费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万元、公务用车购置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12.59</w:t>
      </w:r>
      <w:r>
        <w:rPr>
          <w:rFonts w:hint="eastAsia" w:ascii="仿宋_GB2312" w:hAnsi="宋体" w:eastAsia="仿宋_GB2312" w:cs="宋体"/>
          <w:sz w:val="32"/>
          <w:szCs w:val="32"/>
        </w:rPr>
        <w:t>万元），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42.59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决算数比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减少32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降低72</w:t>
      </w:r>
      <w:r>
        <w:rPr>
          <w:rFonts w:hint="eastAsia" w:ascii="仿宋_GB2312" w:hAnsi="宋体" w:eastAsia="仿宋_GB2312" w:cs="宋体"/>
          <w:sz w:val="32"/>
          <w:szCs w:val="32"/>
        </w:rPr>
        <w:t>%，主要为车辆燃油、保险、维修等费用减少。</w:t>
      </w:r>
    </w:p>
    <w:p w14:paraId="7CDAC255"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大兴区西红门镇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</w:rPr>
        <w:t>政府性基金收入决算表</w:t>
      </w:r>
    </w:p>
    <w:p w14:paraId="7111025C">
      <w:pPr>
        <w:ind w:firstLine="480" w:firstLineChars="15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的说明</w:t>
      </w:r>
    </w:p>
    <w:p w14:paraId="4CF82B96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7B961F50"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大兴区西红门镇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</w:rPr>
        <w:t>政府性基金预算支出决算表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》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的说明</w:t>
      </w:r>
    </w:p>
    <w:p w14:paraId="7924CF13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大兴区西红门镇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14063.61</w:t>
      </w:r>
      <w:r>
        <w:rPr>
          <w:rFonts w:hint="eastAsia" w:ascii="仿宋_GB2312" w:hAnsi="宋体" w:eastAsia="仿宋_GB2312" w:cs="宋体"/>
          <w:sz w:val="32"/>
          <w:szCs w:val="32"/>
        </w:rPr>
        <w:t>万元。政府性基金预算支出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13597.88</w:t>
      </w:r>
      <w:r>
        <w:rPr>
          <w:rFonts w:hint="eastAsia" w:ascii="仿宋_GB2312" w:hAnsi="宋体" w:eastAsia="仿宋_GB2312" w:cs="宋体"/>
          <w:sz w:val="32"/>
          <w:szCs w:val="32"/>
        </w:rPr>
        <w:t>万元，分科目看：</w:t>
      </w:r>
    </w:p>
    <w:p w14:paraId="09640BBF"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14063.61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13597.88</w:t>
      </w:r>
      <w:r>
        <w:rPr>
          <w:rFonts w:hint="eastAsia" w:ascii="仿宋_GB2312" w:hAnsi="宋体" w:eastAsia="仿宋_GB2312" w:cs="宋体"/>
          <w:sz w:val="32"/>
          <w:szCs w:val="32"/>
        </w:rPr>
        <w:t>万元,主要是区级专项转移支付增加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 w14:paraId="2788C839"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八、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关于《大兴区西红门镇2024年本级政府性基金预算支出决算表》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的说明</w:t>
      </w:r>
    </w:p>
    <w:p w14:paraId="62DCCF37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西红门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14063.61</w:t>
      </w:r>
      <w:r>
        <w:rPr>
          <w:rFonts w:hint="eastAsia" w:ascii="仿宋_GB2312" w:hAnsi="宋体" w:eastAsia="仿宋_GB2312" w:cs="宋体"/>
          <w:sz w:val="32"/>
          <w:szCs w:val="32"/>
        </w:rPr>
        <w:t>万元，为调整预算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sz w:val="32"/>
          <w:szCs w:val="32"/>
        </w:rPr>
        <w:t>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 w:cs="宋体"/>
          <w:sz w:val="32"/>
          <w:szCs w:val="32"/>
        </w:rPr>
        <w:t>支出较调整预算变动的原因主要是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上级专项转移支付增加。其中：</w:t>
      </w:r>
      <w:r>
        <w:rPr>
          <w:rFonts w:hint="eastAsia" w:ascii="仿宋_GB2312" w:hAnsi="宋体" w:eastAsia="仿宋_GB2312" w:cs="宋体"/>
          <w:sz w:val="32"/>
          <w:szCs w:val="32"/>
        </w:rPr>
        <w:t>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14063.61</w:t>
      </w:r>
      <w:r>
        <w:rPr>
          <w:rFonts w:hint="eastAsia" w:ascii="仿宋_GB2312" w:hAnsi="宋体" w:eastAsia="仿宋_GB2312" w:cs="宋体"/>
          <w:sz w:val="32"/>
          <w:szCs w:val="32"/>
        </w:rPr>
        <w:t>万元,为调整预算数的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sz w:val="32"/>
          <w:szCs w:val="32"/>
        </w:rPr>
        <w:t>%，主要是上级专项转移支付增加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 w14:paraId="73B7EC87"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九、关于《</w:t>
      </w:r>
      <w:r>
        <w:rPr>
          <w:rFonts w:hint="eastAsia" w:ascii="黑体" w:hAnsi="黑体" w:eastAsia="黑体" w:cs="黑体"/>
          <w:sz w:val="32"/>
          <w:szCs w:val="32"/>
        </w:rPr>
        <w:t>大兴区西红门镇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</w:rPr>
        <w:t>国有资本经营预算收入决算表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 w14:paraId="19128085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3309AE66"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大兴区西红门镇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2024年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 w14:paraId="081D0A84">
      <w:pPr>
        <w:spacing w:line="560" w:lineRule="exact"/>
        <w:ind w:left="525" w:leftChars="25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2D5D869D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十一、关于《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西红门镇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 w14:paraId="24B49797"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762C9647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十二、关于《大兴区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西红门镇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社会保险基金预算收入决算表》的说明</w:t>
      </w:r>
    </w:p>
    <w:p w14:paraId="7661004F"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58B845B8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十三、关于《大兴区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西红门镇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社会保险基金预算支出决算表》的说明</w:t>
      </w:r>
    </w:p>
    <w:p w14:paraId="6AA36606"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1F98EA3E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十四、关于《大兴区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西红门镇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一般公共预算税收返还和转移支付表》的说明</w:t>
      </w:r>
    </w:p>
    <w:p w14:paraId="30B6B1C0"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7B8E0497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十五、关于《大兴区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西红门镇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政府性基金转移支付表》的说明</w:t>
      </w:r>
    </w:p>
    <w:p w14:paraId="6F0D7B25"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46BFC35B">
      <w:pPr>
        <w:numPr>
          <w:ilvl w:val="0"/>
          <w:numId w:val="2"/>
        </w:num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西红门镇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专项转移支付执行情况表》的说明</w:t>
      </w:r>
    </w:p>
    <w:p w14:paraId="5DBC4C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2024年大兴区西红门镇专项转移支付支出39629.81万元，其中一般公共预算支出29447.15万元，政府性基金预算支出10182.66万元。</w:t>
      </w:r>
    </w:p>
    <w:p w14:paraId="2CCE71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在一般公共预算专项转移支付支出中，主要支出科目如下：</w:t>
      </w:r>
    </w:p>
    <w:p w14:paraId="5D3F62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一般公共服务支出308.72万元；</w:t>
      </w:r>
    </w:p>
    <w:p w14:paraId="7405AC4C"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教育支出5693.92万元；</w:t>
      </w:r>
    </w:p>
    <w:p w14:paraId="11A963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文化旅游体育与传媒支出0.5万元；</w:t>
      </w:r>
    </w:p>
    <w:p w14:paraId="669F41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社会保障和就业支出111.55万元；</w:t>
      </w:r>
    </w:p>
    <w:p w14:paraId="055B8D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卫生健康支出1916.91万元；</w:t>
      </w:r>
    </w:p>
    <w:p w14:paraId="4E6032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节能环保支出566.54万元；</w:t>
      </w:r>
    </w:p>
    <w:p w14:paraId="3E565334"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城乡社区支出6192.6万元；</w:t>
      </w:r>
    </w:p>
    <w:p w14:paraId="2DD299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农林水支出6639.89万元；</w:t>
      </w:r>
    </w:p>
    <w:p w14:paraId="35C58181"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住房保障支出8016.52万元；</w:t>
      </w:r>
    </w:p>
    <w:p w14:paraId="37C318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在政府性基金预算专项转移支付中，主要支出科目如下：</w:t>
      </w:r>
    </w:p>
    <w:p w14:paraId="5AC5B2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城乡社区支出10182.66万元。</w:t>
      </w:r>
    </w:p>
    <w:p w14:paraId="580F481F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十七、关于《大兴区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西红门镇2024年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地方政府债务限额及余额决算情况表》的说明</w:t>
      </w:r>
    </w:p>
    <w:p w14:paraId="6457D468"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3AA02835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十八、关于《大兴区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西红门镇2024年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地方政府一般债务余额情况表》的说明</w:t>
      </w:r>
    </w:p>
    <w:p w14:paraId="02FB7424"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30785615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十九、关于《大兴区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西红门镇2024年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地方政府专项债务余额情况表》的说明</w:t>
      </w:r>
    </w:p>
    <w:p w14:paraId="5FDBC295"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4F1ABFE3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二十、关于《2024年新增地方政府债券使用情况表》的说明</w:t>
      </w:r>
    </w:p>
    <w:p w14:paraId="447DD68E"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 w14:paraId="75E9BF16"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二十一、关于《2024年地方政府债务发行及还本付息情况表》的说明</w:t>
      </w:r>
    </w:p>
    <w:p w14:paraId="51022571">
      <w:pPr>
        <w:pStyle w:val="2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</w:t>
      </w:r>
    </w:p>
    <w:p w14:paraId="190EEC66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二十二、关于《大兴区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西红门镇2024年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政府采购情况表》的说明</w:t>
      </w:r>
    </w:p>
    <w:p w14:paraId="3A064F38">
      <w:pPr>
        <w:widowControl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西红门镇2024年政府采购支出31168.51万元，其中：货物支出293.13万元，工程支出681.2万元，服务支出30194.18万元；授予中小企业合同金额26433.27万元，其中：授予小微企业合同金额17159.46万元。</w:t>
      </w:r>
    </w:p>
    <w:p w14:paraId="309F5CF2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二十三、关于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《大兴区西红门镇2024年政府购买服务支出情况表》的说明</w:t>
      </w:r>
    </w:p>
    <w:p w14:paraId="32EB8923">
      <w:pPr>
        <w:ind w:firstLine="640" w:firstLineChars="2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西红门镇2024年政府购买服务支出602.09万元，其中：后勤服务602.09万元。</w:t>
      </w:r>
    </w:p>
    <w:p w14:paraId="4A249464"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sz w:val="32"/>
          <w:szCs w:val="32"/>
        </w:rPr>
        <w:t>、其他重要事项的情况说明</w:t>
      </w:r>
    </w:p>
    <w:p w14:paraId="00883918"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举借债务情况说明</w:t>
      </w:r>
    </w:p>
    <w:p w14:paraId="6AE0ED13"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宋体"/>
          <w:sz w:val="32"/>
          <w:szCs w:val="32"/>
        </w:rPr>
        <w:t>举借债务情况</w:t>
      </w:r>
    </w:p>
    <w:p w14:paraId="7C682438"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2.预</w:t>
      </w:r>
      <w:r>
        <w:rPr>
          <w:rFonts w:hint="eastAsia" w:eastAsia="仿宋_GB2312" w:cs="Arial"/>
          <w:b w:val="0"/>
          <w:color w:val="auto"/>
          <w:kern w:val="0"/>
          <w:sz w:val="32"/>
          <w:szCs w:val="32"/>
          <w:lang w:val="en-US" w:eastAsia="zh-CN"/>
        </w:rPr>
        <w:t>算绩效管理情况</w:t>
      </w:r>
    </w:p>
    <w:p w14:paraId="68155E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我镇认真落实各级部门决策部署，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全面实施预算绩效管理，继续深化预算信息公开。将各部门所有预算收支全面纳入绩效管理，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实现所有预算项目绩效目标、绩效自评全覆盖，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并按照预算和绩效管理一体化的要求，优化管理流程，明确责任分工。建立全方位预算绩效管理格局，推进预算执行、绩效评价、审计等发现问题与预算安排挂钩机制,加强评价结果应用,促进绩效管理与预算编制衔,削减低效无效支出。</w:t>
      </w:r>
    </w:p>
    <w:p w14:paraId="688ADE01"/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C9E0D8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6B650B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- 5 -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2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w9kx90QAAAAMBAAAPAAAAAAAAAAEAIAAAACIAAABkcnMvZG93&#10;bnJldi54bWxQSwECFAAUAAAACACHTuJANVQE5QcCAAACBAAADgAAAAAAAAABACAAAAAg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6B650B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- 5 -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3B3179"/>
    <w:multiLevelType w:val="singleLevel"/>
    <w:tmpl w:val="DE3B3179"/>
    <w:lvl w:ilvl="0" w:tentative="0">
      <w:start w:val="1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3E6A42"/>
    <w:multiLevelType w:val="singleLevel"/>
    <w:tmpl w:val="FA3E6A4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DB"/>
    <w:rsid w:val="0008049E"/>
    <w:rsid w:val="000F1D48"/>
    <w:rsid w:val="000F6E82"/>
    <w:rsid w:val="00101C84"/>
    <w:rsid w:val="00157D2E"/>
    <w:rsid w:val="0017207F"/>
    <w:rsid w:val="001946C6"/>
    <w:rsid w:val="001D2A66"/>
    <w:rsid w:val="001D557E"/>
    <w:rsid w:val="00261494"/>
    <w:rsid w:val="002B1683"/>
    <w:rsid w:val="002F7027"/>
    <w:rsid w:val="0037374C"/>
    <w:rsid w:val="00383486"/>
    <w:rsid w:val="0041428A"/>
    <w:rsid w:val="00441019"/>
    <w:rsid w:val="004D4DFB"/>
    <w:rsid w:val="004E0706"/>
    <w:rsid w:val="004F25A6"/>
    <w:rsid w:val="00506893"/>
    <w:rsid w:val="00537603"/>
    <w:rsid w:val="00540BEE"/>
    <w:rsid w:val="005B573C"/>
    <w:rsid w:val="005D7458"/>
    <w:rsid w:val="00604D01"/>
    <w:rsid w:val="00606DF3"/>
    <w:rsid w:val="006146C9"/>
    <w:rsid w:val="00623281"/>
    <w:rsid w:val="00625EDB"/>
    <w:rsid w:val="00646216"/>
    <w:rsid w:val="00685696"/>
    <w:rsid w:val="00687BCD"/>
    <w:rsid w:val="0076200B"/>
    <w:rsid w:val="007E154F"/>
    <w:rsid w:val="007E224E"/>
    <w:rsid w:val="00814086"/>
    <w:rsid w:val="00814896"/>
    <w:rsid w:val="00884E73"/>
    <w:rsid w:val="008B6F71"/>
    <w:rsid w:val="00906552"/>
    <w:rsid w:val="0092286E"/>
    <w:rsid w:val="009A4D1B"/>
    <w:rsid w:val="00A56FFA"/>
    <w:rsid w:val="00A76408"/>
    <w:rsid w:val="00AA4669"/>
    <w:rsid w:val="00AB44CC"/>
    <w:rsid w:val="00B308A1"/>
    <w:rsid w:val="00B94C25"/>
    <w:rsid w:val="00BB7A18"/>
    <w:rsid w:val="00BD2D76"/>
    <w:rsid w:val="00C157DF"/>
    <w:rsid w:val="00C16002"/>
    <w:rsid w:val="00C745D8"/>
    <w:rsid w:val="00C92833"/>
    <w:rsid w:val="00CF418C"/>
    <w:rsid w:val="00D306AB"/>
    <w:rsid w:val="00D505E6"/>
    <w:rsid w:val="00D72611"/>
    <w:rsid w:val="00DB41C3"/>
    <w:rsid w:val="00DC357E"/>
    <w:rsid w:val="00E02D90"/>
    <w:rsid w:val="00E03A85"/>
    <w:rsid w:val="00E557B0"/>
    <w:rsid w:val="00E65997"/>
    <w:rsid w:val="00F22B5F"/>
    <w:rsid w:val="00F24C3F"/>
    <w:rsid w:val="00F24CDA"/>
    <w:rsid w:val="00F51E3A"/>
    <w:rsid w:val="00FA4432"/>
    <w:rsid w:val="00FB1817"/>
    <w:rsid w:val="00FD4F18"/>
    <w:rsid w:val="04F41F90"/>
    <w:rsid w:val="073216B6"/>
    <w:rsid w:val="0EF41B73"/>
    <w:rsid w:val="1C995422"/>
    <w:rsid w:val="1E0E1BBC"/>
    <w:rsid w:val="1E234C86"/>
    <w:rsid w:val="2D11365B"/>
    <w:rsid w:val="2D2105E2"/>
    <w:rsid w:val="32621481"/>
    <w:rsid w:val="34F0539C"/>
    <w:rsid w:val="372B09DB"/>
    <w:rsid w:val="37ED5C91"/>
    <w:rsid w:val="3BD00FAF"/>
    <w:rsid w:val="42E45EE2"/>
    <w:rsid w:val="47883E90"/>
    <w:rsid w:val="47B274BE"/>
    <w:rsid w:val="49573D40"/>
    <w:rsid w:val="49A547C9"/>
    <w:rsid w:val="4A1B5BEC"/>
    <w:rsid w:val="4B094738"/>
    <w:rsid w:val="4DB85752"/>
    <w:rsid w:val="53B84F4D"/>
    <w:rsid w:val="5E64349E"/>
    <w:rsid w:val="61B468BE"/>
    <w:rsid w:val="6B974D8C"/>
    <w:rsid w:val="6D2167F9"/>
    <w:rsid w:val="747C5728"/>
    <w:rsid w:val="752D0BB4"/>
    <w:rsid w:val="7D52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widowControl w:val="0"/>
      <w:suppressAutoHyphens/>
      <w:spacing w:before="100" w:beforeAutospacing="1" w:after="100" w:afterAutospacing="1"/>
      <w:jc w:val="left"/>
      <w:outlineLvl w:val="2"/>
    </w:pPr>
    <w:rPr>
      <w:rFonts w:ascii="宋体" w:hAnsi="Calibri" w:eastAsia="宋体" w:cs="宋体"/>
      <w:b/>
      <w:bCs/>
      <w:kern w:val="0"/>
      <w:sz w:val="27"/>
      <w:szCs w:val="27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脚 Char"/>
    <w:basedOn w:val="10"/>
    <w:link w:val="7"/>
    <w:qFormat/>
    <w:uiPriority w:val="0"/>
    <w:rPr>
      <w:rFonts w:ascii="Calibri" w:hAnsi="Calibri" w:eastAsia="宋体" w:cs="Times New Roman"/>
      <w:sz w:val="18"/>
    </w:rPr>
  </w:style>
  <w:style w:type="character" w:customStyle="1" w:styleId="12">
    <w:name w:val="页眉 Char"/>
    <w:basedOn w:val="10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3111</Words>
  <Characters>4027</Characters>
  <Lines>18</Lines>
  <Paragraphs>5</Paragraphs>
  <TotalTime>0</TotalTime>
  <ScaleCrop>false</ScaleCrop>
  <LinksUpToDate>false</LinksUpToDate>
  <CharactersWithSpaces>4051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2023-07-04T09:03:00Z</dcterms:created>
  <dc:creator>王春荣</dc:creator>
  <cp:lastModifiedBy>d^d</cp:lastModifiedBy>
  <dcterms:modified xsi:type="dcterms:W3CDTF">2025-08-04T06:42:16Z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eyJoZGlkIjoiOTBlMTlkMTA3NGY4N2RlMWZjNzgxMjFiMTRmYjkxM2IiLCJ1c2VySWQiOiI0MTMwMDcyODUifQ==</vt:lpwstr>
  </property>
  <property fmtid="{D5CDD505-2E9C-101B-9397-08002B2CF9AE}" pid="3" name="KSOProductBuildVer">
    <vt:lpwstr>2052-12.1.0.22215</vt:lpwstr>
  </property>
  <property fmtid="{D5CDD505-2E9C-101B-9397-08002B2CF9AE}" pid="4" name="ICV">
    <vt:lpwstr>740EB8D257A5416B9BD802EA5104E633_13</vt:lpwstr>
  </property>
</Properties>
</file>