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39" w:line="219" w:lineRule="auto"/>
        <w:ind w:left="1204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hint="eastAsia" w:ascii="宋体" w:hAnsi="宋体" w:eastAsia="宋体" w:cs="宋体"/>
          <w:b/>
          <w:bCs/>
          <w:spacing w:val="2"/>
          <w:sz w:val="43"/>
          <w:szCs w:val="43"/>
          <w:lang w:eastAsia="zh-CN"/>
        </w:rPr>
        <w:t>青云店镇</w:t>
      </w:r>
      <w:r>
        <w:rPr>
          <w:rFonts w:ascii="宋体" w:hAnsi="宋体" w:eastAsia="宋体" w:cs="宋体"/>
          <w:spacing w:val="-93"/>
          <w:sz w:val="43"/>
          <w:szCs w:val="43"/>
        </w:rPr>
        <w:t xml:space="preserve"> </w:t>
      </w:r>
      <w:r>
        <w:rPr>
          <w:rFonts w:ascii="宋体" w:hAnsi="宋体" w:eastAsia="宋体" w:cs="宋体"/>
          <w:b/>
          <w:bCs/>
          <w:spacing w:val="2"/>
          <w:sz w:val="43"/>
          <w:szCs w:val="43"/>
        </w:rPr>
        <w:t>202</w:t>
      </w:r>
      <w:r>
        <w:rPr>
          <w:rFonts w:hint="eastAsia" w:ascii="宋体" w:hAnsi="宋体" w:eastAsia="宋体" w:cs="宋体"/>
          <w:b/>
          <w:bCs/>
          <w:spacing w:val="2"/>
          <w:sz w:val="43"/>
          <w:szCs w:val="43"/>
          <w:lang w:val="en-US" w:eastAsia="zh-CN"/>
        </w:rPr>
        <w:t>4</w:t>
      </w:r>
      <w:r>
        <w:rPr>
          <w:rFonts w:ascii="宋体" w:hAnsi="宋体" w:eastAsia="宋体" w:cs="宋体"/>
          <w:spacing w:val="-93"/>
          <w:sz w:val="43"/>
          <w:szCs w:val="43"/>
        </w:rPr>
        <w:t xml:space="preserve"> </w:t>
      </w:r>
      <w:r>
        <w:rPr>
          <w:rFonts w:ascii="宋体" w:hAnsi="宋体" w:eastAsia="宋体" w:cs="宋体"/>
          <w:b/>
          <w:bCs/>
          <w:spacing w:val="2"/>
          <w:sz w:val="43"/>
          <w:szCs w:val="43"/>
        </w:rPr>
        <w:t>年政府决算的说明</w:t>
      </w:r>
    </w:p>
    <w:p>
      <w:pPr>
        <w:spacing w:before="170" w:line="316" w:lineRule="auto"/>
        <w:ind w:right="71"/>
        <w:rPr>
          <w:rFonts w:ascii="黑体" w:hAnsi="黑体" w:eastAsia="黑体" w:cs="黑体"/>
          <w:spacing w:val="12"/>
          <w:sz w:val="31"/>
          <w:szCs w:val="31"/>
        </w:rPr>
      </w:pPr>
    </w:p>
    <w:p>
      <w:pPr>
        <w:spacing w:before="170" w:line="316" w:lineRule="auto"/>
        <w:ind w:left="25" w:right="71" w:firstLine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一、关于《大兴区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青云店镇</w:t>
      </w:r>
      <w:r>
        <w:rPr>
          <w:rFonts w:ascii="黑体" w:hAnsi="黑体" w:eastAsia="黑体" w:cs="黑体"/>
          <w:spacing w:val="-5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ascii="黑体" w:hAnsi="黑体" w:eastAsia="黑体" w:cs="黑体"/>
          <w:spacing w:val="-4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年一般公共预算收入决算</w:t>
      </w:r>
      <w:r>
        <w:rPr>
          <w:rFonts w:ascii="黑体" w:hAnsi="黑体" w:eastAsia="黑体" w:cs="黑体"/>
          <w:spacing w:val="7"/>
          <w:sz w:val="31"/>
          <w:szCs w:val="31"/>
        </w:rPr>
        <w:t>表》的说明</w:t>
      </w:r>
    </w:p>
    <w:p>
      <w:pPr>
        <w:spacing w:before="51" w:line="327" w:lineRule="auto"/>
        <w:ind w:left="23" w:right="69" w:firstLine="655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1"/>
          <w:sz w:val="31"/>
          <w:szCs w:val="31"/>
        </w:rPr>
        <w:t>202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年一般公共预算收入完成</w:t>
      </w:r>
      <w:r>
        <w:rPr>
          <w:rFonts w:hint="eastAsia" w:ascii="仿宋" w:hAnsi="仿宋" w:eastAsia="仿宋" w:cs="仿宋"/>
          <w:spacing w:val="6"/>
          <w:sz w:val="31"/>
          <w:szCs w:val="31"/>
          <w:lang w:val="en-US" w:eastAsia="zh-CN"/>
        </w:rPr>
        <w:t>11352</w:t>
      </w:r>
      <w:r>
        <w:rPr>
          <w:rFonts w:ascii="仿宋" w:hAnsi="仿宋" w:eastAsia="仿宋" w:cs="仿宋"/>
          <w:spacing w:val="1"/>
          <w:sz w:val="31"/>
          <w:szCs w:val="31"/>
        </w:rPr>
        <w:t>万元，</w:t>
      </w:r>
      <w:r>
        <w:rPr>
          <w:rFonts w:ascii="仿宋" w:hAnsi="仿宋" w:eastAsia="仿宋" w:cs="仿宋"/>
          <w:sz w:val="31"/>
          <w:szCs w:val="31"/>
        </w:rPr>
        <w:t>完成</w:t>
      </w:r>
      <w:r>
        <w:rPr>
          <w:rFonts w:ascii="仿宋" w:hAnsi="仿宋" w:eastAsia="仿宋" w:cs="仿宋"/>
          <w:spacing w:val="6"/>
          <w:sz w:val="31"/>
          <w:szCs w:val="31"/>
        </w:rPr>
        <w:t>调整预算的</w:t>
      </w:r>
      <w:r>
        <w:rPr>
          <w:rFonts w:ascii="仿宋" w:hAnsi="仿宋" w:eastAsia="仿宋" w:cs="仿宋"/>
          <w:spacing w:val="-23"/>
          <w:sz w:val="31"/>
          <w:szCs w:val="31"/>
        </w:rPr>
        <w:t xml:space="preserve"> </w:t>
      </w:r>
      <w:r>
        <w:rPr>
          <w:rFonts w:hint="eastAsia" w:ascii="仿宋" w:hAnsi="仿宋" w:eastAsia="仿宋" w:cs="仿宋"/>
          <w:spacing w:val="6"/>
          <w:sz w:val="31"/>
          <w:szCs w:val="31"/>
          <w:lang w:val="en-US" w:eastAsia="zh-CN"/>
        </w:rPr>
        <w:t>132</w:t>
      </w:r>
      <w:r>
        <w:rPr>
          <w:rFonts w:ascii="仿宋" w:hAnsi="仿宋" w:eastAsia="仿宋" w:cs="仿宋"/>
          <w:spacing w:val="6"/>
          <w:sz w:val="31"/>
          <w:szCs w:val="31"/>
        </w:rPr>
        <w:t>%。其中：税收收入完成</w:t>
      </w:r>
      <w:r>
        <w:rPr>
          <w:rFonts w:hint="eastAsia" w:ascii="仿宋" w:hAnsi="仿宋" w:eastAsia="仿宋" w:cs="仿宋"/>
          <w:spacing w:val="6"/>
          <w:sz w:val="31"/>
          <w:szCs w:val="31"/>
          <w:lang w:val="en-US" w:eastAsia="zh-CN"/>
        </w:rPr>
        <w:t>11145</w:t>
      </w:r>
      <w:r>
        <w:rPr>
          <w:rFonts w:ascii="仿宋" w:hAnsi="仿宋" w:eastAsia="仿宋" w:cs="仿宋"/>
          <w:spacing w:val="6"/>
          <w:sz w:val="31"/>
          <w:szCs w:val="31"/>
        </w:rPr>
        <w:t>万元，为</w:t>
      </w:r>
      <w:r>
        <w:rPr>
          <w:rFonts w:ascii="仿宋" w:hAnsi="仿宋" w:eastAsia="仿宋" w:cs="仿宋"/>
          <w:spacing w:val="4"/>
          <w:sz w:val="31"/>
          <w:szCs w:val="31"/>
        </w:rPr>
        <w:t>调整预算的</w:t>
      </w:r>
      <w:r>
        <w:rPr>
          <w:rFonts w:hint="eastAsia" w:ascii="仿宋" w:hAnsi="仿宋" w:eastAsia="仿宋" w:cs="仿宋"/>
          <w:spacing w:val="6"/>
          <w:sz w:val="31"/>
          <w:szCs w:val="31"/>
          <w:lang w:val="en-US" w:eastAsia="zh-CN"/>
        </w:rPr>
        <w:t xml:space="preserve"> 129.6%</w:t>
      </w:r>
      <w:r>
        <w:rPr>
          <w:rFonts w:ascii="仿宋" w:hAnsi="仿宋" w:eastAsia="仿宋" w:cs="仿宋"/>
          <w:spacing w:val="4"/>
          <w:sz w:val="31"/>
          <w:szCs w:val="31"/>
        </w:rPr>
        <w:t>。税收收入较调整预算有所增加，主要是</w:t>
      </w:r>
      <w:r>
        <w:rPr>
          <w:rFonts w:ascii="仿宋" w:hAnsi="仿宋" w:eastAsia="仿宋" w:cs="仿宋"/>
          <w:spacing w:val="9"/>
          <w:sz w:val="31"/>
          <w:szCs w:val="31"/>
        </w:rPr>
        <w:t>制造</w:t>
      </w:r>
      <w:r>
        <w:rPr>
          <w:rFonts w:hint="eastAsia" w:ascii="仿宋" w:hAnsi="仿宋" w:eastAsia="仿宋" w:cs="仿宋"/>
          <w:spacing w:val="9"/>
          <w:sz w:val="31"/>
          <w:szCs w:val="31"/>
          <w:lang w:eastAsia="zh-CN"/>
        </w:rPr>
        <w:t>业</w:t>
      </w:r>
      <w:r>
        <w:rPr>
          <w:rFonts w:ascii="仿宋" w:hAnsi="仿宋" w:eastAsia="仿宋" w:cs="仿宋"/>
          <w:spacing w:val="9"/>
          <w:sz w:val="31"/>
          <w:szCs w:val="31"/>
        </w:rPr>
        <w:t>等行业增值税收入完成情况好于预期</w:t>
      </w:r>
      <w:r>
        <w:rPr>
          <w:rFonts w:ascii="仿宋" w:hAnsi="仿宋" w:eastAsia="仿宋" w:cs="仿宋"/>
          <w:spacing w:val="8"/>
          <w:sz w:val="31"/>
          <w:szCs w:val="31"/>
        </w:rPr>
        <w:t>。非</w:t>
      </w:r>
      <w:r>
        <w:rPr>
          <w:rFonts w:ascii="仿宋" w:hAnsi="仿宋" w:eastAsia="仿宋" w:cs="仿宋"/>
          <w:spacing w:val="5"/>
          <w:sz w:val="31"/>
          <w:szCs w:val="31"/>
        </w:rPr>
        <w:t>税收入</w:t>
      </w:r>
      <w:r>
        <w:rPr>
          <w:rFonts w:ascii="仿宋" w:hAnsi="仿宋" w:eastAsia="仿宋" w:cs="仿宋"/>
          <w:spacing w:val="6"/>
          <w:sz w:val="31"/>
          <w:szCs w:val="31"/>
        </w:rPr>
        <w:t>完成</w:t>
      </w:r>
      <w:r>
        <w:rPr>
          <w:rFonts w:hint="eastAsia" w:ascii="仿宋" w:hAnsi="仿宋" w:eastAsia="仿宋" w:cs="仿宋"/>
          <w:spacing w:val="6"/>
          <w:sz w:val="31"/>
          <w:szCs w:val="31"/>
          <w:lang w:val="en-US" w:eastAsia="zh-CN"/>
        </w:rPr>
        <w:t>207</w:t>
      </w:r>
      <w:r>
        <w:rPr>
          <w:rFonts w:ascii="仿宋" w:hAnsi="仿宋" w:eastAsia="仿宋" w:cs="仿宋"/>
          <w:spacing w:val="6"/>
          <w:sz w:val="31"/>
          <w:szCs w:val="31"/>
        </w:rPr>
        <w:t>万</w:t>
      </w:r>
      <w:r>
        <w:rPr>
          <w:rFonts w:ascii="仿宋" w:hAnsi="仿宋" w:eastAsia="仿宋" w:cs="仿宋"/>
          <w:spacing w:val="5"/>
          <w:sz w:val="31"/>
          <w:szCs w:val="31"/>
        </w:rPr>
        <w:t>元</w:t>
      </w:r>
      <w:r>
        <w:rPr>
          <w:rFonts w:hint="eastAsia" w:ascii="仿宋" w:hAnsi="仿宋" w:eastAsia="仿宋" w:cs="仿宋"/>
          <w:spacing w:val="5"/>
          <w:sz w:val="31"/>
          <w:szCs w:val="31"/>
          <w:lang w:eastAsia="zh-CN"/>
        </w:rPr>
        <w:t>。</w:t>
      </w:r>
    </w:p>
    <w:p>
      <w:pPr>
        <w:spacing w:before="37" w:line="316" w:lineRule="auto"/>
        <w:ind w:left="25" w:right="71" w:firstLine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二、关于《大兴区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青云店镇202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ascii="黑体" w:hAnsi="黑体" w:eastAsia="黑体" w:cs="黑体"/>
          <w:spacing w:val="12"/>
          <w:sz w:val="31"/>
          <w:szCs w:val="31"/>
        </w:rPr>
        <w:t>年一般公共预算支出决算</w:t>
      </w:r>
      <w:r>
        <w:rPr>
          <w:rFonts w:ascii="黑体" w:hAnsi="黑体" w:eastAsia="黑体" w:cs="黑体"/>
          <w:spacing w:val="7"/>
          <w:sz w:val="31"/>
          <w:szCs w:val="31"/>
        </w:rPr>
        <w:t>表》的说明</w:t>
      </w:r>
    </w:p>
    <w:p>
      <w:pPr>
        <w:spacing w:before="70" w:line="323" w:lineRule="auto"/>
        <w:ind w:left="25" w:right="13" w:firstLine="654"/>
        <w:jc w:val="both"/>
        <w:rPr>
          <w:rFonts w:ascii="仿宋" w:hAnsi="仿宋" w:eastAsia="仿宋" w:cs="仿宋"/>
          <w:spacing w:val="8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202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4</w:t>
      </w:r>
      <w:r>
        <w:rPr>
          <w:rFonts w:ascii="仿宋" w:hAnsi="仿宋" w:eastAsia="仿宋" w:cs="仿宋"/>
          <w:spacing w:val="8"/>
          <w:sz w:val="31"/>
          <w:szCs w:val="31"/>
        </w:rPr>
        <w:t>年一般公共预算支出完成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64367.71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万元，其中： 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镇</w:t>
      </w:r>
      <w:r>
        <w:rPr>
          <w:rFonts w:ascii="仿宋" w:hAnsi="仿宋" w:eastAsia="仿宋" w:cs="仿宋"/>
          <w:spacing w:val="8"/>
          <w:sz w:val="31"/>
          <w:szCs w:val="31"/>
        </w:rPr>
        <w:t>本级一般公共预算支出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59263.71</w:t>
      </w:r>
      <w:r>
        <w:rPr>
          <w:rFonts w:ascii="仿宋" w:hAnsi="仿宋" w:eastAsia="仿宋" w:cs="仿宋"/>
          <w:spacing w:val="8"/>
          <w:sz w:val="31"/>
          <w:szCs w:val="31"/>
        </w:rPr>
        <w:t>万元、上解支出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5104</w:t>
      </w:r>
      <w:r>
        <w:rPr>
          <w:rFonts w:ascii="仿宋" w:hAnsi="仿宋" w:eastAsia="仿宋" w:cs="仿宋"/>
          <w:spacing w:val="8"/>
          <w:sz w:val="31"/>
          <w:szCs w:val="31"/>
        </w:rPr>
        <w:t>万元。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8"/>
          <w:sz w:val="31"/>
          <w:szCs w:val="31"/>
        </w:rPr>
        <w:t>主要增减变化原因有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：镇</w:t>
      </w:r>
      <w:r>
        <w:rPr>
          <w:rFonts w:ascii="仿宋" w:hAnsi="仿宋" w:eastAsia="仿宋" w:cs="仿宋"/>
          <w:spacing w:val="8"/>
          <w:sz w:val="31"/>
          <w:szCs w:val="31"/>
        </w:rPr>
        <w:t>本级一般公共预算支出为调整预算的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70.08</w:t>
      </w:r>
      <w:r>
        <w:rPr>
          <w:rFonts w:ascii="仿宋" w:hAnsi="仿宋" w:eastAsia="仿宋" w:cs="仿宋"/>
          <w:spacing w:val="8"/>
          <w:sz w:val="31"/>
          <w:szCs w:val="31"/>
        </w:rPr>
        <w:t>%，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支出较调整预算有所较少的原因详见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《大兴区青云店镇202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4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年镇本级一般公共预算支出决算表》的说明</w:t>
      </w:r>
      <w:r>
        <w:rPr>
          <w:rFonts w:ascii="仿宋" w:hAnsi="仿宋" w:eastAsia="仿宋" w:cs="仿宋"/>
          <w:spacing w:val="12"/>
          <w:sz w:val="31"/>
          <w:szCs w:val="31"/>
        </w:rPr>
        <w:t>；上</w:t>
      </w:r>
      <w:r>
        <w:rPr>
          <w:rFonts w:ascii="仿宋" w:hAnsi="仿宋" w:eastAsia="仿宋" w:cs="仿宋"/>
          <w:spacing w:val="11"/>
          <w:sz w:val="31"/>
          <w:szCs w:val="31"/>
        </w:rPr>
        <w:t>解支</w:t>
      </w:r>
      <w:r>
        <w:rPr>
          <w:rFonts w:ascii="仿宋" w:hAnsi="仿宋" w:eastAsia="仿宋" w:cs="仿宋"/>
          <w:spacing w:val="4"/>
          <w:sz w:val="31"/>
          <w:szCs w:val="31"/>
        </w:rPr>
        <w:t>出为调整预算的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hint="eastAsia" w:ascii="仿宋" w:hAnsi="仿宋" w:eastAsia="仿宋" w:cs="仿宋"/>
          <w:spacing w:val="4"/>
          <w:sz w:val="31"/>
          <w:szCs w:val="31"/>
          <w:lang w:val="en-US" w:eastAsia="zh-CN"/>
        </w:rPr>
        <w:t>119.59</w:t>
      </w:r>
      <w:r>
        <w:rPr>
          <w:rFonts w:ascii="仿宋" w:hAnsi="仿宋" w:eastAsia="仿宋" w:cs="仿宋"/>
          <w:spacing w:val="4"/>
          <w:sz w:val="31"/>
          <w:szCs w:val="31"/>
        </w:rPr>
        <w:t>%，主要是按照</w:t>
      </w:r>
      <w:r>
        <w:rPr>
          <w:rFonts w:hint="eastAsia" w:ascii="仿宋" w:hAnsi="仿宋" w:eastAsia="仿宋" w:cs="仿宋"/>
          <w:spacing w:val="4"/>
          <w:sz w:val="31"/>
          <w:szCs w:val="31"/>
          <w:lang w:eastAsia="zh-CN"/>
        </w:rPr>
        <w:t>区财政局</w:t>
      </w:r>
      <w:r>
        <w:rPr>
          <w:rFonts w:ascii="仿宋" w:hAnsi="仿宋" w:eastAsia="仿宋" w:cs="仿宋"/>
          <w:spacing w:val="4"/>
          <w:sz w:val="31"/>
          <w:szCs w:val="31"/>
        </w:rPr>
        <w:t>测算</w:t>
      </w:r>
      <w:r>
        <w:rPr>
          <w:rFonts w:hint="eastAsia" w:ascii="仿宋" w:hAnsi="仿宋" w:eastAsia="仿宋" w:cs="仿宋"/>
          <w:spacing w:val="4"/>
          <w:sz w:val="31"/>
          <w:szCs w:val="31"/>
          <w:lang w:eastAsia="zh-CN"/>
        </w:rPr>
        <w:t>，</w:t>
      </w:r>
      <w:r>
        <w:rPr>
          <w:rFonts w:ascii="仿宋" w:hAnsi="仿宋" w:eastAsia="仿宋" w:cs="仿宋"/>
          <w:spacing w:val="3"/>
          <w:sz w:val="31"/>
          <w:szCs w:val="31"/>
        </w:rPr>
        <w:t>上解支</w:t>
      </w:r>
      <w:r>
        <w:rPr>
          <w:rFonts w:ascii="仿宋" w:hAnsi="仿宋" w:eastAsia="仿宋" w:cs="仿宋"/>
          <w:spacing w:val="4"/>
          <w:sz w:val="31"/>
          <w:szCs w:val="31"/>
        </w:rPr>
        <w:t>出增加</w:t>
      </w:r>
      <w:r>
        <w:rPr>
          <w:rFonts w:hint="eastAsia" w:ascii="仿宋" w:hAnsi="仿宋" w:eastAsia="仿宋" w:cs="仿宋"/>
          <w:spacing w:val="4"/>
          <w:sz w:val="31"/>
          <w:szCs w:val="31"/>
          <w:lang w:eastAsia="zh-CN"/>
        </w:rPr>
        <w:t>。</w:t>
      </w:r>
    </w:p>
    <w:p>
      <w:pPr>
        <w:spacing w:before="38" w:line="316" w:lineRule="auto"/>
        <w:ind w:left="23" w:right="16" w:firstLine="65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三、关于《大兴区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青云店镇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ascii="黑体" w:hAnsi="黑体" w:eastAsia="黑体" w:cs="黑体"/>
          <w:spacing w:val="-4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12"/>
          <w:sz w:val="31"/>
          <w:szCs w:val="31"/>
        </w:rPr>
        <w:t>年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镇</w:t>
      </w:r>
      <w:r>
        <w:rPr>
          <w:rFonts w:ascii="黑体" w:hAnsi="黑体" w:eastAsia="黑体" w:cs="黑体"/>
          <w:spacing w:val="12"/>
          <w:sz w:val="31"/>
          <w:szCs w:val="31"/>
        </w:rPr>
        <w:t>本级一般公共预算支出决</w:t>
      </w:r>
      <w:r>
        <w:rPr>
          <w:rFonts w:ascii="黑体" w:hAnsi="黑体" w:eastAsia="黑体" w:cs="黑体"/>
          <w:spacing w:val="8"/>
          <w:sz w:val="31"/>
          <w:szCs w:val="31"/>
        </w:rPr>
        <w:t>算表》的说明</w:t>
      </w:r>
    </w:p>
    <w:p>
      <w:pPr>
        <w:spacing w:before="70" w:line="323" w:lineRule="auto"/>
        <w:ind w:left="25" w:right="13" w:firstLine="654"/>
        <w:jc w:val="both"/>
        <w:rPr>
          <w:rFonts w:ascii="仿宋" w:hAnsi="仿宋" w:eastAsia="仿宋" w:cs="仿宋"/>
          <w:spacing w:val="8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202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</w:t>
      </w:r>
      <w:r>
        <w:rPr>
          <w:rFonts w:ascii="仿宋" w:hAnsi="仿宋" w:eastAsia="仿宋" w:cs="仿宋"/>
          <w:spacing w:val="1"/>
          <w:sz w:val="31"/>
          <w:szCs w:val="31"/>
        </w:rPr>
        <w:t>年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镇</w:t>
      </w:r>
      <w:r>
        <w:rPr>
          <w:rFonts w:ascii="仿宋" w:hAnsi="仿宋" w:eastAsia="仿宋" w:cs="仿宋"/>
          <w:spacing w:val="1"/>
          <w:sz w:val="31"/>
          <w:szCs w:val="31"/>
        </w:rPr>
        <w:t>本级一般公共预算支出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59263.71</w:t>
      </w:r>
      <w:r>
        <w:rPr>
          <w:rFonts w:ascii="仿宋" w:hAnsi="仿宋" w:eastAsia="仿宋" w:cs="仿宋"/>
          <w:spacing w:val="1"/>
          <w:sz w:val="31"/>
          <w:szCs w:val="31"/>
        </w:rPr>
        <w:t>万元，为调整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预算的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67.67</w:t>
      </w:r>
      <w:r>
        <w:rPr>
          <w:rFonts w:ascii="仿宋" w:hAnsi="仿宋" w:eastAsia="仿宋" w:cs="仿宋"/>
          <w:spacing w:val="1"/>
          <w:sz w:val="31"/>
          <w:szCs w:val="31"/>
        </w:rPr>
        <w:t>%</w:t>
      </w:r>
      <w:r>
        <w:rPr>
          <w:rFonts w:ascii="仿宋" w:hAnsi="仿宋" w:eastAsia="仿宋" w:cs="仿宋"/>
          <w:spacing w:val="4"/>
          <w:sz w:val="31"/>
          <w:szCs w:val="31"/>
        </w:rPr>
        <w:t>，</w:t>
      </w:r>
      <w:r>
        <w:rPr>
          <w:rFonts w:ascii="仿宋" w:hAnsi="仿宋" w:eastAsia="仿宋" w:cs="仿宋"/>
          <w:spacing w:val="8"/>
          <w:sz w:val="31"/>
          <w:szCs w:val="31"/>
        </w:rPr>
        <w:t>支出较调整预算有所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减少</w:t>
      </w:r>
      <w:r>
        <w:rPr>
          <w:rFonts w:ascii="仿宋" w:hAnsi="仿宋" w:eastAsia="仿宋" w:cs="仿宋"/>
          <w:spacing w:val="8"/>
          <w:sz w:val="31"/>
          <w:szCs w:val="31"/>
        </w:rPr>
        <w:t>的原因是</w:t>
      </w:r>
      <w:r>
        <w:rPr>
          <w:rFonts w:hint="eastAsia" w:ascii="仿宋" w:hAnsi="仿宋" w:eastAsia="仿宋" w:cs="仿宋"/>
          <w:spacing w:val="8"/>
          <w:sz w:val="31"/>
          <w:szCs w:val="31"/>
        </w:rPr>
        <w:t>部分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专项资金</w:t>
      </w:r>
      <w:r>
        <w:rPr>
          <w:rFonts w:hint="eastAsia" w:ascii="仿宋" w:hAnsi="仿宋" w:eastAsia="仿宋" w:cs="仿宋"/>
          <w:spacing w:val="8"/>
          <w:sz w:val="31"/>
          <w:szCs w:val="31"/>
        </w:rPr>
        <w:t>按规定结转下年，导致当年决算数低于调整预算数</w:t>
      </w:r>
      <w:r>
        <w:rPr>
          <w:rFonts w:ascii="仿宋" w:hAnsi="仿宋" w:eastAsia="仿宋" w:cs="仿宋"/>
          <w:spacing w:val="8"/>
          <w:sz w:val="31"/>
          <w:szCs w:val="31"/>
        </w:rPr>
        <w:t>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1.一般公共服务支出决算数为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14138.09</w:t>
      </w:r>
      <w:r>
        <w:rPr>
          <w:rFonts w:hint="eastAsia" w:ascii="仿宋" w:hAnsi="仿宋" w:eastAsia="仿宋" w:cs="仿宋"/>
          <w:spacing w:val="1"/>
          <w:sz w:val="31"/>
          <w:szCs w:val="31"/>
        </w:rPr>
        <w:t xml:space="preserve">万元，为调整预 算数的 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90.57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%，各项支出基本无大额变化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2.公共安全支出决算数为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586.1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，</w:t>
      </w:r>
      <w:r>
        <w:rPr>
          <w:rFonts w:hint="eastAsia" w:ascii="仿宋" w:hAnsi="仿宋" w:eastAsia="仿宋" w:cs="仿宋"/>
          <w:spacing w:val="1"/>
          <w:sz w:val="31"/>
          <w:szCs w:val="31"/>
        </w:rPr>
        <w:t xml:space="preserve">为调整预算数的 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107.57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%，各项支出基本无大额变化。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4.教育支出决算数为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589.79</w:t>
      </w:r>
      <w:r>
        <w:rPr>
          <w:rFonts w:hint="eastAsia" w:ascii="仿宋" w:hAnsi="仿宋" w:eastAsia="仿宋" w:cs="仿宋"/>
          <w:spacing w:val="1"/>
          <w:sz w:val="31"/>
          <w:szCs w:val="31"/>
        </w:rPr>
        <w:t xml:space="preserve">万元，为调整预算数的 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58978.57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%，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主要是主要是上级专项转移支付增加。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5.科学技术支出决算数为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3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万元，为调整预算数的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100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%，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支出无变化</w:t>
      </w:r>
      <w:r>
        <w:rPr>
          <w:rFonts w:hint="eastAsia" w:ascii="仿宋" w:hAnsi="仿宋" w:eastAsia="仿宋" w:cs="仿宋"/>
          <w:spacing w:val="1"/>
          <w:sz w:val="31"/>
          <w:szCs w:val="31"/>
        </w:rPr>
        <w:t>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6.文化旅游体育与传媒支出决算数为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233.78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万元，为调 整预算数的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122.51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%，各项支出基本无大额变化。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7.社会保障和就业支出决算数为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2211.25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万元，为调整 预算数的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82.24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%，各项支出基本无大额变化。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8.卫生健康支出决算数为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6010.78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万元，为调整预算数 的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102.68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%，各项支出基本无大额变化。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9.节能环保支出决算数为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1273.23</w:t>
      </w:r>
      <w:r>
        <w:rPr>
          <w:rFonts w:hint="eastAsia" w:ascii="仿宋" w:hAnsi="仿宋" w:eastAsia="仿宋" w:cs="仿宋"/>
          <w:spacing w:val="1"/>
          <w:sz w:val="31"/>
          <w:szCs w:val="31"/>
        </w:rPr>
        <w:t xml:space="preserve">万元，为调整预算数的 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99.13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%，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各项支出基本无大额变化</w:t>
      </w:r>
      <w:r>
        <w:rPr>
          <w:rFonts w:hint="eastAsia" w:ascii="仿宋" w:hAnsi="仿宋" w:eastAsia="仿宋" w:cs="仿宋"/>
          <w:spacing w:val="1"/>
          <w:sz w:val="31"/>
          <w:szCs w:val="31"/>
        </w:rPr>
        <w:t>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10.城乡社区支出决算数为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15305.6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万元，为调整预算数 的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38.03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%，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主要是专项支出减少。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11.农林水支出决算数为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17611.67</w:t>
      </w:r>
      <w:r>
        <w:rPr>
          <w:rFonts w:hint="eastAsia" w:ascii="仿宋" w:hAnsi="仿宋" w:eastAsia="仿宋" w:cs="仿宋"/>
          <w:spacing w:val="1"/>
          <w:sz w:val="31"/>
          <w:szCs w:val="31"/>
        </w:rPr>
        <w:t xml:space="preserve">万元，为调整预算数的 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91.09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%，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各项支出基本无大额变化。</w:t>
      </w:r>
    </w:p>
    <w:p>
      <w:pPr>
        <w:spacing w:before="70" w:line="323" w:lineRule="auto"/>
        <w:ind w:left="25" w:right="13" w:firstLine="654"/>
        <w:jc w:val="both"/>
        <w:rPr>
          <w:rFonts w:hint="default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12.交通运输支出决算数未133.73万元，为调整预算数的 100%，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主要是上级专项转移支付增加。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1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3.</w:t>
      </w:r>
      <w:r>
        <w:rPr>
          <w:rFonts w:hint="eastAsia" w:ascii="仿宋" w:hAnsi="仿宋" w:eastAsia="仿宋" w:cs="仿宋"/>
          <w:spacing w:val="1"/>
          <w:sz w:val="31"/>
          <w:szCs w:val="31"/>
        </w:rPr>
        <w:t>自然资源海洋气象等支出决算数为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284.16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万元，为调 整预算数的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99.2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%，各项支出基本无大额变化。</w:t>
      </w:r>
    </w:p>
    <w:p>
      <w:pPr>
        <w:spacing w:before="70" w:line="323" w:lineRule="auto"/>
        <w:ind w:left="25" w:right="13" w:firstLine="654"/>
        <w:jc w:val="both"/>
        <w:rPr>
          <w:rFonts w:hint="default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14.住房保障</w:t>
      </w:r>
      <w:r>
        <w:rPr>
          <w:rFonts w:hint="eastAsia" w:ascii="仿宋" w:hAnsi="仿宋" w:eastAsia="仿宋" w:cs="仿宋"/>
          <w:spacing w:val="1"/>
          <w:sz w:val="31"/>
          <w:szCs w:val="31"/>
        </w:rPr>
        <w:t>支出决算数为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416.61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万元，为调整预算数 的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51.79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%，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主要是项目预算调整时谨慎性预留，实际支出减少。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15</w:t>
      </w:r>
      <w:r>
        <w:rPr>
          <w:rFonts w:hint="eastAsia" w:ascii="仿宋" w:hAnsi="仿宋" w:eastAsia="仿宋" w:cs="仿宋"/>
          <w:spacing w:val="1"/>
          <w:sz w:val="31"/>
          <w:szCs w:val="31"/>
        </w:rPr>
        <w:t>.灾害防治及应急管理支出决算数为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465.93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万元，为 调整预算数的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100.99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%，各项支出基本无大额变化。</w:t>
      </w:r>
    </w:p>
    <w:p>
      <w:pPr>
        <w:spacing w:before="38" w:line="316" w:lineRule="auto"/>
        <w:ind w:left="23" w:right="16" w:firstLine="654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16.其他支出决算数决算数为0万元，其他支出无支出。</w:t>
      </w:r>
    </w:p>
    <w:p>
      <w:pPr>
        <w:spacing w:before="38" w:line="316" w:lineRule="auto"/>
        <w:ind w:left="23" w:right="16" w:firstLine="654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黑体" w:hAnsi="黑体" w:eastAsia="黑体" w:cs="黑体"/>
          <w:spacing w:val="12"/>
          <w:sz w:val="31"/>
          <w:szCs w:val="31"/>
        </w:rPr>
        <w:t>四、关于《大兴区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青云店镇</w:t>
      </w:r>
      <w:r>
        <w:rPr>
          <w:rFonts w:hint="eastAsia" w:ascii="黑体" w:hAnsi="黑体" w:eastAsia="黑体" w:cs="黑体"/>
          <w:spacing w:val="12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</w:rPr>
        <w:t>年一般公共预算基本支出决算表》的说明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202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</w:t>
      </w:r>
      <w:r>
        <w:rPr>
          <w:rFonts w:hint="eastAsia" w:ascii="仿宋" w:hAnsi="仿宋" w:eastAsia="仿宋" w:cs="仿宋"/>
          <w:spacing w:val="1"/>
          <w:sz w:val="31"/>
          <w:szCs w:val="31"/>
        </w:rPr>
        <w:t>年一般公共预算基本支出决算数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8830.42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万元，具体包括：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8"/>
          <w:sz w:val="31"/>
          <w:szCs w:val="31"/>
        </w:rPr>
        <w:t>1.机关工资福利支出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5402.01</w:t>
      </w:r>
      <w:r>
        <w:rPr>
          <w:rFonts w:hint="eastAsia" w:ascii="仿宋" w:hAnsi="仿宋" w:eastAsia="仿宋" w:cs="仿宋"/>
          <w:spacing w:val="8"/>
          <w:sz w:val="31"/>
          <w:szCs w:val="31"/>
        </w:rPr>
        <w:t>万元（具体款级项目见套表）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；</w:t>
      </w:r>
      <w:r>
        <w:rPr>
          <w:rFonts w:hint="eastAsia" w:ascii="仿宋" w:hAnsi="仿宋" w:eastAsia="仿宋" w:cs="仿宋"/>
          <w:spacing w:val="8"/>
          <w:sz w:val="31"/>
          <w:szCs w:val="31"/>
        </w:rPr>
        <w:t>2.机关商品和服务支出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502.63</w:t>
      </w:r>
      <w:r>
        <w:rPr>
          <w:rFonts w:hint="eastAsia" w:ascii="仿宋" w:hAnsi="仿宋" w:eastAsia="仿宋" w:cs="仿宋"/>
          <w:spacing w:val="8"/>
          <w:sz w:val="31"/>
          <w:szCs w:val="31"/>
        </w:rPr>
        <w:t>万元（具体款级项目见套表）；3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.</w:t>
      </w:r>
      <w:r>
        <w:rPr>
          <w:rFonts w:hint="eastAsia" w:ascii="仿宋" w:hAnsi="仿宋" w:eastAsia="仿宋" w:cs="仿宋"/>
          <w:spacing w:val="8"/>
          <w:sz w:val="31"/>
          <w:szCs w:val="31"/>
        </w:rPr>
        <w:t>对事业单位经常性补助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2787.32</w:t>
      </w:r>
      <w:r>
        <w:rPr>
          <w:rFonts w:hint="eastAsia" w:ascii="仿宋" w:hAnsi="仿宋" w:eastAsia="仿宋" w:cs="仿宋"/>
          <w:spacing w:val="8"/>
          <w:sz w:val="31"/>
          <w:szCs w:val="31"/>
        </w:rPr>
        <w:t>万元（具体款级项目见套表）；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4</w:t>
      </w:r>
      <w:r>
        <w:rPr>
          <w:rFonts w:hint="eastAsia" w:ascii="仿宋" w:hAnsi="仿宋" w:eastAsia="仿宋" w:cs="仿宋"/>
          <w:spacing w:val="8"/>
          <w:sz w:val="31"/>
          <w:szCs w:val="31"/>
        </w:rPr>
        <w:t>.对个人和家庭的补助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138.46</w:t>
      </w:r>
      <w:r>
        <w:rPr>
          <w:rFonts w:hint="eastAsia" w:ascii="仿宋" w:hAnsi="仿宋" w:eastAsia="仿宋" w:cs="仿宋"/>
          <w:spacing w:val="8"/>
          <w:sz w:val="31"/>
          <w:szCs w:val="31"/>
        </w:rPr>
        <w:t>万元（具体款级项目见套表）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</w:rPr>
      </w:pPr>
      <w:r>
        <w:rPr>
          <w:rFonts w:hint="eastAsia" w:ascii="黑体" w:hAnsi="黑体" w:eastAsia="黑体" w:cs="黑体"/>
          <w:spacing w:val="12"/>
          <w:sz w:val="31"/>
          <w:szCs w:val="31"/>
        </w:rPr>
        <w:t>五、关于《大兴区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青云店镇</w:t>
      </w:r>
      <w:r>
        <w:rPr>
          <w:rFonts w:hint="eastAsia" w:ascii="黑体" w:hAnsi="黑体" w:eastAsia="黑体" w:cs="黑体"/>
          <w:spacing w:val="12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</w:rPr>
        <w:t>年一般公共预算“三公经费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”</w:t>
      </w:r>
      <w:r>
        <w:rPr>
          <w:rFonts w:hint="eastAsia" w:ascii="黑体" w:hAnsi="黑体" w:eastAsia="黑体" w:cs="黑体"/>
          <w:spacing w:val="12"/>
          <w:sz w:val="31"/>
          <w:szCs w:val="31"/>
        </w:rPr>
        <w:t>财政拨款支出决算表》的说明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青云店镇</w:t>
      </w:r>
      <w:r>
        <w:rPr>
          <w:rFonts w:hint="eastAsia" w:ascii="仿宋" w:hAnsi="仿宋" w:eastAsia="仿宋" w:cs="仿宋"/>
          <w:spacing w:val="1"/>
          <w:sz w:val="31"/>
          <w:szCs w:val="31"/>
        </w:rPr>
        <w:t>202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</w:t>
      </w:r>
      <w:r>
        <w:rPr>
          <w:rFonts w:hint="eastAsia" w:ascii="仿宋" w:hAnsi="仿宋" w:eastAsia="仿宋" w:cs="仿宋"/>
          <w:spacing w:val="1"/>
          <w:sz w:val="31"/>
          <w:szCs w:val="31"/>
        </w:rPr>
        <w:t>年“三公”经费财政拨款决算数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42.76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元</w:t>
      </w:r>
      <w:r>
        <w:rPr>
          <w:rFonts w:hint="eastAsia" w:ascii="仿宋" w:hAnsi="仿宋" w:eastAsia="仿宋" w:cs="仿宋"/>
          <w:spacing w:val="1"/>
          <w:sz w:val="31"/>
          <w:szCs w:val="31"/>
        </w:rPr>
        <w:t>，较调整预算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20.3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增加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22.46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万元，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增长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110.64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%。其中：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1.因公出国（境）费用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202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</w:t>
      </w:r>
      <w:r>
        <w:rPr>
          <w:rFonts w:hint="eastAsia" w:ascii="仿宋" w:hAnsi="仿宋" w:eastAsia="仿宋" w:cs="仿宋"/>
          <w:spacing w:val="1"/>
          <w:sz w:val="31"/>
          <w:szCs w:val="31"/>
        </w:rPr>
        <w:t>年决算无支出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2.公务接待费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202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</w:t>
      </w:r>
      <w:r>
        <w:rPr>
          <w:rFonts w:hint="eastAsia" w:ascii="仿宋" w:hAnsi="仿宋" w:eastAsia="仿宋" w:cs="仿宋"/>
          <w:spacing w:val="1"/>
          <w:sz w:val="31"/>
          <w:szCs w:val="31"/>
        </w:rPr>
        <w:t>年决算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无支出。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3.公务用车购置和运行维护费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202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</w:t>
      </w:r>
      <w:r>
        <w:rPr>
          <w:rFonts w:hint="eastAsia" w:ascii="仿宋" w:hAnsi="仿宋" w:eastAsia="仿宋" w:cs="仿宋"/>
          <w:spacing w:val="1"/>
          <w:sz w:val="31"/>
          <w:szCs w:val="31"/>
        </w:rPr>
        <w:t>年决算数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42.76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，</w:t>
      </w:r>
      <w:r>
        <w:rPr>
          <w:rFonts w:hint="eastAsia" w:ascii="仿宋" w:hAnsi="仿宋" w:eastAsia="仿宋" w:cs="仿宋"/>
          <w:spacing w:val="1"/>
          <w:sz w:val="31"/>
          <w:szCs w:val="31"/>
        </w:rPr>
        <w:t>比年初预算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20.3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增加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22.46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万元，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增长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110.64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%。其中：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公务用车运行维护费决算数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19.38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，</w:t>
      </w:r>
      <w:r>
        <w:rPr>
          <w:rFonts w:hint="eastAsia" w:ascii="仿宋" w:hAnsi="仿宋" w:eastAsia="仿宋" w:cs="仿宋"/>
          <w:spacing w:val="1"/>
          <w:sz w:val="31"/>
          <w:szCs w:val="31"/>
        </w:rPr>
        <w:t xml:space="preserve">比年初预算数 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20.3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万元减少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0.92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万元，下降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4.53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%。主要原因为贯彻落实公务用车使用管理有关规定和过“紧日子”思想，实现厉行节约常态化。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公务用车购置决算数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19.38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万元，比年初预算数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0</w:t>
      </w:r>
      <w:r>
        <w:rPr>
          <w:rFonts w:hint="eastAsia" w:ascii="仿宋" w:hAnsi="仿宋" w:eastAsia="仿宋" w:cs="仿宋"/>
          <w:spacing w:val="1"/>
          <w:sz w:val="31"/>
          <w:szCs w:val="31"/>
        </w:rPr>
        <w:t xml:space="preserve">万元增加 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19.38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万元,增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长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100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%,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根据</w:t>
      </w:r>
      <w:r>
        <w:rPr>
          <w:rFonts w:hint="eastAsia" w:ascii="仿宋" w:hAnsi="仿宋" w:eastAsia="仿宋" w:cs="仿宋"/>
          <w:spacing w:val="1"/>
          <w:sz w:val="31"/>
          <w:szCs w:val="31"/>
        </w:rPr>
        <w:t>公务用车车况和实际需求，调整用于公务用车购置。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</w:rPr>
      </w:pPr>
      <w:r>
        <w:rPr>
          <w:rFonts w:hint="eastAsia" w:ascii="黑体" w:hAnsi="黑体" w:eastAsia="黑体" w:cs="黑体"/>
          <w:spacing w:val="12"/>
          <w:sz w:val="31"/>
          <w:szCs w:val="31"/>
        </w:rPr>
        <w:t>六、关于《大兴区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青云店镇</w:t>
      </w:r>
      <w:r>
        <w:rPr>
          <w:rFonts w:hint="eastAsia" w:ascii="黑体" w:hAnsi="黑体" w:eastAsia="黑体" w:cs="黑体"/>
          <w:spacing w:val="12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</w:rPr>
        <w:t>年政府性基金收入决算表》的说明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</w:rPr>
      </w:pPr>
      <w:r>
        <w:rPr>
          <w:rFonts w:hint="eastAsia" w:ascii="黑体" w:hAnsi="黑体" w:eastAsia="黑体" w:cs="黑体"/>
          <w:spacing w:val="12"/>
          <w:sz w:val="31"/>
          <w:szCs w:val="31"/>
        </w:rPr>
        <w:t>七、关于《大兴区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青云店镇</w:t>
      </w:r>
      <w:r>
        <w:rPr>
          <w:rFonts w:hint="eastAsia" w:ascii="黑体" w:hAnsi="黑体" w:eastAsia="黑体" w:cs="黑体"/>
          <w:spacing w:val="12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</w:rPr>
        <w:t>年政府性基金支出决算表》的说明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202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</w:t>
      </w:r>
      <w:r>
        <w:rPr>
          <w:rFonts w:hint="eastAsia" w:ascii="仿宋" w:hAnsi="仿宋" w:eastAsia="仿宋" w:cs="仿宋"/>
          <w:spacing w:val="1"/>
          <w:sz w:val="31"/>
          <w:szCs w:val="31"/>
        </w:rPr>
        <w:t>年政府性基金预算支出完成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28035.35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万元，为调整预算的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347.79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%，支出较调整预算变动的原因主要是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上级专项转移支付支出增加。</w:t>
      </w:r>
      <w:r>
        <w:rPr>
          <w:rFonts w:hint="eastAsia" w:ascii="仿宋" w:hAnsi="仿宋" w:eastAsia="仿宋" w:cs="仿宋"/>
          <w:spacing w:val="1"/>
          <w:sz w:val="31"/>
          <w:szCs w:val="31"/>
        </w:rPr>
        <w:t>其中：城乡社区支出决算数为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28035.35</w:t>
      </w:r>
      <w:r>
        <w:rPr>
          <w:rFonts w:hint="eastAsia" w:ascii="仿宋" w:hAnsi="仿宋" w:eastAsia="仿宋" w:cs="仿宋"/>
          <w:spacing w:val="1"/>
          <w:sz w:val="31"/>
          <w:szCs w:val="31"/>
        </w:rPr>
        <w:t>万元，为调整预算数的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347.79</w:t>
      </w:r>
      <w:r>
        <w:rPr>
          <w:rFonts w:hint="eastAsia" w:ascii="仿宋" w:hAnsi="仿宋" w:eastAsia="仿宋" w:cs="仿宋"/>
          <w:spacing w:val="1"/>
          <w:sz w:val="31"/>
          <w:szCs w:val="31"/>
        </w:rPr>
        <w:t>%，主要是上级专项转移支付支出增加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八</w:t>
      </w:r>
      <w:r>
        <w:rPr>
          <w:rFonts w:hint="eastAsia" w:ascii="黑体" w:hAnsi="黑体" w:eastAsia="黑体" w:cs="黑体"/>
          <w:spacing w:val="12"/>
          <w:sz w:val="31"/>
          <w:szCs w:val="31"/>
        </w:rPr>
        <w:t>、关于《大兴区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青云店镇</w:t>
      </w:r>
      <w:r>
        <w:rPr>
          <w:rFonts w:hint="eastAsia" w:ascii="黑体" w:hAnsi="黑体" w:eastAsia="黑体" w:cs="黑体"/>
          <w:spacing w:val="12"/>
          <w:sz w:val="31"/>
          <w:szCs w:val="31"/>
        </w:rPr>
        <w:t>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</w:rPr>
        <w:t>年国有资本经营预算收入决算表》的说明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九、关于《大兴区青云店镇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2024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年国有资本经营预算支出决算表》的说明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十、关于《大兴区青云店镇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2024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年本级国有资本经营预算支出决算表》的说明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十一、关于《大兴区青云店镇202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年社会保险基金预算收入决算表》的说明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十二、关于《大兴区青云店镇202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年社会保险基金预算支出决算表》的说明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十三、关于《大兴区青云店镇202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年一般公共预算税收返还和转移支付表》的说明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十四、关于《大兴区青云店镇202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年政府性基金转移支付表》的说明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十五、关于《大兴区青云店镇202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年专项转移支付执行情况表》的说明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2024年青云店镇专项转移支付支出33179.34万元，其中一般公共预算支出21699.72万元，政府性基金预算支出11479.62万元。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在一般公共预算专项转移支付支出中，主要支出科目如下：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  <w:t>一般公共服务支出186.98万元；</w:t>
      </w:r>
    </w:p>
    <w:p>
      <w:pPr>
        <w:spacing w:before="70" w:line="323" w:lineRule="auto"/>
        <w:ind w:left="25" w:right="13" w:firstLine="654"/>
        <w:jc w:val="both"/>
        <w:rPr>
          <w:rFonts w:hint="default" w:ascii="仿宋" w:hAnsi="仿宋" w:eastAsia="仿宋" w:cs="仿宋"/>
          <w:spacing w:val="1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  <w:t>教育支出353.06万元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  <w:t>文化旅游体育与传媒支出0.5万元；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  <w:t>社会保障和就业支出161.9万元；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  <w:t>卫生健康支出1257.43万元；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  <w:t>节能环保支出1012.27万元；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  <w:t>城乡社区支出5768.93万元；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  <w:t>农林水支出12540.77万元；</w:t>
      </w:r>
    </w:p>
    <w:p>
      <w:pPr>
        <w:spacing w:before="70" w:line="323" w:lineRule="auto"/>
        <w:ind w:left="25" w:right="13" w:firstLine="654"/>
        <w:jc w:val="both"/>
        <w:rPr>
          <w:rFonts w:hint="default" w:ascii="仿宋" w:hAnsi="仿宋" w:eastAsia="仿宋" w:cs="仿宋"/>
          <w:spacing w:val="1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  <w:t>交通运输支出133.72万元；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val="en-US" w:eastAsia="zh-CN"/>
        </w:rPr>
        <w:t>自然资源支出284.16万元。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在政府性基金预算专项转移支付中，主要支出科目如下：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城乡社区支出11479.62万元。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十六、关于《大兴区青云店镇202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年地方政府债务限额及余额决算情况表》的说明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十七、关于《大兴区青云店镇202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年地方政府一般债务余额情况表》的说明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十八、关于《大兴区青云店镇202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年地方政府专项债务余额情况表》的说明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十九、关于《202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年新增地方政府债券使用情况表》的说明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二十、关于《202</w:t>
      </w:r>
      <w:r>
        <w:rPr>
          <w:rFonts w:hint="eastAsia" w:ascii="黑体" w:hAnsi="黑体" w:eastAsia="黑体" w:cs="黑体"/>
          <w:spacing w:val="12"/>
          <w:sz w:val="31"/>
          <w:szCs w:val="31"/>
          <w:lang w:val="en-US" w:eastAsia="zh-CN"/>
        </w:rPr>
        <w:t>4</w:t>
      </w: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年地方政府债务发行及还本付息情况表》的说明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本单位不涉及上述表内数据。</w:t>
      </w:r>
    </w:p>
    <w:p>
      <w:pPr>
        <w:spacing w:before="38" w:line="316" w:lineRule="auto"/>
        <w:ind w:left="23" w:right="16" w:firstLine="654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二一</w:t>
      </w:r>
      <w:bookmarkStart w:id="0" w:name="_GoBack"/>
      <w:bookmarkEnd w:id="0"/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、其他重要事项的情况说明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无。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89" w:lineRule="auto"/>
      <w:ind w:left="4064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E5EBC"/>
    <w:rsid w:val="0DF219FA"/>
    <w:rsid w:val="0E7D16B5"/>
    <w:rsid w:val="11530EC1"/>
    <w:rsid w:val="148B711D"/>
    <w:rsid w:val="16E11A52"/>
    <w:rsid w:val="19FB3CBD"/>
    <w:rsid w:val="221D4FB8"/>
    <w:rsid w:val="26844520"/>
    <w:rsid w:val="29F30DDC"/>
    <w:rsid w:val="2A716D8F"/>
    <w:rsid w:val="36BE5EBC"/>
    <w:rsid w:val="39A07C84"/>
    <w:rsid w:val="39F369BF"/>
    <w:rsid w:val="403B5339"/>
    <w:rsid w:val="42F9654D"/>
    <w:rsid w:val="4D3D50E1"/>
    <w:rsid w:val="4F4F65FD"/>
    <w:rsid w:val="565051D9"/>
    <w:rsid w:val="56E21535"/>
    <w:rsid w:val="5BA8442B"/>
    <w:rsid w:val="6A4C0582"/>
    <w:rsid w:val="77F602CF"/>
    <w:rsid w:val="7D163832"/>
    <w:rsid w:val="7E61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2024-07-12T06:28:00Z</dcterms:created>
  <dc:creator>DELL</dc:creator>
  <cp:lastModifiedBy>Administrator</cp:lastModifiedBy>
  <cp:lastPrinted>2025-07-07T05:59:00Z</cp:lastPrinted>
  <dcterms:modified xsi:type="dcterms:W3CDTF">2025-07-08T03:20:50Z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